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9.xml" ContentType="application/vnd.openxmlformats-officedocument.drawingml.chart+xml"/>
  <Override PartName="/word/charts/chart30.xml" ContentType="application/vnd.openxmlformats-officedocument.drawingml.chart+xml"/>
  <Override PartName="/word/charts/style25.xml" ContentType="application/vnd.ms-office.chartstyle+xml"/>
  <Override PartName="/word/charts/colors2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5B0C0" w14:textId="6692D0DA" w:rsidR="00FA5EC1" w:rsidRPr="00AC43E3" w:rsidRDefault="007B7154" w:rsidP="00F6375C">
      <w:pPr>
        <w:rPr>
          <w:rFonts w:ascii="Century Gothic" w:eastAsiaTheme="minorHAnsi" w:hAnsi="Century Gothic" w:cstheme="minorBidi"/>
          <w:b/>
          <w:bCs/>
          <w:color w:val="365F91" w:themeColor="accent1" w:themeShade="BF"/>
          <w:sz w:val="40"/>
          <w:szCs w:val="40"/>
          <w:lang w:eastAsia="en-US"/>
        </w:rPr>
      </w:pPr>
      <w:r w:rsidRPr="00AC43E3">
        <w:rPr>
          <w:rFonts w:ascii="Century Gothic" w:hAnsi="Century Gothic" w:cstheme="minorHAnsi"/>
          <w:b/>
          <w:bCs/>
          <w:noProof/>
          <w:sz w:val="40"/>
          <w:szCs w:val="40"/>
        </w:rPr>
        <w:drawing>
          <wp:anchor distT="0" distB="0" distL="114300" distR="114300" simplePos="0" relativeHeight="251658240" behindDoc="0" locked="0" layoutInCell="1" allowOverlap="1" wp14:anchorId="1B324D18" wp14:editId="4B5D43CF">
            <wp:simplePos x="0" y="0"/>
            <wp:positionH relativeFrom="column">
              <wp:posOffset>2730</wp:posOffset>
            </wp:positionH>
            <wp:positionV relativeFrom="paragraph">
              <wp:posOffset>2730</wp:posOffset>
            </wp:positionV>
            <wp:extent cx="724395" cy="1574423"/>
            <wp:effectExtent l="0" t="0" r="0" b="6985"/>
            <wp:wrapSquare wrapText="bothSides"/>
            <wp:docPr id="35" name="Obrázok 35" descr="C:\Users\janov\OneDrive\Desktop\fns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ov\OneDrive\Desktop\fnsp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395" cy="1574423"/>
                    </a:xfrm>
                    <a:prstGeom prst="rect">
                      <a:avLst/>
                    </a:prstGeom>
                    <a:noFill/>
                    <a:ln>
                      <a:noFill/>
                    </a:ln>
                  </pic:spPr>
                </pic:pic>
              </a:graphicData>
            </a:graphic>
            <wp14:sizeRelH relativeFrom="page">
              <wp14:pctWidth>0</wp14:pctWidth>
            </wp14:sizeRelH>
            <wp14:sizeRelV relativeFrom="page">
              <wp14:pctHeight>0</wp14:pctHeight>
            </wp14:sizeRelV>
          </wp:anchor>
        </w:drawing>
      </w:r>
      <w:r w:rsidR="00F6375C" w:rsidRPr="00AC43E3">
        <w:rPr>
          <w:rFonts w:ascii="Century Gothic" w:eastAsiaTheme="minorHAnsi" w:hAnsi="Century Gothic" w:cstheme="minorBidi"/>
          <w:b/>
          <w:bCs/>
          <w:color w:val="365F91" w:themeColor="accent1" w:themeShade="BF"/>
          <w:sz w:val="40"/>
          <w:szCs w:val="40"/>
          <w:lang w:eastAsia="en-US"/>
        </w:rPr>
        <w:t xml:space="preserve">Fakultná nemocnica s poliklinikou </w:t>
      </w:r>
      <w:r w:rsidRPr="00AC43E3">
        <w:rPr>
          <w:rFonts w:ascii="Century Gothic" w:eastAsiaTheme="minorHAnsi" w:hAnsi="Century Gothic" w:cstheme="minorBidi"/>
          <w:b/>
          <w:bCs/>
          <w:color w:val="365F91" w:themeColor="accent1" w:themeShade="BF"/>
          <w:sz w:val="40"/>
          <w:szCs w:val="40"/>
          <w:lang w:eastAsia="en-US"/>
        </w:rPr>
        <w:t>Žilina</w:t>
      </w:r>
    </w:p>
    <w:p w14:paraId="3B24C1A2" w14:textId="77777777" w:rsidR="00FA5EC1" w:rsidRPr="00FA5EC1" w:rsidRDefault="00FA5EC1" w:rsidP="00FA5EC1">
      <w:pPr>
        <w:rPr>
          <w:rFonts w:asciiTheme="minorHAnsi" w:hAnsiTheme="minorHAnsi" w:cstheme="minorHAnsi"/>
        </w:rPr>
      </w:pPr>
    </w:p>
    <w:p w14:paraId="4482A2EE" w14:textId="4CA41773" w:rsidR="00FA5EC1" w:rsidRPr="00FA5EC1" w:rsidRDefault="00FA5EC1" w:rsidP="00FA5EC1">
      <w:pPr>
        <w:jc w:val="center"/>
        <w:rPr>
          <w:rFonts w:asciiTheme="minorHAnsi" w:hAnsiTheme="minorHAnsi" w:cstheme="minorHAnsi"/>
          <w:b/>
          <w:bCs/>
        </w:rPr>
      </w:pPr>
    </w:p>
    <w:p w14:paraId="1E869167" w14:textId="77777777" w:rsidR="00FA5EC1" w:rsidRPr="00FA5EC1" w:rsidRDefault="00FA5EC1" w:rsidP="00FA5EC1">
      <w:pPr>
        <w:jc w:val="center"/>
        <w:rPr>
          <w:rFonts w:asciiTheme="minorHAnsi" w:hAnsiTheme="minorHAnsi" w:cstheme="minorHAnsi"/>
          <w:b/>
          <w:bCs/>
        </w:rPr>
      </w:pPr>
    </w:p>
    <w:p w14:paraId="146AA9BF" w14:textId="6E3F12EC" w:rsidR="00F6375C" w:rsidRDefault="00F6375C" w:rsidP="00F6375C">
      <w:pPr>
        <w:spacing w:line="240" w:lineRule="auto"/>
        <w:jc w:val="center"/>
        <w:rPr>
          <w:rFonts w:asciiTheme="minorHAnsi" w:eastAsiaTheme="minorHAnsi" w:hAnsiTheme="minorHAnsi" w:cstheme="minorBidi"/>
          <w:b/>
          <w:bCs/>
          <w:sz w:val="44"/>
          <w:szCs w:val="44"/>
          <w:lang w:eastAsia="en-US"/>
        </w:rPr>
      </w:pPr>
    </w:p>
    <w:p w14:paraId="04C5C9E5" w14:textId="77777777" w:rsidR="007B7154" w:rsidRDefault="007B7154" w:rsidP="00F6375C">
      <w:pPr>
        <w:spacing w:line="240" w:lineRule="auto"/>
        <w:jc w:val="center"/>
        <w:rPr>
          <w:rFonts w:asciiTheme="minorHAnsi" w:eastAsiaTheme="minorHAnsi" w:hAnsiTheme="minorHAnsi" w:cstheme="minorBidi"/>
          <w:b/>
          <w:bCs/>
          <w:sz w:val="44"/>
          <w:szCs w:val="44"/>
          <w:lang w:eastAsia="en-US"/>
        </w:rPr>
      </w:pPr>
    </w:p>
    <w:p w14:paraId="0BEC58CD" w14:textId="4B3E23FC" w:rsidR="00F6375C" w:rsidRDefault="00F6375C" w:rsidP="00F6375C">
      <w:pPr>
        <w:spacing w:line="240" w:lineRule="auto"/>
        <w:jc w:val="center"/>
        <w:rPr>
          <w:rFonts w:asciiTheme="minorHAnsi" w:eastAsiaTheme="minorHAnsi" w:hAnsiTheme="minorHAnsi" w:cstheme="minorBidi"/>
          <w:b/>
          <w:bCs/>
          <w:sz w:val="44"/>
          <w:szCs w:val="44"/>
          <w:lang w:eastAsia="en-US"/>
        </w:rPr>
      </w:pPr>
    </w:p>
    <w:p w14:paraId="2F005FB4" w14:textId="5BBF662E" w:rsidR="00F6375C" w:rsidRDefault="00F6375C" w:rsidP="00F6375C">
      <w:pPr>
        <w:spacing w:line="240" w:lineRule="auto"/>
        <w:jc w:val="center"/>
        <w:rPr>
          <w:rFonts w:asciiTheme="minorHAnsi" w:eastAsiaTheme="minorHAnsi" w:hAnsiTheme="minorHAnsi" w:cstheme="minorBidi"/>
          <w:b/>
          <w:bCs/>
          <w:sz w:val="44"/>
          <w:szCs w:val="44"/>
          <w:lang w:eastAsia="en-US"/>
        </w:rPr>
      </w:pPr>
    </w:p>
    <w:p w14:paraId="58BFDEFB" w14:textId="397A9C2D" w:rsidR="007B7154" w:rsidRDefault="007B7154" w:rsidP="00F6375C">
      <w:pPr>
        <w:spacing w:line="240" w:lineRule="auto"/>
        <w:jc w:val="center"/>
        <w:rPr>
          <w:rFonts w:asciiTheme="minorHAnsi" w:eastAsiaTheme="minorHAnsi" w:hAnsiTheme="minorHAnsi" w:cstheme="minorBidi"/>
          <w:b/>
          <w:bCs/>
          <w:sz w:val="44"/>
          <w:szCs w:val="44"/>
          <w:lang w:eastAsia="en-US"/>
        </w:rPr>
      </w:pPr>
    </w:p>
    <w:p w14:paraId="2FC6471C" w14:textId="77777777" w:rsidR="007B7154" w:rsidRDefault="007B7154" w:rsidP="00F6375C">
      <w:pPr>
        <w:spacing w:line="240" w:lineRule="auto"/>
        <w:jc w:val="center"/>
        <w:rPr>
          <w:rFonts w:asciiTheme="minorHAnsi" w:eastAsiaTheme="minorHAnsi" w:hAnsiTheme="minorHAnsi" w:cstheme="minorBidi"/>
          <w:b/>
          <w:bCs/>
          <w:sz w:val="44"/>
          <w:szCs w:val="44"/>
          <w:lang w:eastAsia="en-US"/>
        </w:rPr>
      </w:pPr>
    </w:p>
    <w:p w14:paraId="61C74A7B" w14:textId="77777777" w:rsidR="007B7154" w:rsidRDefault="007B7154" w:rsidP="00F6375C">
      <w:pPr>
        <w:spacing w:line="240" w:lineRule="auto"/>
        <w:jc w:val="center"/>
        <w:rPr>
          <w:rFonts w:asciiTheme="minorHAnsi" w:eastAsiaTheme="minorHAnsi" w:hAnsiTheme="minorHAnsi" w:cstheme="minorBidi"/>
          <w:b/>
          <w:bCs/>
          <w:sz w:val="44"/>
          <w:szCs w:val="44"/>
          <w:lang w:eastAsia="en-US"/>
        </w:rPr>
      </w:pPr>
    </w:p>
    <w:p w14:paraId="0B97F9C2" w14:textId="77777777" w:rsidR="00AC43E3" w:rsidRPr="00AC43E3" w:rsidRDefault="007B7154" w:rsidP="00F6375C">
      <w:pPr>
        <w:spacing w:line="240" w:lineRule="auto"/>
        <w:jc w:val="center"/>
        <w:rPr>
          <w:rFonts w:ascii="Century Gothic" w:hAnsi="Century Gothic"/>
          <w:b/>
          <w:bCs/>
          <w:sz w:val="46"/>
          <w:szCs w:val="46"/>
        </w:rPr>
      </w:pPr>
      <w:r w:rsidRPr="00AC43E3">
        <w:rPr>
          <w:rFonts w:ascii="Century Gothic" w:hAnsi="Century Gothic"/>
          <w:b/>
          <w:bCs/>
          <w:sz w:val="46"/>
          <w:szCs w:val="46"/>
        </w:rPr>
        <w:t xml:space="preserve">Štúdia realizovateľnosti </w:t>
      </w:r>
    </w:p>
    <w:p w14:paraId="0773E34F" w14:textId="5DEFB6E8" w:rsidR="00F6375C" w:rsidRPr="00AC43E3" w:rsidRDefault="00BB692D" w:rsidP="00F6375C">
      <w:pPr>
        <w:spacing w:line="240" w:lineRule="auto"/>
        <w:jc w:val="center"/>
        <w:rPr>
          <w:rFonts w:ascii="Century Gothic" w:eastAsiaTheme="minorHAnsi" w:hAnsi="Century Gothic" w:cstheme="minorBidi"/>
          <w:b/>
          <w:bCs/>
          <w:sz w:val="50"/>
          <w:szCs w:val="50"/>
          <w:lang w:eastAsia="en-US"/>
        </w:rPr>
      </w:pPr>
      <w:r>
        <w:rPr>
          <w:rFonts w:ascii="Century Gothic" w:hAnsi="Century Gothic"/>
          <w:b/>
          <w:bCs/>
          <w:sz w:val="50"/>
          <w:szCs w:val="50"/>
        </w:rPr>
        <w:t>nového P</w:t>
      </w:r>
      <w:r w:rsidR="007B7154" w:rsidRPr="00AC43E3">
        <w:rPr>
          <w:rFonts w:ascii="Century Gothic" w:hAnsi="Century Gothic"/>
          <w:b/>
          <w:bCs/>
          <w:sz w:val="50"/>
          <w:szCs w:val="50"/>
        </w:rPr>
        <w:t>avilónu urgentnej medicíny v Žiline</w:t>
      </w:r>
    </w:p>
    <w:p w14:paraId="029EFD87" w14:textId="0C723DC9" w:rsidR="00FA5EC1" w:rsidRPr="00FA5EC1" w:rsidRDefault="00EE3763" w:rsidP="00FA5EC1">
      <w:pPr>
        <w:jc w:val="center"/>
        <w:rPr>
          <w:rFonts w:asciiTheme="minorHAnsi" w:hAnsiTheme="minorHAnsi" w:cstheme="minorHAnsi"/>
          <w:b/>
          <w:bCs/>
          <w:sz w:val="44"/>
          <w:szCs w:val="44"/>
        </w:rPr>
      </w:pPr>
      <w:r>
        <w:rPr>
          <w:rFonts w:ascii="Century Gothic" w:hAnsi="Century Gothic"/>
          <w:b/>
          <w:noProof/>
        </w:rPr>
        <w:drawing>
          <wp:inline distT="0" distB="0" distL="0" distR="0" wp14:anchorId="15B905FD" wp14:editId="0A6F8473">
            <wp:extent cx="6230692" cy="2222938"/>
            <wp:effectExtent l="0" t="0" r="0" b="635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5035" cy="2228055"/>
                    </a:xfrm>
                    <a:prstGeom prst="rect">
                      <a:avLst/>
                    </a:prstGeom>
                    <a:noFill/>
                    <a:ln>
                      <a:noFill/>
                    </a:ln>
                  </pic:spPr>
                </pic:pic>
              </a:graphicData>
            </a:graphic>
          </wp:inline>
        </w:drawing>
      </w:r>
    </w:p>
    <w:p w14:paraId="0E862286" w14:textId="77777777" w:rsidR="00FA5EC1" w:rsidRPr="00FA5EC1" w:rsidRDefault="00FA5EC1" w:rsidP="00FA5EC1">
      <w:pPr>
        <w:jc w:val="center"/>
        <w:rPr>
          <w:rFonts w:asciiTheme="minorHAnsi" w:hAnsiTheme="minorHAnsi" w:cstheme="minorHAnsi"/>
          <w:b/>
          <w:bCs/>
          <w:sz w:val="44"/>
          <w:szCs w:val="44"/>
        </w:rPr>
      </w:pPr>
    </w:p>
    <w:p w14:paraId="043DD9E7" w14:textId="77777777" w:rsidR="007B7154" w:rsidRPr="00FA5EC1" w:rsidRDefault="007B7154" w:rsidP="00FA5EC1">
      <w:pPr>
        <w:jc w:val="center"/>
        <w:rPr>
          <w:rFonts w:asciiTheme="minorHAnsi" w:hAnsiTheme="minorHAnsi" w:cstheme="minorHAnsi"/>
          <w:b/>
          <w:bCs/>
          <w:sz w:val="44"/>
          <w:szCs w:val="44"/>
        </w:rPr>
      </w:pPr>
    </w:p>
    <w:p w14:paraId="262D3A61" w14:textId="7C16869A" w:rsidR="00F6375C" w:rsidRDefault="00F6375C" w:rsidP="005A74B8">
      <w:pPr>
        <w:spacing w:line="240" w:lineRule="auto"/>
        <w:jc w:val="center"/>
        <w:rPr>
          <w:rFonts w:cstheme="minorHAnsi"/>
          <w:b/>
          <w:sz w:val="26"/>
          <w:szCs w:val="26"/>
        </w:rPr>
      </w:pPr>
    </w:p>
    <w:p w14:paraId="30255083" w14:textId="77777777" w:rsidR="00F6375C" w:rsidRDefault="00F6375C" w:rsidP="00F6375C">
      <w:pPr>
        <w:spacing w:line="240" w:lineRule="auto"/>
        <w:rPr>
          <w:rFonts w:cstheme="minorHAnsi"/>
          <w:b/>
          <w:sz w:val="26"/>
          <w:szCs w:val="26"/>
        </w:rPr>
      </w:pPr>
    </w:p>
    <w:p w14:paraId="036FD487" w14:textId="4AC01967" w:rsidR="00F6375C" w:rsidRDefault="00F6375C" w:rsidP="00FA5EC1">
      <w:pPr>
        <w:jc w:val="center"/>
        <w:rPr>
          <w:rFonts w:asciiTheme="minorHAnsi" w:hAnsiTheme="minorHAnsi" w:cstheme="minorHAnsi"/>
          <w:b/>
          <w:bCs/>
        </w:rPr>
      </w:pPr>
    </w:p>
    <w:p w14:paraId="469B5BDC" w14:textId="77777777" w:rsidR="007B7154" w:rsidRDefault="007B7154" w:rsidP="00FA5EC1">
      <w:pPr>
        <w:jc w:val="center"/>
        <w:rPr>
          <w:rFonts w:asciiTheme="minorHAnsi" w:hAnsiTheme="minorHAnsi" w:cstheme="minorHAnsi"/>
          <w:b/>
          <w:bCs/>
        </w:rPr>
      </w:pPr>
    </w:p>
    <w:p w14:paraId="0A070F92" w14:textId="77777777" w:rsidR="00FA5EC1" w:rsidRPr="00FA5EC1" w:rsidRDefault="00FA5EC1" w:rsidP="00FA5EC1">
      <w:pPr>
        <w:jc w:val="center"/>
        <w:rPr>
          <w:rFonts w:asciiTheme="minorHAnsi" w:hAnsiTheme="minorHAnsi" w:cstheme="minorHAnsi"/>
          <w:b/>
          <w:bCs/>
        </w:rPr>
      </w:pPr>
    </w:p>
    <w:p w14:paraId="55BCDA9A" w14:textId="77777777" w:rsidR="007E738E" w:rsidRPr="00AC43E3" w:rsidRDefault="007B7154" w:rsidP="00CC5E50">
      <w:pPr>
        <w:jc w:val="center"/>
        <w:rPr>
          <w:rFonts w:ascii="Century Gothic" w:hAnsi="Century Gothic" w:cstheme="minorHAnsi"/>
          <w:b/>
          <w:bCs/>
          <w:sz w:val="22"/>
          <w:szCs w:val="22"/>
        </w:rPr>
      </w:pPr>
      <w:r w:rsidRPr="00AC43E3">
        <w:rPr>
          <w:rFonts w:ascii="Century Gothic" w:hAnsi="Century Gothic" w:cstheme="minorHAnsi"/>
          <w:b/>
          <w:bCs/>
          <w:sz w:val="22"/>
          <w:szCs w:val="22"/>
        </w:rPr>
        <w:t>Zavar</w:t>
      </w:r>
      <w:r w:rsidR="00FA5EC1" w:rsidRPr="00AC43E3">
        <w:rPr>
          <w:rFonts w:ascii="Century Gothic" w:hAnsi="Century Gothic" w:cstheme="minorHAnsi"/>
          <w:b/>
          <w:bCs/>
          <w:sz w:val="22"/>
          <w:szCs w:val="22"/>
        </w:rPr>
        <w:t xml:space="preserve">, </w:t>
      </w:r>
      <w:r w:rsidR="002968D3" w:rsidRPr="00AC43E3">
        <w:rPr>
          <w:rFonts w:ascii="Century Gothic" w:hAnsi="Century Gothic" w:cstheme="minorHAnsi"/>
          <w:b/>
          <w:bCs/>
          <w:sz w:val="22"/>
          <w:szCs w:val="22"/>
        </w:rPr>
        <w:t>2023</w:t>
      </w:r>
    </w:p>
    <w:p w14:paraId="61871757" w14:textId="3409EA79" w:rsidR="00FA5EC1" w:rsidRPr="00AC43E3" w:rsidRDefault="00F6375C" w:rsidP="007E738E">
      <w:pPr>
        <w:rPr>
          <w:rFonts w:ascii="Century Gothic" w:hAnsi="Century Gothic" w:cstheme="minorHAnsi"/>
          <w:b/>
          <w:bCs/>
          <w:sz w:val="22"/>
          <w:szCs w:val="22"/>
        </w:rPr>
      </w:pPr>
      <w:r w:rsidRPr="00AC43E3">
        <w:rPr>
          <w:rFonts w:ascii="Century Gothic" w:hAnsi="Century Gothic" w:cstheme="minorHAnsi"/>
          <w:b/>
          <w:bCs/>
          <w:sz w:val="22"/>
          <w:szCs w:val="22"/>
        </w:rPr>
        <w:lastRenderedPageBreak/>
        <w:t xml:space="preserve">Spracovateľ: </w:t>
      </w:r>
      <w:r w:rsidR="007B7154" w:rsidRPr="00AC43E3">
        <w:rPr>
          <w:rFonts w:ascii="Century Gothic" w:hAnsi="Century Gothic" w:cstheme="minorHAnsi"/>
          <w:b/>
          <w:bCs/>
          <w:sz w:val="22"/>
          <w:szCs w:val="22"/>
        </w:rPr>
        <w:t xml:space="preserve">Novo </w:t>
      </w:r>
      <w:proofErr w:type="spellStart"/>
      <w:r w:rsidR="003571DF" w:rsidRPr="00AC43E3">
        <w:rPr>
          <w:rFonts w:ascii="Century Gothic" w:hAnsi="Century Gothic" w:cstheme="minorHAnsi"/>
          <w:b/>
          <w:bCs/>
          <w:sz w:val="22"/>
          <w:szCs w:val="22"/>
        </w:rPr>
        <w:t>Funding</w:t>
      </w:r>
      <w:proofErr w:type="spellEnd"/>
      <w:r w:rsidR="003571DF" w:rsidRPr="00AC43E3">
        <w:rPr>
          <w:rFonts w:ascii="Century Gothic" w:hAnsi="Century Gothic" w:cstheme="minorHAnsi"/>
          <w:b/>
          <w:bCs/>
          <w:sz w:val="22"/>
          <w:szCs w:val="22"/>
        </w:rPr>
        <w:t xml:space="preserve"> </w:t>
      </w:r>
      <w:proofErr w:type="spellStart"/>
      <w:r w:rsidRPr="00AC43E3">
        <w:rPr>
          <w:rFonts w:ascii="Century Gothic" w:hAnsi="Century Gothic" w:cstheme="minorHAnsi"/>
          <w:b/>
          <w:bCs/>
          <w:sz w:val="22"/>
          <w:szCs w:val="22"/>
        </w:rPr>
        <w:t>s.r.o</w:t>
      </w:r>
      <w:proofErr w:type="spellEnd"/>
      <w:r w:rsidRPr="00AC43E3">
        <w:rPr>
          <w:rFonts w:ascii="Century Gothic" w:hAnsi="Century Gothic" w:cstheme="minorHAnsi"/>
          <w:b/>
          <w:bCs/>
          <w:sz w:val="22"/>
          <w:szCs w:val="22"/>
        </w:rPr>
        <w:t>.</w:t>
      </w:r>
    </w:p>
    <w:p w14:paraId="7B7502BD" w14:textId="3D993C89" w:rsidR="00AC43E3" w:rsidRDefault="00AC43E3" w:rsidP="007E738E">
      <w:pPr>
        <w:rPr>
          <w:rFonts w:ascii="Century Gothic" w:hAnsi="Century Gothic" w:cstheme="minorHAnsi"/>
          <w:bCs/>
          <w:sz w:val="22"/>
          <w:szCs w:val="22"/>
        </w:rPr>
      </w:pPr>
      <w:r w:rsidRPr="00AC43E3">
        <w:rPr>
          <w:rFonts w:ascii="Century Gothic" w:hAnsi="Century Gothic" w:cstheme="minorHAnsi"/>
          <w:bCs/>
          <w:sz w:val="22"/>
          <w:szCs w:val="22"/>
        </w:rPr>
        <w:t>Hlavná 106, 919 26 Zavar</w:t>
      </w:r>
    </w:p>
    <w:p w14:paraId="64B12A55" w14:textId="77777777" w:rsidR="00C74DAD" w:rsidRDefault="00C74DAD" w:rsidP="007E738E">
      <w:pPr>
        <w:rPr>
          <w:rFonts w:ascii="Century Gothic" w:hAnsi="Century Gothic" w:cstheme="minorHAnsi"/>
          <w:bCs/>
          <w:sz w:val="22"/>
          <w:szCs w:val="22"/>
        </w:rPr>
      </w:pPr>
    </w:p>
    <w:p w14:paraId="5634A216" w14:textId="77777777" w:rsidR="006D03D4" w:rsidRDefault="006D03D4" w:rsidP="007E738E">
      <w:pPr>
        <w:rPr>
          <w:rFonts w:ascii="Century Gothic" w:hAnsi="Century Gothic" w:cstheme="minorHAnsi"/>
          <w:bCs/>
          <w:sz w:val="22"/>
          <w:szCs w:val="22"/>
        </w:rPr>
      </w:pPr>
    </w:p>
    <w:p w14:paraId="6512615C" w14:textId="77777777" w:rsidR="006D03D4" w:rsidRDefault="006D03D4" w:rsidP="007E738E">
      <w:pPr>
        <w:rPr>
          <w:rFonts w:ascii="Century Gothic" w:hAnsi="Century Gothic" w:cstheme="minorHAnsi"/>
          <w:bCs/>
          <w:sz w:val="22"/>
          <w:szCs w:val="22"/>
        </w:rPr>
      </w:pPr>
    </w:p>
    <w:p w14:paraId="4AB84085" w14:textId="77777777" w:rsidR="006D03D4" w:rsidRDefault="006D03D4" w:rsidP="007E738E">
      <w:pPr>
        <w:rPr>
          <w:rFonts w:ascii="Century Gothic" w:hAnsi="Century Gothic" w:cstheme="minorHAnsi"/>
          <w:bCs/>
          <w:sz w:val="22"/>
          <w:szCs w:val="22"/>
        </w:rPr>
      </w:pPr>
    </w:p>
    <w:p w14:paraId="5C8ED55A" w14:textId="77777777" w:rsidR="006D03D4" w:rsidRDefault="006D03D4" w:rsidP="007E738E">
      <w:pPr>
        <w:rPr>
          <w:rFonts w:ascii="Century Gothic" w:hAnsi="Century Gothic" w:cstheme="minorHAnsi"/>
          <w:bCs/>
          <w:sz w:val="22"/>
          <w:szCs w:val="22"/>
        </w:rPr>
      </w:pPr>
    </w:p>
    <w:p w14:paraId="664D1AE8" w14:textId="77777777" w:rsidR="006D03D4" w:rsidRDefault="006D03D4" w:rsidP="007E738E">
      <w:pPr>
        <w:rPr>
          <w:rFonts w:ascii="Century Gothic" w:hAnsi="Century Gothic" w:cstheme="minorHAnsi"/>
          <w:bCs/>
          <w:sz w:val="22"/>
          <w:szCs w:val="22"/>
        </w:rPr>
      </w:pPr>
    </w:p>
    <w:p w14:paraId="339E2F24" w14:textId="77777777" w:rsidR="006D03D4" w:rsidRDefault="006D03D4" w:rsidP="007E738E">
      <w:pPr>
        <w:rPr>
          <w:rFonts w:ascii="Century Gothic" w:hAnsi="Century Gothic" w:cstheme="minorHAnsi"/>
          <w:bCs/>
          <w:sz w:val="22"/>
          <w:szCs w:val="22"/>
        </w:rPr>
      </w:pPr>
    </w:p>
    <w:p w14:paraId="02726985" w14:textId="77777777" w:rsidR="006D03D4" w:rsidRDefault="006D03D4" w:rsidP="007E738E">
      <w:pPr>
        <w:rPr>
          <w:rFonts w:ascii="Century Gothic" w:hAnsi="Century Gothic" w:cstheme="minorHAnsi"/>
          <w:bCs/>
          <w:sz w:val="22"/>
          <w:szCs w:val="22"/>
        </w:rPr>
      </w:pPr>
    </w:p>
    <w:p w14:paraId="06C9BC7F" w14:textId="77777777" w:rsidR="006D03D4" w:rsidRDefault="006D03D4" w:rsidP="007E738E">
      <w:pPr>
        <w:rPr>
          <w:rFonts w:ascii="Century Gothic" w:hAnsi="Century Gothic" w:cstheme="minorHAnsi"/>
          <w:bCs/>
          <w:sz w:val="22"/>
          <w:szCs w:val="22"/>
        </w:rPr>
      </w:pPr>
    </w:p>
    <w:p w14:paraId="324AB2F8" w14:textId="77777777" w:rsidR="006D03D4" w:rsidRDefault="006D03D4" w:rsidP="007E738E">
      <w:pPr>
        <w:rPr>
          <w:rFonts w:ascii="Century Gothic" w:hAnsi="Century Gothic" w:cstheme="minorHAnsi"/>
          <w:bCs/>
          <w:sz w:val="22"/>
          <w:szCs w:val="22"/>
        </w:rPr>
      </w:pPr>
    </w:p>
    <w:p w14:paraId="56EF11BD" w14:textId="77777777" w:rsidR="006D03D4" w:rsidRDefault="006D03D4" w:rsidP="007E738E">
      <w:pPr>
        <w:rPr>
          <w:rFonts w:ascii="Century Gothic" w:hAnsi="Century Gothic" w:cstheme="minorHAnsi"/>
          <w:bCs/>
          <w:sz w:val="22"/>
          <w:szCs w:val="22"/>
        </w:rPr>
      </w:pPr>
    </w:p>
    <w:p w14:paraId="08903623" w14:textId="77777777" w:rsidR="006D03D4" w:rsidRDefault="006D03D4" w:rsidP="007E738E">
      <w:pPr>
        <w:rPr>
          <w:rFonts w:ascii="Century Gothic" w:hAnsi="Century Gothic" w:cstheme="minorHAnsi"/>
          <w:bCs/>
          <w:sz w:val="22"/>
          <w:szCs w:val="22"/>
        </w:rPr>
      </w:pPr>
    </w:p>
    <w:p w14:paraId="16CE2BC4" w14:textId="77777777" w:rsidR="006D03D4" w:rsidRDefault="006D03D4" w:rsidP="007E738E">
      <w:pPr>
        <w:rPr>
          <w:rFonts w:ascii="Century Gothic" w:hAnsi="Century Gothic" w:cstheme="minorHAnsi"/>
          <w:bCs/>
          <w:sz w:val="22"/>
          <w:szCs w:val="22"/>
        </w:rPr>
      </w:pPr>
    </w:p>
    <w:p w14:paraId="6E2F8A0C" w14:textId="77777777" w:rsidR="006D03D4" w:rsidRDefault="006D03D4" w:rsidP="007E738E">
      <w:pPr>
        <w:rPr>
          <w:rFonts w:ascii="Century Gothic" w:hAnsi="Century Gothic" w:cstheme="minorHAnsi"/>
          <w:bCs/>
          <w:sz w:val="22"/>
          <w:szCs w:val="22"/>
        </w:rPr>
      </w:pPr>
    </w:p>
    <w:p w14:paraId="3375E245" w14:textId="77777777" w:rsidR="006D03D4" w:rsidRDefault="006D03D4" w:rsidP="007E738E">
      <w:pPr>
        <w:rPr>
          <w:rFonts w:ascii="Century Gothic" w:hAnsi="Century Gothic" w:cstheme="minorHAnsi"/>
          <w:bCs/>
          <w:sz w:val="22"/>
          <w:szCs w:val="22"/>
        </w:rPr>
      </w:pPr>
    </w:p>
    <w:p w14:paraId="6D44C491" w14:textId="77777777" w:rsidR="006D03D4" w:rsidRDefault="006D03D4" w:rsidP="007E738E">
      <w:pPr>
        <w:rPr>
          <w:rFonts w:ascii="Century Gothic" w:hAnsi="Century Gothic" w:cstheme="minorHAnsi"/>
          <w:bCs/>
          <w:sz w:val="22"/>
          <w:szCs w:val="22"/>
        </w:rPr>
      </w:pPr>
    </w:p>
    <w:p w14:paraId="6A61DC2D" w14:textId="77777777" w:rsidR="006D03D4" w:rsidRDefault="006D03D4" w:rsidP="007E738E">
      <w:pPr>
        <w:rPr>
          <w:rFonts w:ascii="Century Gothic" w:hAnsi="Century Gothic" w:cstheme="minorHAnsi"/>
          <w:bCs/>
          <w:sz w:val="22"/>
          <w:szCs w:val="22"/>
        </w:rPr>
      </w:pPr>
    </w:p>
    <w:p w14:paraId="45C19A11" w14:textId="77777777" w:rsidR="006D03D4" w:rsidRDefault="006D03D4" w:rsidP="007E738E">
      <w:pPr>
        <w:rPr>
          <w:rFonts w:ascii="Century Gothic" w:hAnsi="Century Gothic" w:cstheme="minorHAnsi"/>
          <w:bCs/>
          <w:sz w:val="22"/>
          <w:szCs w:val="22"/>
        </w:rPr>
      </w:pPr>
    </w:p>
    <w:p w14:paraId="5312DC66" w14:textId="77777777" w:rsidR="006D03D4" w:rsidRDefault="006D03D4" w:rsidP="007E738E">
      <w:pPr>
        <w:rPr>
          <w:rFonts w:ascii="Century Gothic" w:hAnsi="Century Gothic" w:cstheme="minorHAnsi"/>
          <w:bCs/>
          <w:sz w:val="22"/>
          <w:szCs w:val="22"/>
        </w:rPr>
      </w:pPr>
    </w:p>
    <w:p w14:paraId="6DFE5E38" w14:textId="77777777" w:rsidR="006D03D4" w:rsidRDefault="006D03D4" w:rsidP="007E738E">
      <w:pPr>
        <w:rPr>
          <w:rFonts w:ascii="Century Gothic" w:hAnsi="Century Gothic" w:cstheme="minorHAnsi"/>
          <w:bCs/>
          <w:sz w:val="22"/>
          <w:szCs w:val="22"/>
        </w:rPr>
      </w:pPr>
    </w:p>
    <w:p w14:paraId="680DF7EA" w14:textId="77777777" w:rsidR="006D03D4" w:rsidRDefault="006D03D4" w:rsidP="007E738E">
      <w:pPr>
        <w:rPr>
          <w:rFonts w:ascii="Century Gothic" w:hAnsi="Century Gothic" w:cstheme="minorHAnsi"/>
          <w:bCs/>
          <w:sz w:val="22"/>
          <w:szCs w:val="22"/>
        </w:rPr>
      </w:pPr>
    </w:p>
    <w:p w14:paraId="68D62BA0" w14:textId="2A003547" w:rsidR="006D03D4" w:rsidRDefault="006D03D4" w:rsidP="007E738E">
      <w:pPr>
        <w:rPr>
          <w:rFonts w:ascii="Century Gothic" w:hAnsi="Century Gothic" w:cstheme="minorHAnsi"/>
          <w:bCs/>
          <w:sz w:val="22"/>
          <w:szCs w:val="22"/>
        </w:rPr>
      </w:pPr>
    </w:p>
    <w:p w14:paraId="6508ACA6" w14:textId="3AC9B127" w:rsidR="006D03D4" w:rsidRDefault="006D03D4" w:rsidP="007E738E">
      <w:pPr>
        <w:rPr>
          <w:rFonts w:ascii="Century Gothic" w:hAnsi="Century Gothic" w:cstheme="minorHAnsi"/>
          <w:bCs/>
          <w:sz w:val="22"/>
          <w:szCs w:val="22"/>
        </w:rPr>
      </w:pPr>
    </w:p>
    <w:p w14:paraId="669DE8D4" w14:textId="52F9E7AE" w:rsidR="006D03D4" w:rsidRDefault="006D03D4" w:rsidP="007E738E">
      <w:pPr>
        <w:rPr>
          <w:rFonts w:ascii="Century Gothic" w:hAnsi="Century Gothic" w:cstheme="minorHAnsi"/>
          <w:bCs/>
          <w:sz w:val="22"/>
          <w:szCs w:val="22"/>
        </w:rPr>
      </w:pPr>
    </w:p>
    <w:p w14:paraId="5839CFCF" w14:textId="3CE60A9F" w:rsidR="006D03D4" w:rsidRDefault="006D03D4" w:rsidP="007E738E">
      <w:pPr>
        <w:rPr>
          <w:rFonts w:ascii="Century Gothic" w:hAnsi="Century Gothic" w:cstheme="minorHAnsi"/>
          <w:bCs/>
          <w:sz w:val="22"/>
          <w:szCs w:val="22"/>
        </w:rPr>
      </w:pPr>
    </w:p>
    <w:p w14:paraId="6032481B" w14:textId="0405258E" w:rsidR="006D03D4" w:rsidRDefault="006D03D4" w:rsidP="007E738E">
      <w:pPr>
        <w:rPr>
          <w:rFonts w:ascii="Century Gothic" w:hAnsi="Century Gothic" w:cstheme="minorHAnsi"/>
          <w:bCs/>
          <w:sz w:val="22"/>
          <w:szCs w:val="22"/>
        </w:rPr>
      </w:pPr>
    </w:p>
    <w:p w14:paraId="547E61B8" w14:textId="77777777" w:rsidR="006D03D4" w:rsidRDefault="006D03D4" w:rsidP="007E738E">
      <w:pPr>
        <w:rPr>
          <w:rFonts w:ascii="Century Gothic" w:hAnsi="Century Gothic" w:cstheme="minorHAnsi"/>
          <w:bCs/>
          <w:sz w:val="22"/>
          <w:szCs w:val="22"/>
        </w:rPr>
      </w:pPr>
    </w:p>
    <w:p w14:paraId="366E7C0A" w14:textId="77777777" w:rsidR="006D03D4" w:rsidRDefault="006D03D4" w:rsidP="007E738E">
      <w:pPr>
        <w:rPr>
          <w:rFonts w:ascii="Century Gothic" w:hAnsi="Century Gothic" w:cstheme="minorHAnsi"/>
          <w:bCs/>
          <w:sz w:val="22"/>
          <w:szCs w:val="22"/>
        </w:rPr>
      </w:pPr>
    </w:p>
    <w:p w14:paraId="642CB53D" w14:textId="77777777" w:rsidR="006D03D4" w:rsidRDefault="006D03D4" w:rsidP="007E738E">
      <w:pPr>
        <w:rPr>
          <w:rFonts w:ascii="Century Gothic" w:hAnsi="Century Gothic" w:cstheme="minorHAnsi"/>
          <w:bCs/>
          <w:sz w:val="22"/>
          <w:szCs w:val="22"/>
        </w:rPr>
      </w:pPr>
    </w:p>
    <w:p w14:paraId="756E677D" w14:textId="0BF12408" w:rsidR="00C74DAD" w:rsidRDefault="00C74DAD" w:rsidP="007E738E">
      <w:pPr>
        <w:rPr>
          <w:rFonts w:ascii="Century Gothic" w:hAnsi="Century Gothic" w:cstheme="minorHAnsi"/>
          <w:bCs/>
          <w:sz w:val="22"/>
          <w:szCs w:val="22"/>
        </w:rPr>
      </w:pPr>
      <w:r>
        <w:rPr>
          <w:rFonts w:ascii="Century Gothic" w:hAnsi="Century Gothic" w:cstheme="minorHAnsi"/>
          <w:bCs/>
          <w:sz w:val="22"/>
          <w:szCs w:val="22"/>
        </w:rPr>
        <w:t>Autorský tím:</w:t>
      </w:r>
    </w:p>
    <w:p w14:paraId="3D000420" w14:textId="004179F4" w:rsidR="000412AF" w:rsidRDefault="000412AF" w:rsidP="007E738E">
      <w:pPr>
        <w:rPr>
          <w:rFonts w:ascii="Century Gothic" w:hAnsi="Century Gothic" w:cstheme="minorHAnsi"/>
          <w:bCs/>
          <w:sz w:val="22"/>
          <w:szCs w:val="22"/>
        </w:rPr>
      </w:pPr>
      <w:r>
        <w:rPr>
          <w:rFonts w:ascii="Century Gothic" w:hAnsi="Century Gothic" w:cstheme="minorHAnsi"/>
          <w:bCs/>
          <w:sz w:val="22"/>
          <w:szCs w:val="22"/>
        </w:rPr>
        <w:t>Ing. Peter Nová</w:t>
      </w:r>
      <w:r w:rsidR="007D7660">
        <w:rPr>
          <w:rFonts w:ascii="Century Gothic" w:hAnsi="Century Gothic" w:cstheme="minorHAnsi"/>
          <w:bCs/>
          <w:sz w:val="22"/>
          <w:szCs w:val="22"/>
        </w:rPr>
        <w:t>k</w:t>
      </w:r>
      <w:r>
        <w:rPr>
          <w:rFonts w:ascii="Century Gothic" w:hAnsi="Century Gothic" w:cstheme="minorHAnsi"/>
          <w:bCs/>
          <w:sz w:val="22"/>
          <w:szCs w:val="22"/>
        </w:rPr>
        <w:t>, MBA</w:t>
      </w:r>
    </w:p>
    <w:p w14:paraId="4C4271FE" w14:textId="7F5A15B7" w:rsidR="000412AF" w:rsidRDefault="003724C0" w:rsidP="007E738E">
      <w:pPr>
        <w:rPr>
          <w:rFonts w:ascii="Century Gothic" w:hAnsi="Century Gothic" w:cstheme="minorHAnsi"/>
          <w:bCs/>
          <w:sz w:val="22"/>
          <w:szCs w:val="22"/>
        </w:rPr>
      </w:pPr>
      <w:r w:rsidRPr="003724C0">
        <w:rPr>
          <w:rFonts w:ascii="Century Gothic" w:hAnsi="Century Gothic" w:cstheme="minorHAnsi"/>
          <w:bCs/>
          <w:sz w:val="22"/>
          <w:szCs w:val="22"/>
        </w:rPr>
        <w:t xml:space="preserve">PhDr. Vladimíra </w:t>
      </w:r>
      <w:proofErr w:type="spellStart"/>
      <w:r w:rsidRPr="003724C0">
        <w:rPr>
          <w:rFonts w:ascii="Century Gothic" w:hAnsi="Century Gothic" w:cstheme="minorHAnsi"/>
          <w:bCs/>
          <w:sz w:val="22"/>
          <w:szCs w:val="22"/>
        </w:rPr>
        <w:t>Pazderová</w:t>
      </w:r>
      <w:proofErr w:type="spellEnd"/>
      <w:r w:rsidRPr="003724C0">
        <w:rPr>
          <w:rFonts w:ascii="Century Gothic" w:hAnsi="Century Gothic" w:cstheme="minorHAnsi"/>
          <w:bCs/>
          <w:sz w:val="22"/>
          <w:szCs w:val="22"/>
        </w:rPr>
        <w:t>, PhD.</w:t>
      </w:r>
    </w:p>
    <w:p w14:paraId="41FB1B28" w14:textId="0E0D9817" w:rsidR="00C74DAD" w:rsidRDefault="00EB1829" w:rsidP="007E738E">
      <w:pPr>
        <w:rPr>
          <w:rFonts w:ascii="Century Gothic" w:hAnsi="Century Gothic" w:cstheme="minorHAnsi"/>
          <w:bCs/>
          <w:sz w:val="22"/>
          <w:szCs w:val="22"/>
        </w:rPr>
      </w:pPr>
      <w:r>
        <w:rPr>
          <w:rFonts w:ascii="Century Gothic" w:hAnsi="Century Gothic" w:cstheme="minorHAnsi"/>
          <w:bCs/>
          <w:sz w:val="22"/>
          <w:szCs w:val="22"/>
        </w:rPr>
        <w:t xml:space="preserve">MUDr. Adam </w:t>
      </w:r>
      <w:proofErr w:type="spellStart"/>
      <w:r>
        <w:rPr>
          <w:rFonts w:ascii="Century Gothic" w:hAnsi="Century Gothic" w:cstheme="minorHAnsi"/>
          <w:bCs/>
          <w:sz w:val="22"/>
          <w:szCs w:val="22"/>
        </w:rPr>
        <w:t>Hochel</w:t>
      </w:r>
      <w:proofErr w:type="spellEnd"/>
      <w:r>
        <w:rPr>
          <w:rFonts w:ascii="Century Gothic" w:hAnsi="Century Gothic" w:cstheme="minorHAnsi"/>
          <w:bCs/>
          <w:sz w:val="22"/>
          <w:szCs w:val="22"/>
        </w:rPr>
        <w:t>, PhD., MPH</w:t>
      </w:r>
    </w:p>
    <w:p w14:paraId="0EC9552A" w14:textId="77777777" w:rsidR="00C74DAD" w:rsidRPr="00AC43E3" w:rsidRDefault="00C74DAD" w:rsidP="007E738E">
      <w:pPr>
        <w:rPr>
          <w:rFonts w:ascii="Century Gothic" w:hAnsi="Century Gothic" w:cstheme="minorHAnsi"/>
          <w:bCs/>
          <w:sz w:val="22"/>
          <w:szCs w:val="22"/>
        </w:rPr>
      </w:pPr>
    </w:p>
    <w:p w14:paraId="16975ED1" w14:textId="78AC9B53" w:rsidR="00FA5EC1" w:rsidRPr="00AC43E3" w:rsidRDefault="00FA5EC1" w:rsidP="00FA5EC1">
      <w:pPr>
        <w:spacing w:line="240" w:lineRule="auto"/>
        <w:rPr>
          <w:rFonts w:ascii="Century Gothic" w:hAnsi="Century Gothic" w:cstheme="minorHAnsi"/>
          <w:b/>
          <w:bCs/>
        </w:rPr>
      </w:pPr>
    </w:p>
    <w:p w14:paraId="0DFA83E7" w14:textId="566A93BA" w:rsidR="00F6375C" w:rsidRPr="00AC43E3" w:rsidRDefault="00F6375C" w:rsidP="00FA5EC1">
      <w:pPr>
        <w:spacing w:line="240" w:lineRule="auto"/>
        <w:rPr>
          <w:rFonts w:ascii="Century Gothic" w:hAnsi="Century Gothic" w:cstheme="minorHAnsi"/>
          <w:bCs/>
          <w:sz w:val="22"/>
          <w:szCs w:val="22"/>
        </w:rPr>
      </w:pPr>
    </w:p>
    <w:p w14:paraId="51B223A1" w14:textId="289C4F31" w:rsidR="00F6375C" w:rsidRPr="00AC43E3" w:rsidRDefault="00F6375C" w:rsidP="00FA5EC1">
      <w:pPr>
        <w:spacing w:line="240" w:lineRule="auto"/>
        <w:rPr>
          <w:rFonts w:ascii="Century Gothic" w:hAnsi="Century Gothic" w:cstheme="minorHAnsi"/>
          <w:bCs/>
          <w:sz w:val="22"/>
          <w:szCs w:val="22"/>
        </w:rPr>
      </w:pPr>
    </w:p>
    <w:p w14:paraId="0F96C925" w14:textId="77777777" w:rsidR="00F6375C" w:rsidRPr="00AC43E3" w:rsidRDefault="00F6375C" w:rsidP="00FA5EC1">
      <w:pPr>
        <w:spacing w:line="240" w:lineRule="auto"/>
        <w:rPr>
          <w:rFonts w:ascii="Century Gothic" w:hAnsi="Century Gothic" w:cstheme="minorHAnsi"/>
          <w:bCs/>
          <w:sz w:val="22"/>
          <w:szCs w:val="22"/>
        </w:rPr>
      </w:pPr>
    </w:p>
    <w:p w14:paraId="7DEA4161" w14:textId="77777777" w:rsidR="00FA5EC1" w:rsidRPr="00AC43E3" w:rsidRDefault="00FA5EC1" w:rsidP="00FA5EC1">
      <w:pPr>
        <w:spacing w:line="240" w:lineRule="auto"/>
        <w:rPr>
          <w:rFonts w:ascii="Century Gothic" w:hAnsi="Century Gothic" w:cstheme="minorHAnsi"/>
          <w:bCs/>
          <w:sz w:val="22"/>
          <w:szCs w:val="22"/>
        </w:rPr>
      </w:pPr>
    </w:p>
    <w:p w14:paraId="1A92A429" w14:textId="77777777" w:rsidR="00FA5EC1" w:rsidRPr="00AC43E3" w:rsidRDefault="00FA5EC1" w:rsidP="00FA5EC1">
      <w:pPr>
        <w:spacing w:line="240" w:lineRule="auto"/>
        <w:rPr>
          <w:rFonts w:ascii="Century Gothic" w:hAnsi="Century Gothic" w:cstheme="minorHAnsi"/>
          <w:bCs/>
          <w:sz w:val="22"/>
          <w:szCs w:val="22"/>
        </w:rPr>
      </w:pPr>
    </w:p>
    <w:p w14:paraId="06B0743E" w14:textId="66A23C74" w:rsidR="00FA5EC1" w:rsidRPr="00AC43E3" w:rsidRDefault="00FA5EC1" w:rsidP="00FA5EC1">
      <w:pPr>
        <w:spacing w:line="240" w:lineRule="auto"/>
        <w:jc w:val="center"/>
        <w:rPr>
          <w:rFonts w:ascii="Century Gothic" w:hAnsi="Century Gothic" w:cstheme="minorHAnsi"/>
          <w:bCs/>
          <w:sz w:val="22"/>
          <w:szCs w:val="22"/>
        </w:rPr>
      </w:pPr>
      <w:r w:rsidRPr="00AC43E3">
        <w:rPr>
          <w:rFonts w:ascii="Century Gothic" w:hAnsi="Century Gothic" w:cstheme="minorHAnsi"/>
          <w:bCs/>
          <w:sz w:val="22"/>
          <w:szCs w:val="22"/>
        </w:rPr>
        <w:t>Spracované v </w:t>
      </w:r>
      <w:r w:rsidR="007B7154" w:rsidRPr="00AC43E3">
        <w:rPr>
          <w:rFonts w:ascii="Century Gothic" w:hAnsi="Century Gothic" w:cstheme="minorHAnsi"/>
          <w:bCs/>
          <w:sz w:val="22"/>
          <w:szCs w:val="22"/>
        </w:rPr>
        <w:t>Zavare</w:t>
      </w:r>
    </w:p>
    <w:p w14:paraId="53DE05E9" w14:textId="77777777" w:rsidR="00DA4E9D" w:rsidRDefault="00F6375C" w:rsidP="00F6375C">
      <w:pPr>
        <w:spacing w:line="240" w:lineRule="auto"/>
        <w:jc w:val="center"/>
        <w:rPr>
          <w:rFonts w:ascii="Century Gothic" w:hAnsi="Century Gothic" w:cstheme="minorHAnsi"/>
          <w:bCs/>
          <w:sz w:val="22"/>
          <w:szCs w:val="22"/>
        </w:rPr>
        <w:sectPr w:rsidR="00DA4E9D" w:rsidSect="00FA46B4">
          <w:headerReference w:type="default" r:id="rId10"/>
          <w:footerReference w:type="default" r:id="rId11"/>
          <w:pgSz w:w="11906" w:h="16838"/>
          <w:pgMar w:top="1417" w:right="1417" w:bottom="1417" w:left="1417" w:header="851" w:footer="708" w:gutter="0"/>
          <w:cols w:space="708"/>
          <w:docGrid w:linePitch="360"/>
        </w:sectPr>
      </w:pPr>
      <w:r w:rsidRPr="00AC43E3">
        <w:rPr>
          <w:rFonts w:ascii="Century Gothic" w:hAnsi="Century Gothic" w:cstheme="minorHAnsi"/>
          <w:bCs/>
          <w:sz w:val="22"/>
          <w:szCs w:val="22"/>
        </w:rPr>
        <w:t>2022</w:t>
      </w:r>
      <w:r w:rsidR="002968D3" w:rsidRPr="00AC43E3">
        <w:rPr>
          <w:rFonts w:ascii="Century Gothic" w:hAnsi="Century Gothic" w:cstheme="minorHAnsi"/>
          <w:bCs/>
          <w:sz w:val="22"/>
          <w:szCs w:val="22"/>
        </w:rPr>
        <w:t>-2023</w:t>
      </w:r>
    </w:p>
    <w:bookmarkStart w:id="0" w:name="_Toc130963065" w:displacedByCustomXml="next"/>
    <w:bookmarkStart w:id="1" w:name="_Toc114810987" w:displacedByCustomXml="next"/>
    <w:bookmarkStart w:id="2" w:name="_Toc114810888" w:displacedByCustomXml="next"/>
    <w:bookmarkStart w:id="3" w:name="_Toc114728990" w:displacedByCustomXml="next"/>
    <w:bookmarkStart w:id="4" w:name="_Toc114724402" w:displacedByCustomXml="next"/>
    <w:bookmarkStart w:id="5" w:name="_Toc140667679" w:displacedByCustomXml="next"/>
    <w:bookmarkStart w:id="6" w:name="_Toc145219938" w:displacedByCustomXml="next"/>
    <w:sdt>
      <w:sdtPr>
        <w:rPr>
          <w:rFonts w:ascii="Century Gothic" w:eastAsia="Times New Roman" w:hAnsi="Century Gothic" w:cs="Calibri Light"/>
          <w:b w:val="0"/>
          <w:bCs w:val="0"/>
          <w:color w:val="auto"/>
          <w:sz w:val="32"/>
          <w:szCs w:val="32"/>
          <w:lang w:eastAsia="en-US"/>
        </w:rPr>
        <w:id w:val="1948111845"/>
        <w:docPartObj>
          <w:docPartGallery w:val="Table of Contents"/>
          <w:docPartUnique/>
        </w:docPartObj>
      </w:sdtPr>
      <w:sdtEndPr>
        <w:rPr>
          <w:rFonts w:cstheme="minorHAnsi"/>
          <w:sz w:val="22"/>
          <w:szCs w:val="22"/>
          <w:lang w:eastAsia="sk-SK"/>
        </w:rPr>
      </w:sdtEndPr>
      <w:sdtContent>
        <w:p w14:paraId="41B922D4" w14:textId="2011128A" w:rsidR="00926228" w:rsidRDefault="00926228" w:rsidP="00C72254">
          <w:pPr>
            <w:pStyle w:val="Nadpis10"/>
            <w:spacing w:before="240" w:line="259" w:lineRule="auto"/>
            <w:ind w:left="720"/>
            <w:jc w:val="left"/>
            <w:rPr>
              <w:rFonts w:ascii="Century Gothic" w:hAnsi="Century Gothic" w:cs="Calibri Light"/>
              <w:b w:val="0"/>
              <w:bCs w:val="0"/>
              <w:sz w:val="32"/>
              <w:szCs w:val="32"/>
              <w:lang w:eastAsia="en-US"/>
            </w:rPr>
          </w:pPr>
          <w:r w:rsidRPr="00C72254">
            <w:rPr>
              <w:rFonts w:ascii="Century Gothic" w:hAnsi="Century Gothic" w:cs="Calibri Light"/>
              <w:b w:val="0"/>
              <w:bCs w:val="0"/>
              <w:sz w:val="32"/>
              <w:szCs w:val="32"/>
              <w:lang w:eastAsia="en-US"/>
            </w:rPr>
            <w:t>OBSAH</w:t>
          </w:r>
          <w:bookmarkEnd w:id="6"/>
          <w:bookmarkEnd w:id="5"/>
          <w:bookmarkEnd w:id="4"/>
          <w:bookmarkEnd w:id="3"/>
          <w:bookmarkEnd w:id="2"/>
          <w:bookmarkEnd w:id="1"/>
          <w:bookmarkEnd w:id="0"/>
        </w:p>
        <w:p w14:paraId="4A00F01B" w14:textId="77777777" w:rsidR="00224D33" w:rsidRPr="002826DC" w:rsidRDefault="00224D33" w:rsidP="00224D33">
          <w:pPr>
            <w:rPr>
              <w:rFonts w:ascii="Century Gothic" w:hAnsi="Century Gothic"/>
              <w:sz w:val="22"/>
              <w:szCs w:val="22"/>
              <w:lang w:eastAsia="en-US"/>
            </w:rPr>
          </w:pPr>
        </w:p>
        <w:p w14:paraId="17BE384D" w14:textId="27C08BA0" w:rsidR="00BB692D" w:rsidRPr="00BB692D" w:rsidRDefault="00926228">
          <w:pPr>
            <w:pStyle w:val="Obsah1"/>
            <w:rPr>
              <w:rFonts w:ascii="Century Gothic" w:eastAsiaTheme="minorEastAsia" w:hAnsi="Century Gothic" w:cstheme="minorBidi"/>
              <w:noProof/>
              <w:sz w:val="20"/>
              <w:szCs w:val="20"/>
            </w:rPr>
          </w:pPr>
          <w:r w:rsidRPr="00BB692D">
            <w:rPr>
              <w:rFonts w:ascii="Century Gothic" w:hAnsi="Century Gothic" w:cstheme="minorHAnsi"/>
              <w:color w:val="365F91" w:themeColor="accent1" w:themeShade="BF"/>
              <w:sz w:val="20"/>
              <w:szCs w:val="20"/>
            </w:rPr>
            <w:fldChar w:fldCharType="begin"/>
          </w:r>
          <w:r w:rsidRPr="00BB692D">
            <w:rPr>
              <w:rFonts w:ascii="Century Gothic" w:hAnsi="Century Gothic" w:cstheme="minorHAnsi"/>
              <w:color w:val="365F91" w:themeColor="accent1" w:themeShade="BF"/>
              <w:sz w:val="20"/>
              <w:szCs w:val="20"/>
            </w:rPr>
            <w:instrText xml:space="preserve"> TOC \o "1-3" \h \z \u </w:instrText>
          </w:r>
          <w:r w:rsidRPr="00BB692D">
            <w:rPr>
              <w:rFonts w:ascii="Century Gothic" w:hAnsi="Century Gothic" w:cstheme="minorHAnsi"/>
              <w:color w:val="365F91" w:themeColor="accent1" w:themeShade="BF"/>
              <w:sz w:val="20"/>
              <w:szCs w:val="20"/>
            </w:rPr>
            <w:fldChar w:fldCharType="separate"/>
          </w:r>
          <w:hyperlink w:anchor="_Toc145219938" w:history="1">
            <w:r w:rsidR="00BB692D" w:rsidRPr="00BB692D">
              <w:rPr>
                <w:rStyle w:val="Hypertextovprepojenie"/>
                <w:rFonts w:ascii="Century Gothic" w:eastAsiaTheme="majorEastAsia" w:hAnsi="Century Gothic" w:cs="Calibri Light"/>
                <w:sz w:val="20"/>
                <w:szCs w:val="20"/>
                <w:lang w:eastAsia="en-US"/>
              </w:rPr>
              <w:t>OBSAH</w:t>
            </w:r>
            <w:r w:rsidR="00BB692D" w:rsidRPr="00BB692D">
              <w:rPr>
                <w:rFonts w:ascii="Century Gothic" w:hAnsi="Century Gothic"/>
                <w:noProof/>
                <w:webHidden/>
                <w:sz w:val="20"/>
                <w:szCs w:val="20"/>
              </w:rPr>
              <w:tab/>
            </w:r>
            <w:r w:rsid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w:t>
            </w:r>
            <w:r w:rsidR="00BB692D" w:rsidRPr="00BB692D">
              <w:rPr>
                <w:rFonts w:ascii="Century Gothic" w:hAnsi="Century Gothic"/>
                <w:noProof/>
                <w:webHidden/>
                <w:sz w:val="20"/>
                <w:szCs w:val="20"/>
              </w:rPr>
              <w:fldChar w:fldCharType="end"/>
            </w:r>
          </w:hyperlink>
        </w:p>
        <w:p w14:paraId="77829179" w14:textId="62989CAC" w:rsidR="00BB692D" w:rsidRPr="00BB692D" w:rsidRDefault="003F238F">
          <w:pPr>
            <w:pStyle w:val="Obsah1"/>
            <w:rPr>
              <w:rFonts w:ascii="Century Gothic" w:eastAsiaTheme="minorEastAsia" w:hAnsi="Century Gothic" w:cstheme="minorBidi"/>
              <w:noProof/>
              <w:sz w:val="20"/>
              <w:szCs w:val="20"/>
            </w:rPr>
          </w:pPr>
          <w:hyperlink w:anchor="_Toc145219939" w:history="1">
            <w:r w:rsidR="00BB692D" w:rsidRPr="00BB692D">
              <w:rPr>
                <w:rStyle w:val="Hypertextovprepojenie"/>
                <w:rFonts w:ascii="Century Gothic" w:eastAsiaTheme="majorEastAsia" w:hAnsi="Century Gothic" w:cs="Calibri Light"/>
                <w:sz w:val="20"/>
                <w:szCs w:val="20"/>
                <w:lang w:eastAsia="en-US"/>
              </w:rPr>
              <w:t>ZOZNAM TABULIEK</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w:t>
            </w:r>
            <w:r w:rsidR="00BB692D" w:rsidRPr="00BB692D">
              <w:rPr>
                <w:rFonts w:ascii="Century Gothic" w:hAnsi="Century Gothic"/>
                <w:noProof/>
                <w:webHidden/>
                <w:sz w:val="20"/>
                <w:szCs w:val="20"/>
              </w:rPr>
              <w:fldChar w:fldCharType="end"/>
            </w:r>
          </w:hyperlink>
        </w:p>
        <w:p w14:paraId="6713D54D" w14:textId="7C950516" w:rsidR="00BB692D" w:rsidRPr="00BB692D" w:rsidRDefault="003F238F">
          <w:pPr>
            <w:pStyle w:val="Obsah1"/>
            <w:rPr>
              <w:rFonts w:ascii="Century Gothic" w:eastAsiaTheme="minorEastAsia" w:hAnsi="Century Gothic" w:cstheme="minorBidi"/>
              <w:noProof/>
              <w:sz w:val="20"/>
              <w:szCs w:val="20"/>
            </w:rPr>
          </w:pPr>
          <w:hyperlink w:anchor="_Toc145219940" w:history="1">
            <w:r w:rsidR="00BB692D" w:rsidRPr="00BB692D">
              <w:rPr>
                <w:rStyle w:val="Hypertextovprepojenie"/>
                <w:rFonts w:ascii="Century Gothic" w:eastAsiaTheme="majorEastAsia" w:hAnsi="Century Gothic" w:cs="Calibri Light"/>
                <w:sz w:val="20"/>
                <w:szCs w:val="20"/>
                <w:lang w:eastAsia="en-US"/>
              </w:rPr>
              <w:t>ZOZNAM GRAFOV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w:t>
            </w:r>
            <w:r w:rsidR="00BB692D" w:rsidRPr="00BB692D">
              <w:rPr>
                <w:rFonts w:ascii="Century Gothic" w:hAnsi="Century Gothic"/>
                <w:noProof/>
                <w:webHidden/>
                <w:sz w:val="20"/>
                <w:szCs w:val="20"/>
              </w:rPr>
              <w:fldChar w:fldCharType="end"/>
            </w:r>
          </w:hyperlink>
        </w:p>
        <w:p w14:paraId="7EEADF08" w14:textId="60E33CE3" w:rsidR="00BB692D" w:rsidRPr="00BB692D" w:rsidRDefault="003F238F">
          <w:pPr>
            <w:pStyle w:val="Obsah1"/>
            <w:rPr>
              <w:rFonts w:ascii="Century Gothic" w:eastAsiaTheme="minorEastAsia" w:hAnsi="Century Gothic" w:cstheme="minorBidi"/>
              <w:noProof/>
              <w:sz w:val="20"/>
              <w:szCs w:val="20"/>
            </w:rPr>
          </w:pPr>
          <w:hyperlink w:anchor="_Toc145219941" w:history="1">
            <w:r w:rsidR="00BB692D" w:rsidRPr="00BB692D">
              <w:rPr>
                <w:rStyle w:val="Hypertextovprepojenie"/>
                <w:rFonts w:ascii="Century Gothic" w:eastAsiaTheme="majorEastAsia" w:hAnsi="Century Gothic" w:cs="Calibri Light"/>
                <w:sz w:val="20"/>
                <w:szCs w:val="20"/>
                <w:lang w:eastAsia="en-US"/>
              </w:rPr>
              <w:t>ZOZNAM OBRÁZKOV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w:t>
            </w:r>
            <w:r w:rsidR="00BB692D" w:rsidRPr="00BB692D">
              <w:rPr>
                <w:rFonts w:ascii="Century Gothic" w:hAnsi="Century Gothic"/>
                <w:noProof/>
                <w:webHidden/>
                <w:sz w:val="20"/>
                <w:szCs w:val="20"/>
              </w:rPr>
              <w:fldChar w:fldCharType="end"/>
            </w:r>
          </w:hyperlink>
        </w:p>
        <w:p w14:paraId="137B43F9" w14:textId="498A1CBB" w:rsidR="00BB692D" w:rsidRPr="00BB692D" w:rsidRDefault="003F238F">
          <w:pPr>
            <w:pStyle w:val="Obsah1"/>
            <w:rPr>
              <w:rFonts w:ascii="Century Gothic" w:eastAsiaTheme="minorEastAsia" w:hAnsi="Century Gothic" w:cstheme="minorBidi"/>
              <w:noProof/>
              <w:sz w:val="20"/>
              <w:szCs w:val="20"/>
            </w:rPr>
          </w:pPr>
          <w:hyperlink w:anchor="_Toc145219942" w:history="1">
            <w:r w:rsidR="00BB692D" w:rsidRPr="00BB692D">
              <w:rPr>
                <w:rStyle w:val="Hypertextovprepojenie"/>
                <w:rFonts w:ascii="Century Gothic" w:eastAsiaTheme="majorEastAsia" w:hAnsi="Century Gothic" w:cs="Calibri Light"/>
                <w:sz w:val="20"/>
                <w:szCs w:val="20"/>
                <w:lang w:eastAsia="en-US"/>
              </w:rPr>
              <w:t>ZOZNAM SKRATIEK</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6</w:t>
            </w:r>
            <w:r w:rsidR="00BB692D" w:rsidRPr="00BB692D">
              <w:rPr>
                <w:rFonts w:ascii="Century Gothic" w:hAnsi="Century Gothic"/>
                <w:noProof/>
                <w:webHidden/>
                <w:sz w:val="20"/>
                <w:szCs w:val="20"/>
              </w:rPr>
              <w:fldChar w:fldCharType="end"/>
            </w:r>
          </w:hyperlink>
        </w:p>
        <w:p w14:paraId="7AEB69EA" w14:textId="6D324D4B" w:rsidR="00BB692D" w:rsidRPr="00BB692D" w:rsidRDefault="003F238F">
          <w:pPr>
            <w:pStyle w:val="Obsah1"/>
            <w:rPr>
              <w:rFonts w:ascii="Century Gothic" w:eastAsiaTheme="minorEastAsia" w:hAnsi="Century Gothic" w:cstheme="minorBidi"/>
              <w:noProof/>
              <w:sz w:val="20"/>
              <w:szCs w:val="20"/>
            </w:rPr>
          </w:pPr>
          <w:hyperlink w:anchor="_Toc145219943" w:history="1">
            <w:r w:rsidR="00BB692D" w:rsidRPr="00BB692D">
              <w:rPr>
                <w:rStyle w:val="Hypertextovprepojenie"/>
                <w:rFonts w:ascii="Century Gothic" w:eastAsiaTheme="majorEastAsia" w:hAnsi="Century Gothic" w:cs="Calibri Light"/>
                <w:sz w:val="20"/>
                <w:szCs w:val="20"/>
                <w:lang w:eastAsia="en-US"/>
              </w:rPr>
              <w:t>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Úvod</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7</w:t>
            </w:r>
            <w:r w:rsidR="00BB692D" w:rsidRPr="00BB692D">
              <w:rPr>
                <w:rFonts w:ascii="Century Gothic" w:hAnsi="Century Gothic"/>
                <w:noProof/>
                <w:webHidden/>
                <w:sz w:val="20"/>
                <w:szCs w:val="20"/>
              </w:rPr>
              <w:fldChar w:fldCharType="end"/>
            </w:r>
          </w:hyperlink>
        </w:p>
        <w:p w14:paraId="344B3AA2" w14:textId="3804CD33" w:rsidR="00BB692D" w:rsidRPr="00BB692D" w:rsidRDefault="003F238F">
          <w:pPr>
            <w:pStyle w:val="Obsah1"/>
            <w:rPr>
              <w:rFonts w:ascii="Century Gothic" w:eastAsiaTheme="minorEastAsia" w:hAnsi="Century Gothic" w:cstheme="minorBidi"/>
              <w:noProof/>
              <w:sz w:val="20"/>
              <w:szCs w:val="20"/>
            </w:rPr>
          </w:pPr>
          <w:hyperlink w:anchor="_Toc145219944" w:history="1">
            <w:r w:rsidR="00BB692D" w:rsidRPr="00BB692D">
              <w:rPr>
                <w:rStyle w:val="Hypertextovprepojenie"/>
                <w:rFonts w:ascii="Century Gothic" w:eastAsiaTheme="majorEastAsia" w:hAnsi="Century Gothic" w:cs="Calibri Light"/>
                <w:sz w:val="20"/>
                <w:szCs w:val="20"/>
                <w:lang w:eastAsia="en-US"/>
              </w:rPr>
              <w:t>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Zhrnutie – Executive Summary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w:t>
            </w:r>
            <w:r w:rsidR="00BB692D" w:rsidRPr="00BB692D">
              <w:rPr>
                <w:rFonts w:ascii="Century Gothic" w:hAnsi="Century Gothic"/>
                <w:noProof/>
                <w:webHidden/>
                <w:sz w:val="20"/>
                <w:szCs w:val="20"/>
              </w:rPr>
              <w:fldChar w:fldCharType="end"/>
            </w:r>
          </w:hyperlink>
        </w:p>
        <w:p w14:paraId="45151FCF" w14:textId="13481C34" w:rsidR="00BB692D" w:rsidRPr="00BB692D" w:rsidRDefault="003F238F">
          <w:pPr>
            <w:pStyle w:val="Obsah1"/>
            <w:rPr>
              <w:rFonts w:ascii="Century Gothic" w:eastAsiaTheme="minorEastAsia" w:hAnsi="Century Gothic" w:cstheme="minorBidi"/>
              <w:noProof/>
              <w:sz w:val="20"/>
              <w:szCs w:val="20"/>
            </w:rPr>
          </w:pPr>
          <w:hyperlink w:anchor="_Toc145219945" w:history="1">
            <w:r w:rsidR="00BB692D" w:rsidRPr="00BB692D">
              <w:rPr>
                <w:rStyle w:val="Hypertextovprepojenie"/>
                <w:rFonts w:ascii="Century Gothic" w:eastAsiaTheme="majorEastAsia" w:hAnsi="Century Gothic" w:cs="Calibri Light"/>
                <w:sz w:val="20"/>
                <w:szCs w:val="20"/>
                <w:lang w:eastAsia="en-US"/>
              </w:rPr>
              <w:t>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História nemocnice v Žiline a historické súvislosti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14</w:t>
            </w:r>
            <w:r w:rsidR="00BB692D" w:rsidRPr="00BB692D">
              <w:rPr>
                <w:rFonts w:ascii="Century Gothic" w:hAnsi="Century Gothic"/>
                <w:noProof/>
                <w:webHidden/>
                <w:sz w:val="20"/>
                <w:szCs w:val="20"/>
              </w:rPr>
              <w:fldChar w:fldCharType="end"/>
            </w:r>
          </w:hyperlink>
        </w:p>
        <w:p w14:paraId="56722290" w14:textId="5333EB67" w:rsidR="00BB692D" w:rsidRPr="00BB692D" w:rsidRDefault="003F238F">
          <w:pPr>
            <w:pStyle w:val="Obsah1"/>
            <w:rPr>
              <w:rFonts w:ascii="Century Gothic" w:eastAsiaTheme="minorEastAsia" w:hAnsi="Century Gothic" w:cstheme="minorBidi"/>
              <w:noProof/>
              <w:sz w:val="20"/>
              <w:szCs w:val="20"/>
            </w:rPr>
          </w:pPr>
          <w:hyperlink w:anchor="_Toc145219946" w:history="1">
            <w:r w:rsidR="00BB692D" w:rsidRPr="00BB692D">
              <w:rPr>
                <w:rStyle w:val="Hypertextovprepojenie"/>
                <w:rFonts w:ascii="Century Gothic" w:eastAsiaTheme="majorEastAsia" w:hAnsi="Century Gothic" w:cs="Calibri Light"/>
                <w:sz w:val="20"/>
                <w:szCs w:val="20"/>
                <w:lang w:eastAsia="en-US"/>
              </w:rPr>
              <w:t>4</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Geografická lokalizácia – spád</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16</w:t>
            </w:r>
            <w:r w:rsidR="00BB692D" w:rsidRPr="00BB692D">
              <w:rPr>
                <w:rFonts w:ascii="Century Gothic" w:hAnsi="Century Gothic"/>
                <w:noProof/>
                <w:webHidden/>
                <w:sz w:val="20"/>
                <w:szCs w:val="20"/>
              </w:rPr>
              <w:fldChar w:fldCharType="end"/>
            </w:r>
          </w:hyperlink>
        </w:p>
        <w:p w14:paraId="73A4CA66" w14:textId="2580554A"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47" w:history="1">
            <w:r w:rsidR="00BB692D" w:rsidRPr="00BB692D">
              <w:rPr>
                <w:rStyle w:val="Hypertextovprepojenie"/>
                <w:rFonts w:ascii="Century Gothic" w:eastAsiaTheme="majorEastAsia" w:hAnsi="Century Gothic" w:cs="Calibri Light"/>
                <w:sz w:val="20"/>
                <w:szCs w:val="20"/>
                <w:lang w:eastAsia="en-US"/>
              </w:rPr>
              <w:t>4.1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Žilinský samosprávny kraj</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16</w:t>
            </w:r>
            <w:r w:rsidR="00BB692D" w:rsidRPr="00BB692D">
              <w:rPr>
                <w:rFonts w:ascii="Century Gothic" w:hAnsi="Century Gothic"/>
                <w:noProof/>
                <w:webHidden/>
                <w:sz w:val="20"/>
                <w:szCs w:val="20"/>
              </w:rPr>
              <w:fldChar w:fldCharType="end"/>
            </w:r>
          </w:hyperlink>
        </w:p>
        <w:p w14:paraId="13F58DF7" w14:textId="06A39AC5"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48" w:history="1">
            <w:r w:rsidR="00BB692D" w:rsidRPr="00BB692D">
              <w:rPr>
                <w:rStyle w:val="Hypertextovprepojenie"/>
                <w:rFonts w:ascii="Century Gothic" w:eastAsiaTheme="majorEastAsia" w:hAnsi="Century Gothic" w:cs="Calibri Light"/>
                <w:sz w:val="20"/>
                <w:szCs w:val="20"/>
                <w:lang w:eastAsia="en-US"/>
              </w:rPr>
              <w:t>4.2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Zdravotníctvo v ŽSK</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18</w:t>
            </w:r>
            <w:r w:rsidR="00BB692D" w:rsidRPr="00BB692D">
              <w:rPr>
                <w:rFonts w:ascii="Century Gothic" w:hAnsi="Century Gothic"/>
                <w:noProof/>
                <w:webHidden/>
                <w:sz w:val="20"/>
                <w:szCs w:val="20"/>
              </w:rPr>
              <w:fldChar w:fldCharType="end"/>
            </w:r>
          </w:hyperlink>
        </w:p>
        <w:p w14:paraId="4E53E737" w14:textId="3276495F"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49" w:history="1">
            <w:r w:rsidR="00BB692D" w:rsidRPr="00BB692D">
              <w:rPr>
                <w:rStyle w:val="Hypertextovprepojenie"/>
                <w:rFonts w:ascii="Century Gothic" w:eastAsiaTheme="majorEastAsia" w:hAnsi="Century Gothic" w:cs="Calibri Light"/>
                <w:sz w:val="20"/>
                <w:szCs w:val="20"/>
                <w:lang w:eastAsia="en-US"/>
              </w:rPr>
              <w:t>4.3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FNsP Žilina v systéme zdravotnej starostlivosti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_Toc145219949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26</w:t>
            </w:r>
            <w:r w:rsidR="00BB692D" w:rsidRPr="00BB692D">
              <w:rPr>
                <w:rFonts w:ascii="Century Gothic" w:hAnsi="Century Gothic"/>
                <w:noProof/>
                <w:webHidden/>
                <w:sz w:val="20"/>
                <w:szCs w:val="20"/>
              </w:rPr>
              <w:fldChar w:fldCharType="end"/>
            </w:r>
          </w:hyperlink>
        </w:p>
        <w:p w14:paraId="03DA0273" w14:textId="5E42DFD5" w:rsidR="00BB692D" w:rsidRPr="00BB692D" w:rsidRDefault="003F238F">
          <w:pPr>
            <w:pStyle w:val="Obsah1"/>
            <w:rPr>
              <w:rFonts w:ascii="Century Gothic" w:eastAsiaTheme="minorEastAsia" w:hAnsi="Century Gothic" w:cstheme="minorBidi"/>
              <w:noProof/>
              <w:sz w:val="20"/>
              <w:szCs w:val="20"/>
            </w:rPr>
          </w:pPr>
          <w:hyperlink w:anchor="_Toc145219950" w:history="1">
            <w:r w:rsidR="00BB692D" w:rsidRPr="00BB692D">
              <w:rPr>
                <w:rStyle w:val="Hypertextovprepojenie"/>
                <w:rFonts w:ascii="Century Gothic" w:eastAsiaTheme="majorEastAsia" w:hAnsi="Century Gothic" w:cs="Calibri Light"/>
                <w:sz w:val="20"/>
                <w:szCs w:val="20"/>
                <w:lang w:eastAsia="en-US"/>
              </w:rPr>
              <w:t>5</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Súčasný stav existujúcej celej nemocnice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47</w:t>
            </w:r>
            <w:r w:rsidR="00BB692D" w:rsidRPr="00BB692D">
              <w:rPr>
                <w:rFonts w:ascii="Century Gothic" w:hAnsi="Century Gothic"/>
                <w:noProof/>
                <w:webHidden/>
                <w:sz w:val="20"/>
                <w:szCs w:val="20"/>
              </w:rPr>
              <w:fldChar w:fldCharType="end"/>
            </w:r>
          </w:hyperlink>
        </w:p>
        <w:p w14:paraId="5D9CA49B" w14:textId="61F9DE7D"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51" w:history="1">
            <w:r w:rsidR="00BB692D" w:rsidRPr="00BB692D">
              <w:rPr>
                <w:rStyle w:val="Hypertextovprepojenie"/>
                <w:rFonts w:ascii="Century Gothic" w:eastAsiaTheme="majorEastAsia" w:hAnsi="Century Gothic" w:cs="Calibri Light"/>
                <w:sz w:val="20"/>
                <w:szCs w:val="20"/>
                <w:lang w:eastAsia="en-US"/>
              </w:rPr>
              <w:t>5.1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Súčasný stav nemocnice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47</w:t>
            </w:r>
            <w:r w:rsidR="00BB692D" w:rsidRPr="00BB692D">
              <w:rPr>
                <w:rFonts w:ascii="Century Gothic" w:hAnsi="Century Gothic"/>
                <w:noProof/>
                <w:webHidden/>
                <w:sz w:val="20"/>
                <w:szCs w:val="20"/>
              </w:rPr>
              <w:fldChar w:fldCharType="end"/>
            </w:r>
          </w:hyperlink>
        </w:p>
        <w:p w14:paraId="5D63BC4D" w14:textId="5E393659"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52" w:history="1">
            <w:r w:rsidR="00BB692D" w:rsidRPr="00BB692D">
              <w:rPr>
                <w:rStyle w:val="Hypertextovprepojenie"/>
                <w:rFonts w:ascii="Century Gothic" w:eastAsiaTheme="majorEastAsia" w:hAnsi="Century Gothic" w:cs="Calibri Light"/>
                <w:sz w:val="20"/>
                <w:szCs w:val="20"/>
                <w:lang w:eastAsia="en-US"/>
              </w:rPr>
              <w:t>5.2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SWOT analýza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49</w:t>
            </w:r>
            <w:r w:rsidR="00BB692D" w:rsidRPr="00BB692D">
              <w:rPr>
                <w:rFonts w:ascii="Century Gothic" w:hAnsi="Century Gothic"/>
                <w:noProof/>
                <w:webHidden/>
                <w:sz w:val="20"/>
                <w:szCs w:val="20"/>
              </w:rPr>
              <w:fldChar w:fldCharType="end"/>
            </w:r>
          </w:hyperlink>
        </w:p>
        <w:p w14:paraId="563BC8B0" w14:textId="09980B57"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53" w:history="1">
            <w:r w:rsidR="00BB692D" w:rsidRPr="00BB692D">
              <w:rPr>
                <w:rStyle w:val="Hypertextovprepojenie"/>
                <w:rFonts w:ascii="Century Gothic" w:eastAsiaTheme="majorEastAsia" w:hAnsi="Century Gothic" w:cs="Calibri Light"/>
                <w:sz w:val="20"/>
                <w:szCs w:val="20"/>
                <w:lang w:eastAsia="en-US"/>
              </w:rPr>
              <w:t>5.3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Finančno-ekonomická situácia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50</w:t>
            </w:r>
            <w:r w:rsidR="00BB692D" w:rsidRPr="00BB692D">
              <w:rPr>
                <w:rFonts w:ascii="Century Gothic" w:hAnsi="Century Gothic"/>
                <w:noProof/>
                <w:webHidden/>
                <w:sz w:val="20"/>
                <w:szCs w:val="20"/>
              </w:rPr>
              <w:fldChar w:fldCharType="end"/>
            </w:r>
          </w:hyperlink>
        </w:p>
        <w:p w14:paraId="4E8EE54C" w14:textId="6E365F0B" w:rsidR="00BB692D" w:rsidRPr="00BB692D" w:rsidRDefault="003F238F">
          <w:pPr>
            <w:pStyle w:val="Obsah1"/>
            <w:rPr>
              <w:rFonts w:ascii="Century Gothic" w:eastAsiaTheme="minorEastAsia" w:hAnsi="Century Gothic" w:cstheme="minorBidi"/>
              <w:noProof/>
              <w:sz w:val="20"/>
              <w:szCs w:val="20"/>
            </w:rPr>
          </w:pPr>
          <w:hyperlink w:anchor="_Toc145219954" w:history="1">
            <w:r w:rsidR="00BB692D" w:rsidRPr="00BB692D">
              <w:rPr>
                <w:rStyle w:val="Hypertextovprepojenie"/>
                <w:rFonts w:ascii="Century Gothic" w:eastAsiaTheme="majorEastAsia" w:hAnsi="Century Gothic" w:cs="Calibri Light"/>
                <w:sz w:val="20"/>
                <w:szCs w:val="20"/>
                <w:lang w:eastAsia="en-US"/>
              </w:rPr>
              <w:t>6</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Vývoj využitia areálu z pohľadu poskytovanej starostlivosti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52</w:t>
            </w:r>
            <w:r w:rsidR="00BB692D" w:rsidRPr="00BB692D">
              <w:rPr>
                <w:rFonts w:ascii="Century Gothic" w:hAnsi="Century Gothic"/>
                <w:noProof/>
                <w:webHidden/>
                <w:sz w:val="20"/>
                <w:szCs w:val="20"/>
              </w:rPr>
              <w:fldChar w:fldCharType="end"/>
            </w:r>
          </w:hyperlink>
        </w:p>
        <w:p w14:paraId="5AFF7AE3" w14:textId="498B90F4"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55" w:history="1">
            <w:r w:rsidR="00BB692D" w:rsidRPr="00BB692D">
              <w:rPr>
                <w:rStyle w:val="Hypertextovprepojenie"/>
                <w:rFonts w:ascii="Century Gothic" w:eastAsiaTheme="majorEastAsia" w:hAnsi="Century Gothic" w:cs="Calibri Light"/>
                <w:sz w:val="20"/>
                <w:szCs w:val="20"/>
                <w:lang w:eastAsia="en-US"/>
              </w:rPr>
              <w:t>6.1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Prístavby prestavby a ich kontext</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52</w:t>
            </w:r>
            <w:r w:rsidR="00BB692D" w:rsidRPr="00BB692D">
              <w:rPr>
                <w:rFonts w:ascii="Century Gothic" w:hAnsi="Century Gothic"/>
                <w:noProof/>
                <w:webHidden/>
                <w:sz w:val="20"/>
                <w:szCs w:val="20"/>
              </w:rPr>
              <w:fldChar w:fldCharType="end"/>
            </w:r>
          </w:hyperlink>
        </w:p>
        <w:p w14:paraId="161A2DFC" w14:textId="60AAAC25"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56" w:history="1">
            <w:r w:rsidR="00BB692D" w:rsidRPr="00BB692D">
              <w:rPr>
                <w:rStyle w:val="Hypertextovprepojenie"/>
                <w:rFonts w:ascii="Century Gothic" w:eastAsiaTheme="majorEastAsia" w:hAnsi="Century Gothic" w:cs="Calibri Light"/>
                <w:sz w:val="20"/>
                <w:szCs w:val="20"/>
                <w:lang w:eastAsia="en-US"/>
              </w:rPr>
              <w:t>6.2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Skladba oddelení a ambulancií v čase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56</w:t>
            </w:r>
            <w:r w:rsidR="00BB692D" w:rsidRPr="00BB692D">
              <w:rPr>
                <w:rFonts w:ascii="Century Gothic" w:hAnsi="Century Gothic"/>
                <w:noProof/>
                <w:webHidden/>
                <w:sz w:val="20"/>
                <w:szCs w:val="20"/>
              </w:rPr>
              <w:fldChar w:fldCharType="end"/>
            </w:r>
          </w:hyperlink>
        </w:p>
        <w:p w14:paraId="0562D605" w14:textId="0D5194EF"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57" w:history="1">
            <w:r w:rsidR="00BB692D" w:rsidRPr="00BB692D">
              <w:rPr>
                <w:rStyle w:val="Hypertextovprepojenie"/>
                <w:rFonts w:ascii="Century Gothic" w:eastAsiaTheme="majorEastAsia" w:hAnsi="Century Gothic" w:cs="Calibri Light"/>
                <w:sz w:val="20"/>
                <w:szCs w:val="20"/>
                <w:lang w:eastAsia="en-US"/>
              </w:rPr>
              <w:t>6.3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Vzdelávanie zdravotníkov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57</w:t>
            </w:r>
            <w:r w:rsidR="00BB692D" w:rsidRPr="00BB692D">
              <w:rPr>
                <w:rFonts w:ascii="Century Gothic" w:hAnsi="Century Gothic"/>
                <w:noProof/>
                <w:webHidden/>
                <w:sz w:val="20"/>
                <w:szCs w:val="20"/>
              </w:rPr>
              <w:fldChar w:fldCharType="end"/>
            </w:r>
          </w:hyperlink>
        </w:p>
        <w:p w14:paraId="3BB93D82" w14:textId="24156182" w:rsidR="00BB692D" w:rsidRPr="00BB692D" w:rsidRDefault="003F238F">
          <w:pPr>
            <w:pStyle w:val="Obsah1"/>
            <w:rPr>
              <w:rFonts w:ascii="Century Gothic" w:eastAsiaTheme="minorEastAsia" w:hAnsi="Century Gothic" w:cstheme="minorBidi"/>
              <w:noProof/>
              <w:sz w:val="20"/>
              <w:szCs w:val="20"/>
            </w:rPr>
          </w:pPr>
          <w:hyperlink w:anchor="_Toc145219958" w:history="1">
            <w:r w:rsidR="00BB692D" w:rsidRPr="00BB692D">
              <w:rPr>
                <w:rStyle w:val="Hypertextovprepojenie"/>
                <w:rFonts w:ascii="Century Gothic" w:eastAsiaTheme="majorEastAsia" w:hAnsi="Century Gothic" w:cs="Calibri Light"/>
                <w:sz w:val="20"/>
                <w:szCs w:val="20"/>
                <w:lang w:eastAsia="en-US"/>
              </w:rPr>
              <w:t>7</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Technický stav areálu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58</w:t>
            </w:r>
            <w:r w:rsidR="00BB692D" w:rsidRPr="00BB692D">
              <w:rPr>
                <w:rFonts w:ascii="Century Gothic" w:hAnsi="Century Gothic"/>
                <w:noProof/>
                <w:webHidden/>
                <w:sz w:val="20"/>
                <w:szCs w:val="20"/>
              </w:rPr>
              <w:fldChar w:fldCharType="end"/>
            </w:r>
          </w:hyperlink>
        </w:p>
        <w:p w14:paraId="4C7966D6" w14:textId="315C343B" w:rsidR="00BB692D" w:rsidRPr="00BB692D" w:rsidRDefault="003F238F">
          <w:pPr>
            <w:pStyle w:val="Obsah1"/>
            <w:rPr>
              <w:rFonts w:ascii="Century Gothic" w:eastAsiaTheme="minorEastAsia" w:hAnsi="Century Gothic" w:cstheme="minorBidi"/>
              <w:noProof/>
              <w:sz w:val="20"/>
              <w:szCs w:val="20"/>
            </w:rPr>
          </w:pPr>
          <w:hyperlink w:anchor="_Toc145219959" w:history="1">
            <w:r w:rsidR="00BB692D" w:rsidRPr="00BB692D">
              <w:rPr>
                <w:rStyle w:val="Hypertextovprepojenie"/>
                <w:rFonts w:ascii="Century Gothic" w:eastAsiaTheme="majorEastAsia" w:hAnsi="Century Gothic" w:cs="Calibri Light"/>
                <w:sz w:val="20"/>
                <w:szCs w:val="20"/>
                <w:lang w:eastAsia="en-US"/>
              </w:rPr>
              <w:t>8</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Katalóg nedostatkov areálu z pohľadu modernej zdravotnej starostlivosti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_Toc145219959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64</w:t>
            </w:r>
            <w:r w:rsidR="00BB692D" w:rsidRPr="00BB692D">
              <w:rPr>
                <w:rFonts w:ascii="Century Gothic" w:hAnsi="Century Gothic"/>
                <w:noProof/>
                <w:webHidden/>
                <w:sz w:val="20"/>
                <w:szCs w:val="20"/>
              </w:rPr>
              <w:fldChar w:fldCharType="end"/>
            </w:r>
          </w:hyperlink>
        </w:p>
        <w:p w14:paraId="686B0BF0" w14:textId="09F2EFAB" w:rsidR="00BB692D" w:rsidRPr="00BB692D" w:rsidRDefault="003F238F">
          <w:pPr>
            <w:pStyle w:val="Obsah1"/>
            <w:rPr>
              <w:rFonts w:ascii="Century Gothic" w:eastAsiaTheme="minorEastAsia" w:hAnsi="Century Gothic" w:cstheme="minorBidi"/>
              <w:noProof/>
              <w:sz w:val="20"/>
              <w:szCs w:val="20"/>
            </w:rPr>
          </w:pPr>
          <w:hyperlink w:anchor="_Toc145219960" w:history="1">
            <w:r w:rsidR="00BB692D" w:rsidRPr="00BB692D">
              <w:rPr>
                <w:rStyle w:val="Hypertextovprepojenie"/>
                <w:rFonts w:ascii="Century Gothic" w:eastAsiaTheme="majorEastAsia" w:hAnsi="Century Gothic" w:cs="Calibri Light"/>
                <w:sz w:val="20"/>
                <w:szCs w:val="20"/>
                <w:lang w:eastAsia="en-US"/>
              </w:rPr>
              <w:t>9</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Momentálny stav a predpoklad vývoja potrieb poskytovania zdravotnej starostlivosti pre región vo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67</w:t>
            </w:r>
            <w:r w:rsidR="00BB692D" w:rsidRPr="00BB692D">
              <w:rPr>
                <w:rFonts w:ascii="Century Gothic" w:hAnsi="Century Gothic"/>
                <w:noProof/>
                <w:webHidden/>
                <w:sz w:val="20"/>
                <w:szCs w:val="20"/>
              </w:rPr>
              <w:fldChar w:fldCharType="end"/>
            </w:r>
          </w:hyperlink>
        </w:p>
        <w:p w14:paraId="6DB5DB1D" w14:textId="1334B25E"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1" w:history="1">
            <w:r w:rsidR="00BB692D" w:rsidRPr="00BB692D">
              <w:rPr>
                <w:rStyle w:val="Hypertextovprepojenie"/>
                <w:rFonts w:ascii="Century Gothic" w:eastAsiaTheme="majorEastAsia" w:hAnsi="Century Gothic" w:cs="Calibri Light"/>
                <w:sz w:val="20"/>
                <w:szCs w:val="20"/>
                <w:lang w:eastAsia="en-US"/>
              </w:rPr>
              <w:t>9.1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Kapacitný model poskytovania ZS vo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67</w:t>
            </w:r>
            <w:r w:rsidR="00BB692D" w:rsidRPr="00BB692D">
              <w:rPr>
                <w:rFonts w:ascii="Century Gothic" w:hAnsi="Century Gothic"/>
                <w:noProof/>
                <w:webHidden/>
                <w:sz w:val="20"/>
                <w:szCs w:val="20"/>
              </w:rPr>
              <w:fldChar w:fldCharType="end"/>
            </w:r>
          </w:hyperlink>
        </w:p>
        <w:p w14:paraId="74A3DB12" w14:textId="00C31057"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2" w:history="1">
            <w:r w:rsidR="00BB692D" w:rsidRPr="00BB692D">
              <w:rPr>
                <w:rStyle w:val="Hypertextovprepojenie"/>
                <w:rFonts w:ascii="Century Gothic" w:eastAsiaTheme="majorEastAsia" w:hAnsi="Century Gothic" w:cs="Calibri Light"/>
                <w:sz w:val="20"/>
                <w:szCs w:val="20"/>
                <w:lang w:eastAsia="en-US"/>
              </w:rPr>
              <w:t>9.2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Predpokladaný vývoj počtu pacientov – dopytový model s výhľadom na 30 rokov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68</w:t>
            </w:r>
            <w:r w:rsidR="00BB692D" w:rsidRPr="00BB692D">
              <w:rPr>
                <w:rFonts w:ascii="Century Gothic" w:hAnsi="Century Gothic"/>
                <w:noProof/>
                <w:webHidden/>
                <w:sz w:val="20"/>
                <w:szCs w:val="20"/>
              </w:rPr>
              <w:fldChar w:fldCharType="end"/>
            </w:r>
          </w:hyperlink>
        </w:p>
        <w:p w14:paraId="4D184556" w14:textId="7AC2401A" w:rsidR="00BB692D" w:rsidRPr="00BB692D" w:rsidRDefault="003F238F">
          <w:pPr>
            <w:pStyle w:val="Obsah1"/>
            <w:rPr>
              <w:rFonts w:ascii="Century Gothic" w:eastAsiaTheme="minorEastAsia" w:hAnsi="Century Gothic" w:cstheme="minorBidi"/>
              <w:noProof/>
              <w:sz w:val="20"/>
              <w:szCs w:val="20"/>
            </w:rPr>
          </w:pPr>
          <w:hyperlink w:anchor="_Toc145219963" w:history="1">
            <w:r w:rsidR="00BB692D" w:rsidRPr="00BB692D">
              <w:rPr>
                <w:rStyle w:val="Hypertextovprepojenie"/>
                <w:rFonts w:ascii="Century Gothic" w:eastAsiaTheme="majorEastAsia" w:hAnsi="Century Gothic" w:cs="Calibri Light"/>
                <w:sz w:val="20"/>
                <w:szCs w:val="20"/>
                <w:lang w:eastAsia="en-US"/>
              </w:rPr>
              <w:t>10</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Nový Pavilón urgentnej medicíny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72</w:t>
            </w:r>
            <w:r w:rsidR="00BB692D" w:rsidRPr="00BB692D">
              <w:rPr>
                <w:rFonts w:ascii="Century Gothic" w:hAnsi="Century Gothic"/>
                <w:noProof/>
                <w:webHidden/>
                <w:sz w:val="20"/>
                <w:szCs w:val="20"/>
              </w:rPr>
              <w:fldChar w:fldCharType="end"/>
            </w:r>
          </w:hyperlink>
        </w:p>
        <w:p w14:paraId="3728E190" w14:textId="0779B781"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4" w:history="1">
            <w:r w:rsidR="00BB692D" w:rsidRPr="00BB692D">
              <w:rPr>
                <w:rStyle w:val="Hypertextovprepojenie"/>
                <w:rFonts w:ascii="Century Gothic" w:eastAsiaTheme="majorEastAsia" w:hAnsi="Century Gothic" w:cs="Calibri Light"/>
                <w:sz w:val="20"/>
                <w:szCs w:val="20"/>
                <w:lang w:eastAsia="en-US"/>
              </w:rPr>
              <w:t>10.1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Vízia a ciele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74</w:t>
            </w:r>
            <w:r w:rsidR="00BB692D" w:rsidRPr="00BB692D">
              <w:rPr>
                <w:rFonts w:ascii="Century Gothic" w:hAnsi="Century Gothic"/>
                <w:noProof/>
                <w:webHidden/>
                <w:sz w:val="20"/>
                <w:szCs w:val="20"/>
              </w:rPr>
              <w:fldChar w:fldCharType="end"/>
            </w:r>
          </w:hyperlink>
        </w:p>
        <w:p w14:paraId="36622BAD" w14:textId="42C9EABA"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5" w:history="1">
            <w:r w:rsidR="00BB692D" w:rsidRPr="00BB692D">
              <w:rPr>
                <w:rStyle w:val="Hypertextovprepojenie"/>
                <w:rFonts w:ascii="Century Gothic" w:eastAsiaTheme="majorEastAsia" w:hAnsi="Century Gothic" w:cs="Calibri Light"/>
                <w:sz w:val="20"/>
                <w:szCs w:val="20"/>
                <w:lang w:eastAsia="en-US"/>
              </w:rPr>
              <w:t>10.2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Cieľové skupiny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77</w:t>
            </w:r>
            <w:r w:rsidR="00BB692D" w:rsidRPr="00BB692D">
              <w:rPr>
                <w:rFonts w:ascii="Century Gothic" w:hAnsi="Century Gothic"/>
                <w:noProof/>
                <w:webHidden/>
                <w:sz w:val="20"/>
                <w:szCs w:val="20"/>
              </w:rPr>
              <w:fldChar w:fldCharType="end"/>
            </w:r>
          </w:hyperlink>
        </w:p>
        <w:p w14:paraId="6F3267EF" w14:textId="72EF28F7"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6" w:history="1">
            <w:r w:rsidR="00BB692D" w:rsidRPr="00BB692D">
              <w:rPr>
                <w:rStyle w:val="Hypertextovprepojenie"/>
                <w:rFonts w:ascii="Century Gothic" w:eastAsiaTheme="majorEastAsia" w:hAnsi="Century Gothic" w:cs="Calibri Light"/>
                <w:sz w:val="20"/>
                <w:szCs w:val="20"/>
                <w:lang w:eastAsia="en-US"/>
              </w:rPr>
              <w:t>10.3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Súlad so strategickými dokumentmi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78</w:t>
            </w:r>
            <w:r w:rsidR="00BB692D" w:rsidRPr="00BB692D">
              <w:rPr>
                <w:rFonts w:ascii="Century Gothic" w:hAnsi="Century Gothic"/>
                <w:noProof/>
                <w:webHidden/>
                <w:sz w:val="20"/>
                <w:szCs w:val="20"/>
              </w:rPr>
              <w:fldChar w:fldCharType="end"/>
            </w:r>
          </w:hyperlink>
        </w:p>
        <w:p w14:paraId="7BCA1EBA" w14:textId="477A571C"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7" w:history="1">
            <w:r w:rsidR="00BB692D" w:rsidRPr="00BB692D">
              <w:rPr>
                <w:rStyle w:val="Hypertextovprepojenie"/>
                <w:rFonts w:ascii="Century Gothic" w:eastAsiaTheme="majorEastAsia" w:hAnsi="Century Gothic" w:cs="Calibri Light"/>
                <w:sz w:val="20"/>
                <w:szCs w:val="20"/>
                <w:lang w:eastAsia="en-US"/>
              </w:rPr>
              <w:t>10.4</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Technické parametre nového pavilónu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80</w:t>
            </w:r>
            <w:r w:rsidR="00BB692D" w:rsidRPr="00BB692D">
              <w:rPr>
                <w:rFonts w:ascii="Century Gothic" w:hAnsi="Century Gothic"/>
                <w:noProof/>
                <w:webHidden/>
                <w:sz w:val="20"/>
                <w:szCs w:val="20"/>
              </w:rPr>
              <w:fldChar w:fldCharType="end"/>
            </w:r>
          </w:hyperlink>
        </w:p>
        <w:p w14:paraId="1409BCC9" w14:textId="3590C4B8"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68" w:history="1">
            <w:r w:rsidR="00BB692D" w:rsidRPr="00BB692D">
              <w:rPr>
                <w:rStyle w:val="Hypertextovprepojenie"/>
                <w:rFonts w:ascii="Century Gothic" w:eastAsiaTheme="majorEastAsia" w:hAnsi="Century Gothic" w:cs="Calibri Light"/>
                <w:sz w:val="20"/>
                <w:szCs w:val="20"/>
                <w:lang w:eastAsia="en-US"/>
              </w:rPr>
              <w:t>10.1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Funkčné parametre nového pavilónu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88</w:t>
            </w:r>
            <w:r w:rsidR="00BB692D" w:rsidRPr="00BB692D">
              <w:rPr>
                <w:rFonts w:ascii="Century Gothic" w:hAnsi="Century Gothic"/>
                <w:noProof/>
                <w:webHidden/>
                <w:sz w:val="20"/>
                <w:szCs w:val="20"/>
              </w:rPr>
              <w:fldChar w:fldCharType="end"/>
            </w:r>
          </w:hyperlink>
        </w:p>
        <w:p w14:paraId="549C1E32" w14:textId="21691370" w:rsidR="00BB692D" w:rsidRPr="00BB692D" w:rsidRDefault="003F238F">
          <w:pPr>
            <w:pStyle w:val="Obsah2"/>
            <w:rPr>
              <w:rFonts w:ascii="Century Gothic" w:eastAsiaTheme="minorEastAsia" w:hAnsi="Century Gothic" w:cstheme="minorBidi"/>
              <w:noProof/>
              <w:sz w:val="20"/>
              <w:szCs w:val="20"/>
            </w:rPr>
          </w:pPr>
          <w:hyperlink w:anchor="_Toc145219969" w:history="1">
            <w:r w:rsidR="00BB692D" w:rsidRPr="00BB692D">
              <w:rPr>
                <w:rStyle w:val="Hypertextovprepojenie"/>
                <w:rFonts w:ascii="Century Gothic" w:eastAsiaTheme="majorEastAsia" w:hAnsi="Century Gothic"/>
                <w:sz w:val="20"/>
                <w:szCs w:val="20"/>
              </w:rPr>
              <w:t>Medicínske funkčné celky - logistické inovácie a nadväznosti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_Toc145219969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92</w:t>
            </w:r>
            <w:r w:rsidR="00BB692D" w:rsidRPr="00BB692D">
              <w:rPr>
                <w:rFonts w:ascii="Century Gothic" w:hAnsi="Century Gothic"/>
                <w:noProof/>
                <w:webHidden/>
                <w:sz w:val="20"/>
                <w:szCs w:val="20"/>
              </w:rPr>
              <w:fldChar w:fldCharType="end"/>
            </w:r>
          </w:hyperlink>
        </w:p>
        <w:p w14:paraId="043F4054" w14:textId="5F800A91"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0" w:history="1">
            <w:r w:rsidR="00BB692D" w:rsidRPr="00BB692D">
              <w:rPr>
                <w:rStyle w:val="Hypertextovprepojenie"/>
                <w:rFonts w:ascii="Century Gothic" w:eastAsiaTheme="majorEastAsia" w:hAnsi="Century Gothic" w:cs="Calibri Light"/>
                <w:sz w:val="20"/>
                <w:szCs w:val="20"/>
                <w:lang w:eastAsia="en-US"/>
              </w:rPr>
              <w:t>10.2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Lokalizácia nového pavilónu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97</w:t>
            </w:r>
            <w:r w:rsidR="00BB692D" w:rsidRPr="00BB692D">
              <w:rPr>
                <w:rFonts w:ascii="Century Gothic" w:hAnsi="Century Gothic"/>
                <w:noProof/>
                <w:webHidden/>
                <w:sz w:val="20"/>
                <w:szCs w:val="20"/>
              </w:rPr>
              <w:fldChar w:fldCharType="end"/>
            </w:r>
          </w:hyperlink>
        </w:p>
        <w:p w14:paraId="09939A08" w14:textId="5C7D73CD"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1" w:history="1">
            <w:r w:rsidR="00BB692D" w:rsidRPr="00BB692D">
              <w:rPr>
                <w:rStyle w:val="Hypertextovprepojenie"/>
                <w:rFonts w:ascii="Century Gothic" w:eastAsiaTheme="majorEastAsia" w:hAnsi="Century Gothic" w:cs="Calibri Light"/>
                <w:sz w:val="20"/>
                <w:szCs w:val="20"/>
                <w:lang w:eastAsia="en-US"/>
              </w:rPr>
              <w:t>10.3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Dopravné napojenie nového pavilónu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98</w:t>
            </w:r>
            <w:r w:rsidR="00BB692D" w:rsidRPr="00BB692D">
              <w:rPr>
                <w:rFonts w:ascii="Century Gothic" w:hAnsi="Century Gothic"/>
                <w:noProof/>
                <w:webHidden/>
                <w:sz w:val="20"/>
                <w:szCs w:val="20"/>
              </w:rPr>
              <w:fldChar w:fldCharType="end"/>
            </w:r>
          </w:hyperlink>
        </w:p>
        <w:p w14:paraId="7E88CB44" w14:textId="4EEB1220" w:rsidR="00BB692D" w:rsidRPr="00BB692D" w:rsidRDefault="003F238F">
          <w:pPr>
            <w:pStyle w:val="Obsah1"/>
            <w:rPr>
              <w:rFonts w:ascii="Century Gothic" w:eastAsiaTheme="minorEastAsia" w:hAnsi="Century Gothic" w:cstheme="minorBidi"/>
              <w:noProof/>
              <w:sz w:val="20"/>
              <w:szCs w:val="20"/>
            </w:rPr>
          </w:pPr>
          <w:hyperlink w:anchor="_Toc145219972" w:history="1">
            <w:r w:rsidR="00BB692D" w:rsidRPr="00BB692D">
              <w:rPr>
                <w:rStyle w:val="Hypertextovprepojenie"/>
                <w:rFonts w:ascii="Century Gothic" w:eastAsiaTheme="majorEastAsia" w:hAnsi="Century Gothic" w:cs="Calibri Light"/>
                <w:sz w:val="20"/>
                <w:szCs w:val="20"/>
                <w:lang w:eastAsia="en-US"/>
              </w:rPr>
              <w:t>11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Vízia využitia areálu po dostavbe nového pavilónu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99</w:t>
            </w:r>
            <w:r w:rsidR="00BB692D" w:rsidRPr="00BB692D">
              <w:rPr>
                <w:rFonts w:ascii="Century Gothic" w:hAnsi="Century Gothic"/>
                <w:noProof/>
                <w:webHidden/>
                <w:sz w:val="20"/>
                <w:szCs w:val="20"/>
              </w:rPr>
              <w:fldChar w:fldCharType="end"/>
            </w:r>
          </w:hyperlink>
        </w:p>
        <w:p w14:paraId="60EAEFE7" w14:textId="4836E75E"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3" w:history="1">
            <w:r w:rsidR="00BB692D" w:rsidRPr="00BB692D">
              <w:rPr>
                <w:rStyle w:val="Hypertextovprepojenie"/>
                <w:rFonts w:ascii="Century Gothic" w:eastAsiaTheme="majorEastAsia" w:hAnsi="Century Gothic" w:cs="Calibri Light"/>
                <w:sz w:val="20"/>
                <w:szCs w:val="20"/>
                <w:lang w:eastAsia="en-US"/>
              </w:rPr>
              <w:t>11.1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Využitie vyprázdnených priestorov FNsP</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99</w:t>
            </w:r>
            <w:r w:rsidR="00BB692D" w:rsidRPr="00BB692D">
              <w:rPr>
                <w:rFonts w:ascii="Century Gothic" w:hAnsi="Century Gothic"/>
                <w:noProof/>
                <w:webHidden/>
                <w:sz w:val="20"/>
                <w:szCs w:val="20"/>
              </w:rPr>
              <w:fldChar w:fldCharType="end"/>
            </w:r>
          </w:hyperlink>
        </w:p>
        <w:p w14:paraId="30026908" w14:textId="46CD7185"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4" w:history="1">
            <w:r w:rsidR="00BB692D" w:rsidRPr="00BB692D">
              <w:rPr>
                <w:rStyle w:val="Hypertextovprepojenie"/>
                <w:rFonts w:ascii="Century Gothic" w:eastAsiaTheme="majorEastAsia" w:hAnsi="Century Gothic" w:cs="Calibri Light"/>
                <w:sz w:val="20"/>
                <w:szCs w:val="20"/>
                <w:lang w:eastAsia="en-US"/>
              </w:rPr>
              <w:t>11.2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Asanované budovy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100</w:t>
            </w:r>
            <w:r w:rsidR="00BB692D" w:rsidRPr="00BB692D">
              <w:rPr>
                <w:rFonts w:ascii="Century Gothic" w:hAnsi="Century Gothic"/>
                <w:noProof/>
                <w:webHidden/>
                <w:sz w:val="20"/>
                <w:szCs w:val="20"/>
              </w:rPr>
              <w:fldChar w:fldCharType="end"/>
            </w:r>
          </w:hyperlink>
        </w:p>
        <w:p w14:paraId="678411E6" w14:textId="38F67D9F"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5" w:history="1">
            <w:r w:rsidR="00BB692D" w:rsidRPr="00BB692D">
              <w:rPr>
                <w:rStyle w:val="Hypertextovprepojenie"/>
                <w:rFonts w:ascii="Century Gothic" w:eastAsiaTheme="majorEastAsia" w:hAnsi="Century Gothic" w:cs="Calibri Light"/>
                <w:sz w:val="20"/>
                <w:szCs w:val="20"/>
                <w:lang w:eastAsia="en-US"/>
              </w:rPr>
              <w:t>11.3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Predaj/prenájom iným subjektom</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100</w:t>
            </w:r>
            <w:r w:rsidR="00BB692D" w:rsidRPr="00BB692D">
              <w:rPr>
                <w:rFonts w:ascii="Century Gothic" w:hAnsi="Century Gothic"/>
                <w:noProof/>
                <w:webHidden/>
                <w:sz w:val="20"/>
                <w:szCs w:val="20"/>
              </w:rPr>
              <w:fldChar w:fldCharType="end"/>
            </w:r>
          </w:hyperlink>
        </w:p>
        <w:p w14:paraId="50AF9505" w14:textId="7171291A" w:rsidR="00BB692D" w:rsidRPr="00BB692D" w:rsidRDefault="003F238F">
          <w:pPr>
            <w:pStyle w:val="Obsah1"/>
            <w:rPr>
              <w:rFonts w:ascii="Century Gothic" w:eastAsiaTheme="minorEastAsia" w:hAnsi="Century Gothic" w:cstheme="minorBidi"/>
              <w:noProof/>
              <w:sz w:val="20"/>
              <w:szCs w:val="20"/>
            </w:rPr>
          </w:pPr>
          <w:hyperlink w:anchor="_Toc145219976" w:history="1">
            <w:r w:rsidR="00BB692D" w:rsidRPr="00BB692D">
              <w:rPr>
                <w:rStyle w:val="Hypertextovprepojenie"/>
                <w:rFonts w:ascii="Century Gothic" w:eastAsiaTheme="majorEastAsia" w:hAnsi="Century Gothic" w:cs="Calibri Light"/>
                <w:sz w:val="20"/>
                <w:szCs w:val="20"/>
                <w:lang w:eastAsia="en-US"/>
              </w:rPr>
              <w:t>12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Finančný model nového pavilónu –  Cost Benefit Analýza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102</w:t>
            </w:r>
            <w:r w:rsidR="00BB692D" w:rsidRPr="00BB692D">
              <w:rPr>
                <w:rFonts w:ascii="Century Gothic" w:hAnsi="Century Gothic"/>
                <w:noProof/>
                <w:webHidden/>
                <w:sz w:val="20"/>
                <w:szCs w:val="20"/>
              </w:rPr>
              <w:fldChar w:fldCharType="end"/>
            </w:r>
          </w:hyperlink>
        </w:p>
        <w:p w14:paraId="7AF4D34E" w14:textId="0529C92A" w:rsidR="00BB692D" w:rsidRPr="00BB692D" w:rsidRDefault="003F238F">
          <w:pPr>
            <w:pStyle w:val="Obsah1"/>
            <w:rPr>
              <w:rFonts w:ascii="Century Gothic" w:eastAsiaTheme="minorEastAsia" w:hAnsi="Century Gothic" w:cstheme="minorBidi"/>
              <w:noProof/>
              <w:sz w:val="20"/>
              <w:szCs w:val="20"/>
            </w:rPr>
          </w:pPr>
          <w:hyperlink w:anchor="_Toc145219977" w:history="1">
            <w:r w:rsidR="00BB692D" w:rsidRPr="00BB692D">
              <w:rPr>
                <w:rStyle w:val="Hypertextovprepojenie"/>
                <w:rFonts w:ascii="Century Gothic" w:eastAsiaTheme="majorEastAsia" w:hAnsi="Century Gothic" w:cs="Calibri Light"/>
                <w:sz w:val="20"/>
                <w:szCs w:val="20"/>
                <w:lang w:eastAsia="en-US"/>
              </w:rPr>
              <w:t>13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Fázy výstavby novej nemocnice – Časový harmonogram realizácie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107</w:t>
            </w:r>
            <w:r w:rsidR="00BB692D" w:rsidRPr="00BB692D">
              <w:rPr>
                <w:rFonts w:ascii="Century Gothic" w:hAnsi="Century Gothic"/>
                <w:noProof/>
                <w:webHidden/>
                <w:sz w:val="20"/>
                <w:szCs w:val="20"/>
              </w:rPr>
              <w:fldChar w:fldCharType="end"/>
            </w:r>
          </w:hyperlink>
        </w:p>
        <w:p w14:paraId="1D5B4628" w14:textId="124A9E76"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8" w:history="1">
            <w:r w:rsidR="00BB692D" w:rsidRPr="00BB692D">
              <w:rPr>
                <w:rStyle w:val="Hypertextovprepojenie"/>
                <w:rFonts w:ascii="Century Gothic" w:eastAsiaTheme="majorEastAsia" w:hAnsi="Century Gothic" w:cs="Calibri Light"/>
                <w:sz w:val="20"/>
                <w:szCs w:val="20"/>
                <w:lang w:eastAsia="en-US"/>
              </w:rPr>
              <w:t>13.1</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Pripravenosť a aktuálna situácia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107</w:t>
            </w:r>
            <w:r w:rsidR="00BB692D" w:rsidRPr="00BB692D">
              <w:rPr>
                <w:rFonts w:ascii="Century Gothic" w:hAnsi="Century Gothic"/>
                <w:noProof/>
                <w:webHidden/>
                <w:sz w:val="20"/>
                <w:szCs w:val="20"/>
              </w:rPr>
              <w:fldChar w:fldCharType="end"/>
            </w:r>
          </w:hyperlink>
        </w:p>
        <w:p w14:paraId="519F38E2" w14:textId="3BCDB875"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79" w:history="1">
            <w:r w:rsidR="00BB692D" w:rsidRPr="00BB692D">
              <w:rPr>
                <w:rStyle w:val="Hypertextovprepojenie"/>
                <w:rFonts w:ascii="Century Gothic" w:eastAsiaTheme="majorEastAsia" w:hAnsi="Century Gothic" w:cs="Calibri Light"/>
                <w:sz w:val="20"/>
                <w:szCs w:val="20"/>
                <w:lang w:eastAsia="en-US"/>
              </w:rPr>
              <w:t>13.2</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Základné rozmerové parametre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_Toc145219979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108</w:t>
            </w:r>
            <w:r w:rsidR="00BB692D" w:rsidRPr="00BB692D">
              <w:rPr>
                <w:rFonts w:ascii="Century Gothic" w:hAnsi="Century Gothic"/>
                <w:noProof/>
                <w:webHidden/>
                <w:sz w:val="20"/>
                <w:szCs w:val="20"/>
              </w:rPr>
              <w:fldChar w:fldCharType="end"/>
            </w:r>
          </w:hyperlink>
        </w:p>
        <w:p w14:paraId="64561376" w14:textId="23040B06"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80" w:history="1">
            <w:r w:rsidR="00BB692D" w:rsidRPr="00BB692D">
              <w:rPr>
                <w:rStyle w:val="Hypertextovprepojenie"/>
                <w:rFonts w:ascii="Century Gothic" w:eastAsiaTheme="majorEastAsia" w:hAnsi="Century Gothic" w:cs="Calibri Light"/>
                <w:sz w:val="20"/>
                <w:szCs w:val="20"/>
                <w:lang w:eastAsia="en-US"/>
              </w:rPr>
              <w:t>13.3</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Odhadované investičné náklady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_Toc145219980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109</w:t>
            </w:r>
            <w:r w:rsidR="00BB692D" w:rsidRPr="00BB692D">
              <w:rPr>
                <w:rFonts w:ascii="Century Gothic" w:hAnsi="Century Gothic"/>
                <w:noProof/>
                <w:webHidden/>
                <w:sz w:val="20"/>
                <w:szCs w:val="20"/>
              </w:rPr>
              <w:fldChar w:fldCharType="end"/>
            </w:r>
          </w:hyperlink>
        </w:p>
        <w:p w14:paraId="55357C25" w14:textId="50BF9580"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81" w:history="1">
            <w:r w:rsidR="00BB692D" w:rsidRPr="00BB692D">
              <w:rPr>
                <w:rStyle w:val="Hypertextovprepojenie"/>
                <w:rFonts w:ascii="Century Gothic" w:eastAsiaTheme="majorEastAsia" w:hAnsi="Century Gothic" w:cs="Calibri Light"/>
                <w:sz w:val="20"/>
                <w:szCs w:val="20"/>
                <w:lang w:eastAsia="en-US"/>
              </w:rPr>
              <w:t>13.4</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Zrealizované časti a výstupy v rámci predprojektovej a projektovej prípravy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_Toc145219981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109</w:t>
            </w:r>
            <w:r w:rsidR="00BB692D" w:rsidRPr="00BB692D">
              <w:rPr>
                <w:rFonts w:ascii="Century Gothic" w:hAnsi="Century Gothic"/>
                <w:noProof/>
                <w:webHidden/>
                <w:sz w:val="20"/>
                <w:szCs w:val="20"/>
              </w:rPr>
              <w:fldChar w:fldCharType="end"/>
            </w:r>
          </w:hyperlink>
        </w:p>
        <w:p w14:paraId="7FE86EF4" w14:textId="4D64B37B" w:rsidR="00BB692D" w:rsidRPr="00BB692D" w:rsidRDefault="003F238F">
          <w:pPr>
            <w:pStyle w:val="Obsah2"/>
            <w:tabs>
              <w:tab w:val="left" w:pos="1276"/>
            </w:tabs>
            <w:rPr>
              <w:rFonts w:ascii="Century Gothic" w:eastAsiaTheme="minorEastAsia" w:hAnsi="Century Gothic" w:cstheme="minorBidi"/>
              <w:noProof/>
              <w:sz w:val="20"/>
              <w:szCs w:val="20"/>
            </w:rPr>
          </w:pPr>
          <w:hyperlink w:anchor="_Toc145219982" w:history="1">
            <w:r w:rsidR="00BB692D" w:rsidRPr="00BB692D">
              <w:rPr>
                <w:rStyle w:val="Hypertextovprepojenie"/>
                <w:rFonts w:ascii="Century Gothic" w:eastAsiaTheme="majorEastAsia" w:hAnsi="Century Gothic" w:cs="Calibri Light"/>
                <w:sz w:val="20"/>
                <w:szCs w:val="20"/>
                <w:lang w:eastAsia="en-US"/>
              </w:rPr>
              <w:t>13.5</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Časový harmonogram</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_Toc145219982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110</w:t>
            </w:r>
            <w:r w:rsidR="00BB692D" w:rsidRPr="00BB692D">
              <w:rPr>
                <w:rFonts w:ascii="Century Gothic" w:hAnsi="Century Gothic"/>
                <w:noProof/>
                <w:webHidden/>
                <w:sz w:val="20"/>
                <w:szCs w:val="20"/>
              </w:rPr>
              <w:fldChar w:fldCharType="end"/>
            </w:r>
          </w:hyperlink>
        </w:p>
        <w:p w14:paraId="12F58CD7" w14:textId="7BFD42BE" w:rsidR="00BB692D" w:rsidRPr="00BB692D" w:rsidRDefault="003F238F">
          <w:pPr>
            <w:pStyle w:val="Obsah1"/>
            <w:rPr>
              <w:rFonts w:ascii="Century Gothic" w:eastAsiaTheme="minorEastAsia" w:hAnsi="Century Gothic" w:cstheme="minorBidi"/>
              <w:noProof/>
              <w:sz w:val="20"/>
              <w:szCs w:val="20"/>
            </w:rPr>
          </w:pPr>
          <w:hyperlink w:anchor="_Toc145219983" w:history="1">
            <w:r w:rsidR="00BB692D" w:rsidRPr="00BB692D">
              <w:rPr>
                <w:rStyle w:val="Hypertextovprepojenie"/>
                <w:rFonts w:ascii="Century Gothic" w:eastAsiaTheme="majorEastAsia" w:hAnsi="Century Gothic" w:cs="Calibri Light"/>
                <w:sz w:val="20"/>
                <w:szCs w:val="20"/>
                <w:lang w:eastAsia="en-US"/>
              </w:rPr>
              <w:t>14</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Analýza rizík</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_Toc145219983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111</w:t>
            </w:r>
            <w:r w:rsidR="00BB692D" w:rsidRPr="00BB692D">
              <w:rPr>
                <w:rFonts w:ascii="Century Gothic" w:hAnsi="Century Gothic"/>
                <w:noProof/>
                <w:webHidden/>
                <w:sz w:val="20"/>
                <w:szCs w:val="20"/>
              </w:rPr>
              <w:fldChar w:fldCharType="end"/>
            </w:r>
          </w:hyperlink>
        </w:p>
        <w:p w14:paraId="7128D3DE" w14:textId="1EF75BF1" w:rsidR="00BB692D" w:rsidRPr="00BB692D" w:rsidRDefault="003F238F">
          <w:pPr>
            <w:pStyle w:val="Obsah1"/>
            <w:rPr>
              <w:rFonts w:ascii="Century Gothic" w:eastAsiaTheme="minorEastAsia" w:hAnsi="Century Gothic" w:cstheme="minorBidi"/>
              <w:noProof/>
              <w:sz w:val="20"/>
              <w:szCs w:val="20"/>
            </w:rPr>
          </w:pPr>
          <w:hyperlink w:anchor="_Toc145219984" w:history="1">
            <w:r w:rsidR="00BB692D" w:rsidRPr="00BB692D">
              <w:rPr>
                <w:rStyle w:val="Hypertextovprepojenie"/>
                <w:rFonts w:ascii="Century Gothic" w:eastAsiaTheme="majorEastAsia" w:hAnsi="Century Gothic" w:cs="Calibri Light"/>
                <w:sz w:val="20"/>
                <w:szCs w:val="20"/>
                <w:lang w:eastAsia="en-US"/>
              </w:rPr>
              <w:t>15</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Prílohy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_Toc145219984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113</w:t>
            </w:r>
            <w:r w:rsidR="00BB692D" w:rsidRPr="00BB692D">
              <w:rPr>
                <w:rFonts w:ascii="Century Gothic" w:hAnsi="Century Gothic"/>
                <w:noProof/>
                <w:webHidden/>
                <w:sz w:val="20"/>
                <w:szCs w:val="20"/>
              </w:rPr>
              <w:fldChar w:fldCharType="end"/>
            </w:r>
          </w:hyperlink>
        </w:p>
        <w:p w14:paraId="4654DB97" w14:textId="3A754A76" w:rsidR="00BB692D" w:rsidRPr="00BB692D" w:rsidRDefault="003F238F">
          <w:pPr>
            <w:pStyle w:val="Obsah1"/>
            <w:rPr>
              <w:rFonts w:ascii="Century Gothic" w:eastAsiaTheme="minorEastAsia" w:hAnsi="Century Gothic" w:cstheme="minorBidi"/>
              <w:noProof/>
              <w:sz w:val="20"/>
              <w:szCs w:val="20"/>
            </w:rPr>
          </w:pPr>
          <w:hyperlink w:anchor="_Toc145219985" w:history="1">
            <w:r w:rsidR="00BB692D" w:rsidRPr="00BB692D">
              <w:rPr>
                <w:rStyle w:val="Hypertextovprepojenie"/>
                <w:rFonts w:ascii="Century Gothic" w:eastAsiaTheme="majorEastAsia" w:hAnsi="Century Gothic" w:cs="Calibri Light"/>
                <w:sz w:val="20"/>
                <w:szCs w:val="20"/>
                <w:lang w:eastAsia="en-US"/>
              </w:rPr>
              <w:t>16</w:t>
            </w:r>
            <w:r w:rsidR="00BB692D" w:rsidRPr="00BB692D">
              <w:rPr>
                <w:rFonts w:ascii="Century Gothic" w:eastAsiaTheme="minorEastAsia" w:hAnsi="Century Gothic" w:cstheme="minorBidi"/>
                <w:noProof/>
                <w:sz w:val="20"/>
                <w:szCs w:val="20"/>
              </w:rPr>
              <w:tab/>
            </w:r>
            <w:r w:rsidR="00BB692D" w:rsidRPr="00BB692D">
              <w:rPr>
                <w:rStyle w:val="Hypertextovprepojenie"/>
                <w:rFonts w:ascii="Century Gothic" w:eastAsiaTheme="majorEastAsia" w:hAnsi="Century Gothic" w:cs="Calibri Light"/>
                <w:sz w:val="20"/>
                <w:szCs w:val="20"/>
                <w:lang w:eastAsia="en-US"/>
              </w:rPr>
              <w:t>Zoznam použitej literatúry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_Toc145219985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114</w:t>
            </w:r>
            <w:r w:rsidR="00BB692D" w:rsidRPr="00BB692D">
              <w:rPr>
                <w:rFonts w:ascii="Century Gothic" w:hAnsi="Century Gothic"/>
                <w:noProof/>
                <w:webHidden/>
                <w:sz w:val="20"/>
                <w:szCs w:val="20"/>
              </w:rPr>
              <w:fldChar w:fldCharType="end"/>
            </w:r>
          </w:hyperlink>
        </w:p>
        <w:p w14:paraId="7679FED9" w14:textId="194C1B40" w:rsidR="00926228" w:rsidRPr="00C242B5" w:rsidRDefault="00926228" w:rsidP="009B6A13">
          <w:pPr>
            <w:spacing w:line="240" w:lineRule="auto"/>
            <w:rPr>
              <w:rFonts w:ascii="Century Gothic" w:hAnsi="Century Gothic" w:cstheme="minorHAnsi"/>
              <w:sz w:val="22"/>
              <w:szCs w:val="22"/>
            </w:rPr>
          </w:pPr>
          <w:r w:rsidRPr="00BB692D">
            <w:rPr>
              <w:rFonts w:ascii="Century Gothic" w:hAnsi="Century Gothic" w:cstheme="minorHAnsi"/>
              <w:b/>
              <w:bCs/>
              <w:color w:val="365F91" w:themeColor="accent1" w:themeShade="BF"/>
              <w:sz w:val="20"/>
              <w:szCs w:val="20"/>
            </w:rPr>
            <w:fldChar w:fldCharType="end"/>
          </w:r>
        </w:p>
      </w:sdtContent>
    </w:sdt>
    <w:p w14:paraId="1C7B2D99" w14:textId="76A1FB03" w:rsidR="00077188" w:rsidRPr="00C72254" w:rsidRDefault="00077188" w:rsidP="00C72254">
      <w:pPr>
        <w:pStyle w:val="Nadpis10"/>
        <w:spacing w:before="240" w:line="259" w:lineRule="auto"/>
        <w:ind w:left="720"/>
        <w:jc w:val="left"/>
        <w:rPr>
          <w:rFonts w:ascii="Century Gothic" w:hAnsi="Century Gothic" w:cs="Calibri Light"/>
          <w:b w:val="0"/>
          <w:bCs w:val="0"/>
          <w:sz w:val="32"/>
          <w:szCs w:val="32"/>
          <w:lang w:eastAsia="en-US"/>
        </w:rPr>
      </w:pPr>
      <w:bookmarkStart w:id="7" w:name="_Toc114724403"/>
      <w:bookmarkStart w:id="8" w:name="_Toc114728991"/>
      <w:bookmarkStart w:id="9" w:name="_Toc114810889"/>
      <w:bookmarkStart w:id="10" w:name="_Toc114810988"/>
      <w:bookmarkStart w:id="11" w:name="_Toc130963066"/>
      <w:bookmarkStart w:id="12" w:name="_Toc140667680"/>
      <w:bookmarkStart w:id="13" w:name="_Toc145219939"/>
      <w:r w:rsidRPr="00C72254">
        <w:rPr>
          <w:rFonts w:ascii="Century Gothic" w:hAnsi="Century Gothic" w:cs="Calibri Light"/>
          <w:b w:val="0"/>
          <w:bCs w:val="0"/>
          <w:sz w:val="32"/>
          <w:szCs w:val="32"/>
          <w:lang w:eastAsia="en-US"/>
        </w:rPr>
        <w:lastRenderedPageBreak/>
        <w:t>ZOZNAM TABULIEK</w:t>
      </w:r>
      <w:bookmarkEnd w:id="7"/>
      <w:bookmarkEnd w:id="8"/>
      <w:bookmarkEnd w:id="9"/>
      <w:bookmarkEnd w:id="10"/>
      <w:bookmarkEnd w:id="11"/>
      <w:bookmarkEnd w:id="12"/>
      <w:bookmarkEnd w:id="13"/>
    </w:p>
    <w:p w14:paraId="1A1A242A" w14:textId="77777777" w:rsidR="00077188" w:rsidRPr="009E0B4F" w:rsidRDefault="00077188" w:rsidP="009E0B4F">
      <w:pPr>
        <w:rPr>
          <w:rFonts w:ascii="Century Gothic" w:hAnsi="Century Gothic"/>
          <w:sz w:val="22"/>
          <w:szCs w:val="22"/>
          <w:lang w:eastAsia="en-US"/>
        </w:rPr>
      </w:pPr>
    </w:p>
    <w:p w14:paraId="517346A9" w14:textId="5C8A7D4C" w:rsidR="00BB692D" w:rsidRPr="00BB692D" w:rsidRDefault="000012F5">
      <w:pPr>
        <w:pStyle w:val="Zoznamobrzkov"/>
        <w:tabs>
          <w:tab w:val="right" w:leader="dot" w:pos="9062"/>
        </w:tabs>
        <w:rPr>
          <w:rFonts w:ascii="Century Gothic" w:eastAsiaTheme="minorEastAsia" w:hAnsi="Century Gothic" w:cstheme="minorBidi"/>
          <w:noProof/>
          <w:sz w:val="20"/>
          <w:szCs w:val="20"/>
        </w:rPr>
      </w:pPr>
      <w:r w:rsidRPr="00C242B5">
        <w:rPr>
          <w:rFonts w:ascii="Century Gothic" w:hAnsi="Century Gothic" w:cstheme="minorHAnsi"/>
          <w:b/>
          <w:bCs/>
          <w:sz w:val="20"/>
          <w:szCs w:val="20"/>
          <w:lang w:eastAsia="en-US"/>
        </w:rPr>
        <w:fldChar w:fldCharType="begin"/>
      </w:r>
      <w:r w:rsidRPr="00C242B5">
        <w:rPr>
          <w:rFonts w:ascii="Century Gothic" w:hAnsi="Century Gothic" w:cstheme="minorHAnsi"/>
          <w:b/>
          <w:bCs/>
          <w:sz w:val="20"/>
          <w:szCs w:val="20"/>
          <w:lang w:eastAsia="en-US"/>
        </w:rPr>
        <w:instrText xml:space="preserve"> TOC \h \z \c "Tabuľka" </w:instrText>
      </w:r>
      <w:r w:rsidRPr="00C242B5">
        <w:rPr>
          <w:rFonts w:ascii="Century Gothic" w:hAnsi="Century Gothic" w:cstheme="minorHAnsi"/>
          <w:b/>
          <w:bCs/>
          <w:sz w:val="20"/>
          <w:szCs w:val="20"/>
          <w:lang w:eastAsia="en-US"/>
        </w:rPr>
        <w:fldChar w:fldCharType="separate"/>
      </w:r>
      <w:hyperlink w:anchor="_Toc145219902" w:history="1">
        <w:r w:rsidR="00BB692D" w:rsidRPr="00BB692D">
          <w:rPr>
            <w:rStyle w:val="Hypertextovprepojenie"/>
            <w:rFonts w:ascii="Century Gothic" w:hAnsi="Century Gothic" w:cstheme="minorHAnsi"/>
            <w:i/>
            <w:sz w:val="20"/>
            <w:szCs w:val="20"/>
          </w:rPr>
          <w:t>Tabuľka 1 Ekonomický model Nového pavilónu urgentnej medicíny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12</w:t>
        </w:r>
        <w:r w:rsidR="00BB692D" w:rsidRPr="00BB692D">
          <w:rPr>
            <w:rFonts w:ascii="Century Gothic" w:hAnsi="Century Gothic"/>
            <w:noProof/>
            <w:webHidden/>
            <w:sz w:val="20"/>
            <w:szCs w:val="20"/>
          </w:rPr>
          <w:fldChar w:fldCharType="end"/>
        </w:r>
      </w:hyperlink>
    </w:p>
    <w:p w14:paraId="4E6A917E" w14:textId="732953AE"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3" w:history="1">
        <w:r w:rsidR="00BB692D" w:rsidRPr="00BB692D">
          <w:rPr>
            <w:rStyle w:val="Hypertextovprepojenie"/>
            <w:rFonts w:ascii="Century Gothic" w:hAnsi="Century Gothic" w:cstheme="minorHAnsi"/>
            <w:i/>
            <w:sz w:val="20"/>
            <w:szCs w:val="20"/>
          </w:rPr>
          <w:t>Tabuľka 2 Porovnanie kľúčových parametrov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12</w:t>
        </w:r>
        <w:r w:rsidR="00BB692D" w:rsidRPr="00BB692D">
          <w:rPr>
            <w:rFonts w:ascii="Century Gothic" w:hAnsi="Century Gothic"/>
            <w:noProof/>
            <w:webHidden/>
            <w:sz w:val="20"/>
            <w:szCs w:val="20"/>
          </w:rPr>
          <w:fldChar w:fldCharType="end"/>
        </w:r>
      </w:hyperlink>
    </w:p>
    <w:p w14:paraId="695C6F47" w14:textId="48757710"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4" w:history="1">
        <w:r w:rsidR="00BB692D" w:rsidRPr="00BB692D">
          <w:rPr>
            <w:rStyle w:val="Hypertextovprepojenie"/>
            <w:rFonts w:ascii="Century Gothic" w:hAnsi="Century Gothic" w:cstheme="minorHAnsi"/>
            <w:i/>
            <w:sz w:val="20"/>
            <w:szCs w:val="20"/>
          </w:rPr>
          <w:t>Tabuľka 3 Okresy Žilinského kraja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17</w:t>
        </w:r>
        <w:r w:rsidR="00BB692D" w:rsidRPr="00BB692D">
          <w:rPr>
            <w:rFonts w:ascii="Century Gothic" w:hAnsi="Century Gothic"/>
            <w:noProof/>
            <w:webHidden/>
            <w:sz w:val="20"/>
            <w:szCs w:val="20"/>
          </w:rPr>
          <w:fldChar w:fldCharType="end"/>
        </w:r>
      </w:hyperlink>
    </w:p>
    <w:p w14:paraId="1A25F533" w14:textId="67959EC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5" w:history="1">
        <w:r w:rsidR="00BB692D" w:rsidRPr="00BB692D">
          <w:rPr>
            <w:rStyle w:val="Hypertextovprepojenie"/>
            <w:rFonts w:ascii="Century Gothic" w:hAnsi="Century Gothic" w:cstheme="minorHAnsi"/>
            <w:i/>
            <w:sz w:val="20"/>
            <w:szCs w:val="20"/>
          </w:rPr>
          <w:t>Tabuľka 4 Percentuálne rozdelenie vekovej štruktúry obyvateľstva v Žilinskom kraji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18</w:t>
        </w:r>
        <w:r w:rsidR="00BB692D" w:rsidRPr="00BB692D">
          <w:rPr>
            <w:rFonts w:ascii="Century Gothic" w:hAnsi="Century Gothic"/>
            <w:noProof/>
            <w:webHidden/>
            <w:sz w:val="20"/>
            <w:szCs w:val="20"/>
          </w:rPr>
          <w:fldChar w:fldCharType="end"/>
        </w:r>
      </w:hyperlink>
    </w:p>
    <w:p w14:paraId="3D3C696A" w14:textId="0BC7ED00"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6" w:history="1">
        <w:r w:rsidR="00BB692D" w:rsidRPr="00BB692D">
          <w:rPr>
            <w:rStyle w:val="Hypertextovprepojenie"/>
            <w:rFonts w:ascii="Century Gothic" w:hAnsi="Century Gothic" w:cstheme="minorHAnsi"/>
            <w:i/>
            <w:sz w:val="20"/>
            <w:szCs w:val="20"/>
          </w:rPr>
          <w:t>Tabuľka 5 Percentuálne rozdelenie vekovej štruktúry obyvateľstva v okrese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18</w:t>
        </w:r>
        <w:r w:rsidR="00BB692D" w:rsidRPr="00BB692D">
          <w:rPr>
            <w:rFonts w:ascii="Century Gothic" w:hAnsi="Century Gothic"/>
            <w:noProof/>
            <w:webHidden/>
            <w:sz w:val="20"/>
            <w:szCs w:val="20"/>
          </w:rPr>
          <w:fldChar w:fldCharType="end"/>
        </w:r>
      </w:hyperlink>
    </w:p>
    <w:p w14:paraId="51A4D0B6" w14:textId="64C0DE2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7" w:history="1">
        <w:r w:rsidR="00BB692D" w:rsidRPr="00BB692D">
          <w:rPr>
            <w:rStyle w:val="Hypertextovprepojenie"/>
            <w:rFonts w:ascii="Century Gothic" w:hAnsi="Century Gothic" w:cstheme="minorHAnsi"/>
            <w:i/>
            <w:sz w:val="20"/>
            <w:szCs w:val="20"/>
          </w:rPr>
          <w:t>Tabuľka 6 Počet pracovných miest samostatných zdravotníckych pracovníkov v zdravotníckych zariadeniach</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19</w:t>
        </w:r>
        <w:r w:rsidR="00BB692D" w:rsidRPr="00BB692D">
          <w:rPr>
            <w:rFonts w:ascii="Century Gothic" w:hAnsi="Century Gothic"/>
            <w:noProof/>
            <w:webHidden/>
            <w:sz w:val="20"/>
            <w:szCs w:val="20"/>
          </w:rPr>
          <w:fldChar w:fldCharType="end"/>
        </w:r>
      </w:hyperlink>
    </w:p>
    <w:p w14:paraId="3AE7C1B7" w14:textId="2F710C67"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8" w:history="1">
        <w:r w:rsidR="00BB692D" w:rsidRPr="00BB692D">
          <w:rPr>
            <w:rStyle w:val="Hypertextovprepojenie"/>
            <w:rFonts w:ascii="Century Gothic" w:hAnsi="Century Gothic" w:cstheme="minorHAnsi"/>
            <w:i/>
            <w:sz w:val="20"/>
            <w:szCs w:val="20"/>
          </w:rPr>
          <w:t>Tabuľka 7 Počet pracovných miest samostatných zdravotníckych pracovníkov v zdravotníckych zariadeniach v Žilinskom kraji podľa okresov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19</w:t>
        </w:r>
        <w:r w:rsidR="00BB692D" w:rsidRPr="00BB692D">
          <w:rPr>
            <w:rFonts w:ascii="Century Gothic" w:hAnsi="Century Gothic"/>
            <w:noProof/>
            <w:webHidden/>
            <w:sz w:val="20"/>
            <w:szCs w:val="20"/>
          </w:rPr>
          <w:fldChar w:fldCharType="end"/>
        </w:r>
      </w:hyperlink>
    </w:p>
    <w:p w14:paraId="67FF5D06" w14:textId="00970CA2"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9" w:history="1">
        <w:r w:rsidR="00BB692D" w:rsidRPr="00BB692D">
          <w:rPr>
            <w:rStyle w:val="Hypertextovprepojenie"/>
            <w:rFonts w:ascii="Century Gothic" w:hAnsi="Century Gothic" w:cstheme="minorHAnsi"/>
            <w:i/>
            <w:sz w:val="20"/>
            <w:szCs w:val="20"/>
          </w:rPr>
          <w:t xml:space="preserve">Tabuľka 8 Počet </w:t>
        </w:r>
        <w:bookmarkStart w:id="14" w:name="_GoBack"/>
        <w:bookmarkEnd w:id="14"/>
        <w:r w:rsidR="00BB692D" w:rsidRPr="00BB692D">
          <w:rPr>
            <w:rStyle w:val="Hypertextovprepojenie"/>
            <w:rFonts w:ascii="Century Gothic" w:hAnsi="Century Gothic" w:cstheme="minorHAnsi"/>
            <w:i/>
            <w:sz w:val="20"/>
            <w:szCs w:val="20"/>
          </w:rPr>
          <w:t>ambulancií a lekárskych miest v Žilinskom kraji podľa okresov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20</w:t>
        </w:r>
        <w:r w:rsidR="00BB692D" w:rsidRPr="00BB692D">
          <w:rPr>
            <w:rFonts w:ascii="Century Gothic" w:hAnsi="Century Gothic"/>
            <w:noProof/>
            <w:webHidden/>
            <w:sz w:val="20"/>
            <w:szCs w:val="20"/>
          </w:rPr>
          <w:fldChar w:fldCharType="end"/>
        </w:r>
      </w:hyperlink>
    </w:p>
    <w:p w14:paraId="4AA09D53" w14:textId="2CBC1B5F"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0" w:history="1">
        <w:r w:rsidR="00BB692D" w:rsidRPr="00BB692D">
          <w:rPr>
            <w:rStyle w:val="Hypertextovprepojenie"/>
            <w:rFonts w:ascii="Century Gothic" w:hAnsi="Century Gothic" w:cstheme="minorHAnsi"/>
            <w:i/>
            <w:sz w:val="20"/>
            <w:szCs w:val="20"/>
          </w:rPr>
          <w:t>Tabuľka 9 Clustre zdravotnej starostlivosti v Žilinskom kraji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21</w:t>
        </w:r>
        <w:r w:rsidR="00BB692D" w:rsidRPr="00BB692D">
          <w:rPr>
            <w:rFonts w:ascii="Century Gothic" w:hAnsi="Century Gothic"/>
            <w:noProof/>
            <w:webHidden/>
            <w:sz w:val="20"/>
            <w:szCs w:val="20"/>
          </w:rPr>
          <w:fldChar w:fldCharType="end"/>
        </w:r>
      </w:hyperlink>
    </w:p>
    <w:p w14:paraId="0EC05372" w14:textId="13CB593E"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1" w:history="1">
        <w:r w:rsidR="00BB692D" w:rsidRPr="00BB692D">
          <w:rPr>
            <w:rStyle w:val="Hypertextovprepojenie"/>
            <w:rFonts w:ascii="Century Gothic" w:hAnsi="Century Gothic" w:cs="Arial"/>
            <w:i/>
            <w:sz w:val="20"/>
            <w:szCs w:val="20"/>
          </w:rPr>
          <w:t>Tabuľka 10 Počet primárnych zásahov posádok ZZS, ktoré skončili prevozom do vybraných ÚZZ</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22</w:t>
        </w:r>
        <w:r w:rsidR="00BB692D" w:rsidRPr="00BB692D">
          <w:rPr>
            <w:rFonts w:ascii="Century Gothic" w:hAnsi="Century Gothic"/>
            <w:noProof/>
            <w:webHidden/>
            <w:sz w:val="20"/>
            <w:szCs w:val="20"/>
          </w:rPr>
          <w:fldChar w:fldCharType="end"/>
        </w:r>
      </w:hyperlink>
    </w:p>
    <w:p w14:paraId="034DEB2C" w14:textId="781672E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2" w:history="1">
        <w:r w:rsidR="00BB692D" w:rsidRPr="00BB692D">
          <w:rPr>
            <w:rStyle w:val="Hypertextovprepojenie"/>
            <w:rFonts w:ascii="Century Gothic" w:hAnsi="Century Gothic" w:cs="Arial"/>
            <w:i/>
            <w:sz w:val="20"/>
            <w:szCs w:val="20"/>
          </w:rPr>
          <w:t>Tabuľka 11 Priemerný počet primárnych zásahov posádok ZZS (2019-2022), ktoré skončili prevozom do vybraných ÚZZ na počet obyvateľov jednotlivých clustrov ŽSK</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22</w:t>
        </w:r>
        <w:r w:rsidR="00BB692D" w:rsidRPr="00BB692D">
          <w:rPr>
            <w:rFonts w:ascii="Century Gothic" w:hAnsi="Century Gothic"/>
            <w:noProof/>
            <w:webHidden/>
            <w:sz w:val="20"/>
            <w:szCs w:val="20"/>
          </w:rPr>
          <w:fldChar w:fldCharType="end"/>
        </w:r>
      </w:hyperlink>
    </w:p>
    <w:p w14:paraId="5F43B7A5" w14:textId="7982B62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3" w:history="1">
        <w:r w:rsidR="00BB692D" w:rsidRPr="00BB692D">
          <w:rPr>
            <w:rStyle w:val="Hypertextovprepojenie"/>
            <w:rFonts w:ascii="Century Gothic" w:hAnsi="Century Gothic" w:cs="Arial"/>
            <w:i/>
            <w:sz w:val="20"/>
            <w:szCs w:val="20"/>
          </w:rPr>
          <w:t>Tabuľka 12 Počet sekundárnych prevozov v rámci ŽSK</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23</w:t>
        </w:r>
        <w:r w:rsidR="00BB692D" w:rsidRPr="00BB692D">
          <w:rPr>
            <w:rFonts w:ascii="Century Gothic" w:hAnsi="Century Gothic"/>
            <w:noProof/>
            <w:webHidden/>
            <w:sz w:val="20"/>
            <w:szCs w:val="20"/>
          </w:rPr>
          <w:fldChar w:fldCharType="end"/>
        </w:r>
      </w:hyperlink>
    </w:p>
    <w:p w14:paraId="43E92BC8" w14:textId="2F5CAAF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4" w:history="1">
        <w:r w:rsidR="00BB692D" w:rsidRPr="00BB692D">
          <w:rPr>
            <w:rStyle w:val="Hypertextovprepojenie"/>
            <w:rFonts w:ascii="Century Gothic" w:hAnsi="Century Gothic" w:cs="Arial"/>
            <w:i/>
            <w:sz w:val="20"/>
            <w:szCs w:val="20"/>
          </w:rPr>
          <w:t>Tabuľka 13 Počet sekundárnych prevozov na „vyššie pracovisko“ v rámci ŽSK (priorita A+B)</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23</w:t>
        </w:r>
        <w:r w:rsidR="00BB692D" w:rsidRPr="00BB692D">
          <w:rPr>
            <w:rFonts w:ascii="Century Gothic" w:hAnsi="Century Gothic"/>
            <w:noProof/>
            <w:webHidden/>
            <w:sz w:val="20"/>
            <w:szCs w:val="20"/>
          </w:rPr>
          <w:fldChar w:fldCharType="end"/>
        </w:r>
      </w:hyperlink>
    </w:p>
    <w:p w14:paraId="63416548" w14:textId="47040CD1"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5" w:history="1">
        <w:r w:rsidR="00BB692D" w:rsidRPr="00BB692D">
          <w:rPr>
            <w:rStyle w:val="Hypertextovprepojenie"/>
            <w:rFonts w:ascii="Century Gothic" w:hAnsi="Century Gothic" w:cs="Arial"/>
            <w:i/>
            <w:sz w:val="20"/>
            <w:szCs w:val="20"/>
          </w:rPr>
          <w:t>Tabuľka 14 Počet akútne operovaných pacientov  v rámci jednotlivých nemocníc ŽSK 2010 - 2021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24</w:t>
        </w:r>
        <w:r w:rsidR="00BB692D" w:rsidRPr="00BB692D">
          <w:rPr>
            <w:rFonts w:ascii="Century Gothic" w:hAnsi="Century Gothic"/>
            <w:noProof/>
            <w:webHidden/>
            <w:sz w:val="20"/>
            <w:szCs w:val="20"/>
          </w:rPr>
          <w:fldChar w:fldCharType="end"/>
        </w:r>
      </w:hyperlink>
    </w:p>
    <w:p w14:paraId="5ED75BE3" w14:textId="472A236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6" w:history="1">
        <w:r w:rsidR="00BB692D" w:rsidRPr="00BB692D">
          <w:rPr>
            <w:rStyle w:val="Hypertextovprepojenie"/>
            <w:rFonts w:ascii="Century Gothic" w:hAnsi="Century Gothic" w:cs="Arial"/>
            <w:i/>
            <w:sz w:val="20"/>
            <w:szCs w:val="20"/>
          </w:rPr>
          <w:t>Tabuľka 15 Štatistické ukazovatele – kapacita a personálne obsadenie nemocníc – ŽSK celkom (rok 2020)</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24</w:t>
        </w:r>
        <w:r w:rsidR="00BB692D" w:rsidRPr="00BB692D">
          <w:rPr>
            <w:rFonts w:ascii="Century Gothic" w:hAnsi="Century Gothic"/>
            <w:noProof/>
            <w:webHidden/>
            <w:sz w:val="20"/>
            <w:szCs w:val="20"/>
          </w:rPr>
          <w:fldChar w:fldCharType="end"/>
        </w:r>
      </w:hyperlink>
    </w:p>
    <w:p w14:paraId="06ED006A" w14:textId="0E9B62FC"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7" w:history="1">
        <w:r w:rsidR="00BB692D" w:rsidRPr="00BB692D">
          <w:rPr>
            <w:rStyle w:val="Hypertextovprepojenie"/>
            <w:rFonts w:ascii="Century Gothic" w:hAnsi="Century Gothic" w:cs="Arial"/>
            <w:i/>
            <w:sz w:val="20"/>
            <w:szCs w:val="20"/>
          </w:rPr>
          <w:t>Tabuľka 16 Štatistické ukazovatele – využitie lôžkového fondu nemocníc – ŽSK celkom (rok 2020)</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24</w:t>
        </w:r>
        <w:r w:rsidR="00BB692D" w:rsidRPr="00BB692D">
          <w:rPr>
            <w:rFonts w:ascii="Century Gothic" w:hAnsi="Century Gothic"/>
            <w:noProof/>
            <w:webHidden/>
            <w:sz w:val="20"/>
            <w:szCs w:val="20"/>
          </w:rPr>
          <w:fldChar w:fldCharType="end"/>
        </w:r>
      </w:hyperlink>
    </w:p>
    <w:p w14:paraId="4D359A07" w14:textId="160614E8"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8" w:history="1">
        <w:r w:rsidR="00BB692D" w:rsidRPr="00BB692D">
          <w:rPr>
            <w:rStyle w:val="Hypertextovprepojenie"/>
            <w:rFonts w:ascii="Century Gothic" w:hAnsi="Century Gothic" w:cstheme="minorHAnsi"/>
            <w:i/>
            <w:sz w:val="20"/>
            <w:szCs w:val="20"/>
          </w:rPr>
          <w:t>Tabuľka 17 Nárast počtu ošetrených pacientov v rámci ÚPS 2010 vs 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30</w:t>
        </w:r>
        <w:r w:rsidR="00BB692D" w:rsidRPr="00BB692D">
          <w:rPr>
            <w:rFonts w:ascii="Century Gothic" w:hAnsi="Century Gothic"/>
            <w:noProof/>
            <w:webHidden/>
            <w:sz w:val="20"/>
            <w:szCs w:val="20"/>
          </w:rPr>
          <w:fldChar w:fldCharType="end"/>
        </w:r>
      </w:hyperlink>
    </w:p>
    <w:p w14:paraId="1C62EF3D" w14:textId="5A13D4D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19" w:history="1">
        <w:r w:rsidR="00BB692D" w:rsidRPr="00BB692D">
          <w:rPr>
            <w:rStyle w:val="Hypertextovprepojenie"/>
            <w:rFonts w:ascii="Century Gothic" w:hAnsi="Century Gothic"/>
            <w:i/>
            <w:sz w:val="20"/>
            <w:szCs w:val="20"/>
          </w:rPr>
          <w:t>Tabuľka 18 Podiel pacientov(%) operovaných formou JCH 2016-2022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_Toc145219919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37</w:t>
        </w:r>
        <w:r w:rsidR="00BB692D" w:rsidRPr="00BB692D">
          <w:rPr>
            <w:rFonts w:ascii="Century Gothic" w:hAnsi="Century Gothic"/>
            <w:noProof/>
            <w:webHidden/>
            <w:sz w:val="20"/>
            <w:szCs w:val="20"/>
          </w:rPr>
          <w:fldChar w:fldCharType="end"/>
        </w:r>
      </w:hyperlink>
    </w:p>
    <w:p w14:paraId="1A80B1D5" w14:textId="35998EC2"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0" w:history="1">
        <w:r w:rsidR="00BB692D" w:rsidRPr="00BB692D">
          <w:rPr>
            <w:rStyle w:val="Hypertextovprepojenie"/>
            <w:rFonts w:ascii="Century Gothic" w:hAnsi="Century Gothic"/>
            <w:i/>
            <w:sz w:val="20"/>
            <w:szCs w:val="20"/>
          </w:rPr>
          <w:t>Tabuľka 19 Počet narodených detí, z toho potreba intenzívnej starostlivosti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38</w:t>
        </w:r>
        <w:r w:rsidR="00BB692D" w:rsidRPr="00BB692D">
          <w:rPr>
            <w:rFonts w:ascii="Century Gothic" w:hAnsi="Century Gothic"/>
            <w:noProof/>
            <w:webHidden/>
            <w:sz w:val="20"/>
            <w:szCs w:val="20"/>
          </w:rPr>
          <w:fldChar w:fldCharType="end"/>
        </w:r>
      </w:hyperlink>
    </w:p>
    <w:p w14:paraId="5632F478" w14:textId="7E42BE3F"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1" w:history="1">
        <w:r w:rsidR="00BB692D" w:rsidRPr="00BB692D">
          <w:rPr>
            <w:rStyle w:val="Hypertextovprepojenie"/>
            <w:rFonts w:ascii="Century Gothic" w:hAnsi="Century Gothic"/>
            <w:i/>
            <w:sz w:val="20"/>
            <w:szCs w:val="20"/>
          </w:rPr>
          <w:t>Tabuľka 20 Počty lôžok vo FNsP Žilina (aktuálny stav)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39</w:t>
        </w:r>
        <w:r w:rsidR="00BB692D" w:rsidRPr="00BB692D">
          <w:rPr>
            <w:rFonts w:ascii="Century Gothic" w:hAnsi="Century Gothic"/>
            <w:noProof/>
            <w:webHidden/>
            <w:sz w:val="20"/>
            <w:szCs w:val="20"/>
          </w:rPr>
          <w:fldChar w:fldCharType="end"/>
        </w:r>
      </w:hyperlink>
    </w:p>
    <w:p w14:paraId="7BD9935B" w14:textId="1C1DA9DF"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2" w:history="1">
        <w:r w:rsidR="00BB692D" w:rsidRPr="00BB692D">
          <w:rPr>
            <w:rStyle w:val="Hypertextovprepojenie"/>
            <w:rFonts w:ascii="Century Gothic" w:hAnsi="Century Gothic"/>
            <w:i/>
            <w:sz w:val="20"/>
            <w:szCs w:val="20"/>
          </w:rPr>
          <w:t>Tabuľka 21 Výkonové parametre OAIM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39</w:t>
        </w:r>
        <w:r w:rsidR="00BB692D" w:rsidRPr="00BB692D">
          <w:rPr>
            <w:rFonts w:ascii="Century Gothic" w:hAnsi="Century Gothic"/>
            <w:noProof/>
            <w:webHidden/>
            <w:sz w:val="20"/>
            <w:szCs w:val="20"/>
          </w:rPr>
          <w:fldChar w:fldCharType="end"/>
        </w:r>
      </w:hyperlink>
    </w:p>
    <w:p w14:paraId="64F6FC3F" w14:textId="201E30CF"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3" w:history="1">
        <w:r w:rsidR="00BB692D" w:rsidRPr="00BB692D">
          <w:rPr>
            <w:rStyle w:val="Hypertextovprepojenie"/>
            <w:rFonts w:ascii="Century Gothic" w:hAnsi="Century Gothic"/>
            <w:i/>
            <w:sz w:val="20"/>
            <w:szCs w:val="20"/>
          </w:rPr>
          <w:t>Tabuľka 22 Počet hospitalizácií na OAIM 2010-2021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40</w:t>
        </w:r>
        <w:r w:rsidR="00BB692D" w:rsidRPr="00BB692D">
          <w:rPr>
            <w:rFonts w:ascii="Century Gothic" w:hAnsi="Century Gothic"/>
            <w:noProof/>
            <w:webHidden/>
            <w:sz w:val="20"/>
            <w:szCs w:val="20"/>
          </w:rPr>
          <w:fldChar w:fldCharType="end"/>
        </w:r>
      </w:hyperlink>
    </w:p>
    <w:p w14:paraId="7237F631" w14:textId="5F90FEC6"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4" w:history="1">
        <w:r w:rsidR="00BB692D" w:rsidRPr="00BB692D">
          <w:rPr>
            <w:rStyle w:val="Hypertextovprepojenie"/>
            <w:rFonts w:ascii="Century Gothic" w:hAnsi="Century Gothic"/>
            <w:i/>
            <w:sz w:val="20"/>
            <w:szCs w:val="20"/>
          </w:rPr>
          <w:t>Tabuľka 23 Priemerná ošetrovacia doba na OAIM 2010-2021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40</w:t>
        </w:r>
        <w:r w:rsidR="00BB692D" w:rsidRPr="00BB692D">
          <w:rPr>
            <w:rFonts w:ascii="Century Gothic" w:hAnsi="Century Gothic"/>
            <w:noProof/>
            <w:webHidden/>
            <w:sz w:val="20"/>
            <w:szCs w:val="20"/>
          </w:rPr>
          <w:fldChar w:fldCharType="end"/>
        </w:r>
      </w:hyperlink>
    </w:p>
    <w:p w14:paraId="67ECB8EC" w14:textId="29A8FF76"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5" w:history="1">
        <w:r w:rsidR="00BB692D" w:rsidRPr="00BB692D">
          <w:rPr>
            <w:rStyle w:val="Hypertextovprepojenie"/>
            <w:rFonts w:ascii="Century Gothic" w:hAnsi="Century Gothic"/>
            <w:i/>
            <w:sz w:val="20"/>
            <w:szCs w:val="20"/>
          </w:rPr>
          <w:t>Tabuľka 24 Hospodárenie FNsP Žilina v období 2016 – 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50</w:t>
        </w:r>
        <w:r w:rsidR="00BB692D" w:rsidRPr="00BB692D">
          <w:rPr>
            <w:rFonts w:ascii="Century Gothic" w:hAnsi="Century Gothic"/>
            <w:noProof/>
            <w:webHidden/>
            <w:sz w:val="20"/>
            <w:szCs w:val="20"/>
          </w:rPr>
          <w:fldChar w:fldCharType="end"/>
        </w:r>
      </w:hyperlink>
    </w:p>
    <w:p w14:paraId="7F7F3123" w14:textId="3891A758"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6" w:history="1">
        <w:r w:rsidR="00BB692D" w:rsidRPr="00BB692D">
          <w:rPr>
            <w:rStyle w:val="Hypertextovprepojenie"/>
            <w:rFonts w:ascii="Century Gothic" w:hAnsi="Century Gothic"/>
            <w:i/>
            <w:sz w:val="20"/>
            <w:szCs w:val="20"/>
          </w:rPr>
          <w:t>Tabuľka 25 Výnosy a náklady FNsP Žilina v období 2016 – 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50</w:t>
        </w:r>
        <w:r w:rsidR="00BB692D" w:rsidRPr="00BB692D">
          <w:rPr>
            <w:rFonts w:ascii="Century Gothic" w:hAnsi="Century Gothic"/>
            <w:noProof/>
            <w:webHidden/>
            <w:sz w:val="20"/>
            <w:szCs w:val="20"/>
          </w:rPr>
          <w:fldChar w:fldCharType="end"/>
        </w:r>
      </w:hyperlink>
    </w:p>
    <w:p w14:paraId="4D8D1223" w14:textId="27C44CA1"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7" w:history="1">
        <w:r w:rsidR="00BB692D" w:rsidRPr="00BB692D">
          <w:rPr>
            <w:rStyle w:val="Hypertextovprepojenie"/>
            <w:rFonts w:ascii="Century Gothic" w:hAnsi="Century Gothic"/>
            <w:i/>
            <w:sz w:val="20"/>
            <w:szCs w:val="20"/>
          </w:rPr>
          <w:t>Tabuľka 26 Súvaha FNsP Žilina  v období 2016 – 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51</w:t>
        </w:r>
        <w:r w:rsidR="00BB692D" w:rsidRPr="00BB692D">
          <w:rPr>
            <w:rFonts w:ascii="Century Gothic" w:hAnsi="Century Gothic"/>
            <w:noProof/>
            <w:webHidden/>
            <w:sz w:val="20"/>
            <w:szCs w:val="20"/>
          </w:rPr>
          <w:fldChar w:fldCharType="end"/>
        </w:r>
      </w:hyperlink>
    </w:p>
    <w:p w14:paraId="37FD9D76" w14:textId="632E778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8" w:history="1">
        <w:r w:rsidR="00BB692D" w:rsidRPr="00BB692D">
          <w:rPr>
            <w:rStyle w:val="Hypertextovprepojenie"/>
            <w:rFonts w:ascii="Century Gothic" w:hAnsi="Century Gothic"/>
            <w:i/>
            <w:sz w:val="20"/>
            <w:szCs w:val="20"/>
          </w:rPr>
          <w:t>Tabuľka 27 Ekonomické indikátory FNsP Žilina v období 2016 – 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51</w:t>
        </w:r>
        <w:r w:rsidR="00BB692D" w:rsidRPr="00BB692D">
          <w:rPr>
            <w:rFonts w:ascii="Century Gothic" w:hAnsi="Century Gothic"/>
            <w:noProof/>
            <w:webHidden/>
            <w:sz w:val="20"/>
            <w:szCs w:val="20"/>
          </w:rPr>
          <w:fldChar w:fldCharType="end"/>
        </w:r>
      </w:hyperlink>
    </w:p>
    <w:p w14:paraId="178E7C0E" w14:textId="798DF7B5"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29" w:history="1">
        <w:r w:rsidR="00BB692D" w:rsidRPr="00BB692D">
          <w:rPr>
            <w:rStyle w:val="Hypertextovprepojenie"/>
            <w:rFonts w:ascii="Century Gothic" w:hAnsi="Century Gothic"/>
            <w:i/>
            <w:sz w:val="20"/>
            <w:szCs w:val="20"/>
          </w:rPr>
          <w:t>Tabuľka 28 Aktuálne priestory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_Toc145219929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52</w:t>
        </w:r>
        <w:r w:rsidR="00BB692D" w:rsidRPr="00BB692D">
          <w:rPr>
            <w:rFonts w:ascii="Century Gothic" w:hAnsi="Century Gothic"/>
            <w:noProof/>
            <w:webHidden/>
            <w:sz w:val="20"/>
            <w:szCs w:val="20"/>
          </w:rPr>
          <w:fldChar w:fldCharType="end"/>
        </w:r>
      </w:hyperlink>
    </w:p>
    <w:p w14:paraId="5039E3CD" w14:textId="02A1A2CC"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0" w:history="1">
        <w:r w:rsidR="00BB692D" w:rsidRPr="00BB692D">
          <w:rPr>
            <w:rStyle w:val="Hypertextovprepojenie"/>
            <w:rFonts w:ascii="Century Gothic" w:hAnsi="Century Gothic"/>
            <w:i/>
            <w:sz w:val="20"/>
            <w:szCs w:val="20"/>
          </w:rPr>
          <w:t>Tabuľka 29Rozloženie oddelenie v novom Pavilóne urgentnej medicíny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56</w:t>
        </w:r>
        <w:r w:rsidR="00BB692D" w:rsidRPr="00BB692D">
          <w:rPr>
            <w:rFonts w:ascii="Century Gothic" w:hAnsi="Century Gothic"/>
            <w:noProof/>
            <w:webHidden/>
            <w:sz w:val="20"/>
            <w:szCs w:val="20"/>
          </w:rPr>
          <w:fldChar w:fldCharType="end"/>
        </w:r>
      </w:hyperlink>
    </w:p>
    <w:p w14:paraId="57E50A96" w14:textId="61879F72"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1" w:history="1">
        <w:r w:rsidR="00BB692D" w:rsidRPr="00BB692D">
          <w:rPr>
            <w:rStyle w:val="Hypertextovprepojenie"/>
            <w:rFonts w:ascii="Century Gothic" w:hAnsi="Century Gothic"/>
            <w:i/>
            <w:sz w:val="20"/>
            <w:szCs w:val="20"/>
          </w:rPr>
          <w:t>Tabuľka 30 Oddelenia FNsP Žilina s uvedením oddelení, ktoré budú lokalizované v Novom PUM</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56</w:t>
        </w:r>
        <w:r w:rsidR="00BB692D" w:rsidRPr="00BB692D">
          <w:rPr>
            <w:rFonts w:ascii="Century Gothic" w:hAnsi="Century Gothic"/>
            <w:noProof/>
            <w:webHidden/>
            <w:sz w:val="20"/>
            <w:szCs w:val="20"/>
          </w:rPr>
          <w:fldChar w:fldCharType="end"/>
        </w:r>
      </w:hyperlink>
    </w:p>
    <w:p w14:paraId="08D3F18A" w14:textId="48FB5BDF"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2" w:history="1">
        <w:r w:rsidR="00BB692D" w:rsidRPr="00BB692D">
          <w:rPr>
            <w:rStyle w:val="Hypertextovprepojenie"/>
            <w:rFonts w:ascii="Century Gothic" w:hAnsi="Century Gothic"/>
            <w:i/>
            <w:sz w:val="20"/>
            <w:szCs w:val="20"/>
          </w:rPr>
          <w:t>Tabuľka 31 Tabuľka: Počet študentov podľa odborov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57</w:t>
        </w:r>
        <w:r w:rsidR="00BB692D" w:rsidRPr="00BB692D">
          <w:rPr>
            <w:rFonts w:ascii="Century Gothic" w:hAnsi="Century Gothic"/>
            <w:noProof/>
            <w:webHidden/>
            <w:sz w:val="20"/>
            <w:szCs w:val="20"/>
          </w:rPr>
          <w:fldChar w:fldCharType="end"/>
        </w:r>
      </w:hyperlink>
    </w:p>
    <w:p w14:paraId="45E5F4D4" w14:textId="7DD844FB"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3" w:history="1">
        <w:r w:rsidR="00BB692D" w:rsidRPr="00BB692D">
          <w:rPr>
            <w:rStyle w:val="Hypertextovprepojenie"/>
            <w:rFonts w:ascii="Century Gothic" w:hAnsi="Century Gothic"/>
            <w:sz w:val="20"/>
            <w:szCs w:val="20"/>
          </w:rPr>
          <w:t>Tabuľka 32 Technický stav budov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58</w:t>
        </w:r>
        <w:r w:rsidR="00BB692D" w:rsidRPr="00BB692D">
          <w:rPr>
            <w:rFonts w:ascii="Century Gothic" w:hAnsi="Century Gothic"/>
            <w:noProof/>
            <w:webHidden/>
            <w:sz w:val="20"/>
            <w:szCs w:val="20"/>
          </w:rPr>
          <w:fldChar w:fldCharType="end"/>
        </w:r>
      </w:hyperlink>
    </w:p>
    <w:p w14:paraId="21EE3D9D" w14:textId="58B35798"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4" w:history="1">
        <w:r w:rsidR="00BB692D" w:rsidRPr="00BB692D">
          <w:rPr>
            <w:rStyle w:val="Hypertextovprepojenie"/>
            <w:rFonts w:ascii="Century Gothic" w:hAnsi="Century Gothic"/>
            <w:sz w:val="20"/>
            <w:szCs w:val="20"/>
          </w:rPr>
          <w:t>Tabuľka 33 Kapacitný model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68</w:t>
        </w:r>
        <w:r w:rsidR="00BB692D" w:rsidRPr="00BB692D">
          <w:rPr>
            <w:rFonts w:ascii="Century Gothic" w:hAnsi="Century Gothic"/>
            <w:noProof/>
            <w:webHidden/>
            <w:sz w:val="20"/>
            <w:szCs w:val="20"/>
          </w:rPr>
          <w:fldChar w:fldCharType="end"/>
        </w:r>
      </w:hyperlink>
    </w:p>
    <w:p w14:paraId="4BBE6648" w14:textId="25B758F4"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5" w:history="1">
        <w:r w:rsidR="00BB692D" w:rsidRPr="00BB692D">
          <w:rPr>
            <w:rStyle w:val="Hypertextovprepojenie"/>
            <w:rFonts w:ascii="Century Gothic" w:hAnsi="Century Gothic"/>
            <w:i/>
            <w:sz w:val="20"/>
            <w:szCs w:val="20"/>
          </w:rPr>
          <w:t>Tabuľka 34  Percentuálny rast nákladov v sledovanom / hodnotenom období</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103</w:t>
        </w:r>
        <w:r w:rsidR="00BB692D" w:rsidRPr="00BB692D">
          <w:rPr>
            <w:rFonts w:ascii="Century Gothic" w:hAnsi="Century Gothic"/>
            <w:noProof/>
            <w:webHidden/>
            <w:sz w:val="20"/>
            <w:szCs w:val="20"/>
          </w:rPr>
          <w:fldChar w:fldCharType="end"/>
        </w:r>
      </w:hyperlink>
    </w:p>
    <w:p w14:paraId="6266C57A" w14:textId="0830F19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6" w:history="1">
        <w:r w:rsidR="00BB692D" w:rsidRPr="00BB692D">
          <w:rPr>
            <w:rStyle w:val="Hypertextovprepojenie"/>
            <w:rFonts w:ascii="Century Gothic" w:hAnsi="Century Gothic"/>
            <w:i/>
            <w:sz w:val="20"/>
            <w:szCs w:val="20"/>
          </w:rPr>
          <w:t>Tabuľka 35 Percentuálny rast výnosov v sledovanom / hodnotenom období</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104</w:t>
        </w:r>
        <w:r w:rsidR="00BB692D" w:rsidRPr="00BB692D">
          <w:rPr>
            <w:rFonts w:ascii="Century Gothic" w:hAnsi="Century Gothic"/>
            <w:noProof/>
            <w:webHidden/>
            <w:sz w:val="20"/>
            <w:szCs w:val="20"/>
          </w:rPr>
          <w:fldChar w:fldCharType="end"/>
        </w:r>
      </w:hyperlink>
    </w:p>
    <w:p w14:paraId="1BB2B3B0" w14:textId="02CEA11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37" w:history="1">
        <w:r w:rsidR="00BB692D" w:rsidRPr="00BB692D">
          <w:rPr>
            <w:rStyle w:val="Hypertextovprepojenie"/>
            <w:rFonts w:ascii="Century Gothic" w:hAnsi="Century Gothic"/>
            <w:i/>
            <w:sz w:val="20"/>
            <w:szCs w:val="20"/>
          </w:rPr>
          <w:t>Tabuľka 36 Hodnotenie ekonomickej efektívnosti investície</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_Toc145219937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106</w:t>
        </w:r>
        <w:r w:rsidR="00BB692D" w:rsidRPr="00BB692D">
          <w:rPr>
            <w:rFonts w:ascii="Century Gothic" w:hAnsi="Century Gothic"/>
            <w:noProof/>
            <w:webHidden/>
            <w:sz w:val="20"/>
            <w:szCs w:val="20"/>
          </w:rPr>
          <w:fldChar w:fldCharType="end"/>
        </w:r>
      </w:hyperlink>
    </w:p>
    <w:p w14:paraId="0CF06B0E" w14:textId="5418AB5F" w:rsidR="000012F5" w:rsidRDefault="000012F5" w:rsidP="008C1122">
      <w:pPr>
        <w:spacing w:line="240" w:lineRule="auto"/>
        <w:jc w:val="left"/>
        <w:rPr>
          <w:rFonts w:ascii="Calibri Light" w:hAnsi="Calibri Light" w:cs="Calibri Light"/>
          <w:b/>
          <w:bCs/>
          <w:sz w:val="32"/>
          <w:szCs w:val="32"/>
          <w:lang w:eastAsia="en-US"/>
        </w:rPr>
      </w:pPr>
      <w:r w:rsidRPr="00C242B5">
        <w:rPr>
          <w:rFonts w:ascii="Century Gothic" w:hAnsi="Century Gothic" w:cstheme="minorHAnsi"/>
          <w:b/>
          <w:bCs/>
          <w:sz w:val="20"/>
          <w:szCs w:val="20"/>
          <w:lang w:eastAsia="en-US"/>
        </w:rPr>
        <w:fldChar w:fldCharType="end"/>
      </w:r>
      <w:r>
        <w:rPr>
          <w:rFonts w:ascii="Calibri Light" w:hAnsi="Calibri Light" w:cs="Calibri Light"/>
          <w:b/>
          <w:bCs/>
          <w:sz w:val="32"/>
          <w:szCs w:val="32"/>
          <w:lang w:eastAsia="en-US"/>
        </w:rPr>
        <w:br w:type="page"/>
      </w:r>
    </w:p>
    <w:p w14:paraId="55635ACC" w14:textId="72F814F5" w:rsidR="00A664BB" w:rsidRDefault="00A664BB" w:rsidP="00A664BB">
      <w:pPr>
        <w:pStyle w:val="Nadpis10"/>
        <w:spacing w:before="240" w:line="259" w:lineRule="auto"/>
        <w:ind w:left="720"/>
        <w:jc w:val="left"/>
        <w:rPr>
          <w:rFonts w:ascii="Century Gothic" w:hAnsi="Century Gothic" w:cs="Calibri Light"/>
          <w:b w:val="0"/>
          <w:bCs w:val="0"/>
          <w:sz w:val="32"/>
          <w:szCs w:val="32"/>
          <w:lang w:eastAsia="en-US"/>
        </w:rPr>
      </w:pPr>
      <w:bookmarkStart w:id="15" w:name="_Toc130963067"/>
      <w:bookmarkStart w:id="16" w:name="_Toc140667681"/>
      <w:bookmarkStart w:id="17" w:name="_Toc145219940"/>
      <w:bookmarkStart w:id="18" w:name="_Toc114724405"/>
      <w:bookmarkStart w:id="19" w:name="_Toc114728993"/>
      <w:bookmarkStart w:id="20" w:name="_Toc114810891"/>
      <w:bookmarkStart w:id="21" w:name="_Toc114810990"/>
      <w:r w:rsidRPr="00C72254">
        <w:rPr>
          <w:rFonts w:ascii="Century Gothic" w:hAnsi="Century Gothic" w:cs="Calibri Light"/>
          <w:b w:val="0"/>
          <w:bCs w:val="0"/>
          <w:sz w:val="32"/>
          <w:szCs w:val="32"/>
          <w:lang w:eastAsia="en-US"/>
        </w:rPr>
        <w:lastRenderedPageBreak/>
        <w:t xml:space="preserve">ZOZNAM </w:t>
      </w:r>
      <w:r>
        <w:rPr>
          <w:rFonts w:ascii="Century Gothic" w:hAnsi="Century Gothic" w:cs="Calibri Light"/>
          <w:b w:val="0"/>
          <w:bCs w:val="0"/>
          <w:sz w:val="32"/>
          <w:szCs w:val="32"/>
          <w:lang w:eastAsia="en-US"/>
        </w:rPr>
        <w:t>GRAFOV</w:t>
      </w:r>
      <w:bookmarkEnd w:id="15"/>
      <w:bookmarkEnd w:id="16"/>
      <w:bookmarkEnd w:id="17"/>
      <w:r>
        <w:rPr>
          <w:rFonts w:ascii="Century Gothic" w:hAnsi="Century Gothic" w:cs="Calibri Light"/>
          <w:b w:val="0"/>
          <w:bCs w:val="0"/>
          <w:sz w:val="32"/>
          <w:szCs w:val="32"/>
          <w:lang w:eastAsia="en-US"/>
        </w:rPr>
        <w:t xml:space="preserve"> </w:t>
      </w:r>
    </w:p>
    <w:p w14:paraId="32490180" w14:textId="77777777" w:rsidR="009E0B4F" w:rsidRPr="009E0B4F" w:rsidRDefault="009E0B4F" w:rsidP="009E0B4F">
      <w:pPr>
        <w:rPr>
          <w:rFonts w:ascii="Century Gothic" w:hAnsi="Century Gothic"/>
          <w:sz w:val="22"/>
          <w:szCs w:val="22"/>
          <w:lang w:eastAsia="en-US"/>
        </w:rPr>
      </w:pPr>
    </w:p>
    <w:p w14:paraId="37D4E688" w14:textId="465F57DA" w:rsidR="00BB692D" w:rsidRPr="00BB692D" w:rsidRDefault="00A664BB">
      <w:pPr>
        <w:pStyle w:val="Zoznamobrzkov"/>
        <w:tabs>
          <w:tab w:val="right" w:leader="dot" w:pos="9062"/>
        </w:tabs>
        <w:rPr>
          <w:rFonts w:ascii="Century Gothic" w:eastAsiaTheme="minorEastAsia" w:hAnsi="Century Gothic" w:cstheme="minorBidi"/>
          <w:noProof/>
          <w:sz w:val="20"/>
          <w:szCs w:val="20"/>
        </w:rPr>
      </w:pPr>
      <w:r w:rsidRPr="00BB692D">
        <w:rPr>
          <w:rFonts w:ascii="Century Gothic" w:hAnsi="Century Gothic" w:cs="Calibri Light"/>
          <w:b/>
          <w:bCs/>
          <w:sz w:val="20"/>
          <w:szCs w:val="20"/>
          <w:lang w:eastAsia="en-US"/>
        </w:rPr>
        <w:fldChar w:fldCharType="begin"/>
      </w:r>
      <w:r w:rsidRPr="00BB692D">
        <w:rPr>
          <w:rFonts w:ascii="Century Gothic" w:hAnsi="Century Gothic" w:cs="Calibri Light"/>
          <w:b/>
          <w:bCs/>
          <w:sz w:val="20"/>
          <w:szCs w:val="20"/>
          <w:lang w:eastAsia="en-US"/>
        </w:rPr>
        <w:instrText xml:space="preserve"> TOC \h \z \c "Graf" </w:instrText>
      </w:r>
      <w:r w:rsidRPr="00BB692D">
        <w:rPr>
          <w:rFonts w:ascii="Century Gothic" w:hAnsi="Century Gothic" w:cs="Calibri Light"/>
          <w:b/>
          <w:bCs/>
          <w:sz w:val="20"/>
          <w:szCs w:val="20"/>
          <w:lang w:eastAsia="en-US"/>
        </w:rPr>
        <w:fldChar w:fldCharType="separate"/>
      </w:r>
      <w:hyperlink w:anchor="_Toc145219872" w:history="1">
        <w:r w:rsidR="00BB692D" w:rsidRPr="00BB692D">
          <w:rPr>
            <w:rStyle w:val="Hypertextovprepojenie"/>
            <w:rFonts w:ascii="Century Gothic" w:hAnsi="Century Gothic" w:cs="Arial"/>
            <w:i/>
            <w:sz w:val="20"/>
            <w:szCs w:val="20"/>
          </w:rPr>
          <w:t>Graf 1 Pôrody v Žilinskom samosprávnom kraji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25</w:t>
        </w:r>
        <w:r w:rsidR="00BB692D" w:rsidRPr="00BB692D">
          <w:rPr>
            <w:rFonts w:ascii="Century Gothic" w:hAnsi="Century Gothic"/>
            <w:noProof/>
            <w:webHidden/>
            <w:sz w:val="20"/>
            <w:szCs w:val="20"/>
          </w:rPr>
          <w:fldChar w:fldCharType="end"/>
        </w:r>
      </w:hyperlink>
    </w:p>
    <w:p w14:paraId="7D9CC8DE" w14:textId="2626D0FC"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3" w:history="1">
        <w:r w:rsidR="00BB692D" w:rsidRPr="00BB692D">
          <w:rPr>
            <w:rStyle w:val="Hypertextovprepojenie"/>
            <w:rFonts w:ascii="Century Gothic" w:hAnsi="Century Gothic" w:cs="Arial"/>
            <w:i/>
            <w:sz w:val="20"/>
            <w:szCs w:val="20"/>
          </w:rPr>
          <w:t>Graf 2 Počet hospitalizovaných novorodencov v Žilinskom samosprávnom kraji + okres Považská Bystrica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26</w:t>
        </w:r>
        <w:r w:rsidR="00BB692D" w:rsidRPr="00BB692D">
          <w:rPr>
            <w:rFonts w:ascii="Century Gothic" w:hAnsi="Century Gothic"/>
            <w:noProof/>
            <w:webHidden/>
            <w:sz w:val="20"/>
            <w:szCs w:val="20"/>
          </w:rPr>
          <w:fldChar w:fldCharType="end"/>
        </w:r>
      </w:hyperlink>
    </w:p>
    <w:p w14:paraId="02D2E836" w14:textId="6963FCA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4" w:history="1">
        <w:r w:rsidR="00BB692D" w:rsidRPr="00BB692D">
          <w:rPr>
            <w:rStyle w:val="Hypertextovprepojenie"/>
            <w:rFonts w:ascii="Century Gothic" w:hAnsi="Century Gothic" w:cs="Arial"/>
            <w:i/>
            <w:sz w:val="20"/>
            <w:szCs w:val="20"/>
          </w:rPr>
          <w:t>Graf 3 Počet návštev v ambulanciách celkom</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27</w:t>
        </w:r>
        <w:r w:rsidR="00BB692D" w:rsidRPr="00BB692D">
          <w:rPr>
            <w:rFonts w:ascii="Century Gothic" w:hAnsi="Century Gothic"/>
            <w:noProof/>
            <w:webHidden/>
            <w:sz w:val="20"/>
            <w:szCs w:val="20"/>
          </w:rPr>
          <w:fldChar w:fldCharType="end"/>
        </w:r>
      </w:hyperlink>
    </w:p>
    <w:p w14:paraId="702300F5" w14:textId="331AF661"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5" w:history="1">
        <w:r w:rsidR="00BB692D" w:rsidRPr="00BB692D">
          <w:rPr>
            <w:rStyle w:val="Hypertextovprepojenie"/>
            <w:rFonts w:ascii="Century Gothic" w:hAnsi="Century Gothic" w:cs="Arial"/>
            <w:i/>
            <w:sz w:val="20"/>
            <w:szCs w:val="20"/>
          </w:rPr>
          <w:t>Graf 4  Najzaťaženejšie ambulancie – chirurgické</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28</w:t>
        </w:r>
        <w:r w:rsidR="00BB692D" w:rsidRPr="00BB692D">
          <w:rPr>
            <w:rFonts w:ascii="Century Gothic" w:hAnsi="Century Gothic"/>
            <w:noProof/>
            <w:webHidden/>
            <w:sz w:val="20"/>
            <w:szCs w:val="20"/>
          </w:rPr>
          <w:fldChar w:fldCharType="end"/>
        </w:r>
      </w:hyperlink>
    </w:p>
    <w:p w14:paraId="09E8B0B2" w14:textId="7E0A647B"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6" w:history="1">
        <w:r w:rsidR="00BB692D" w:rsidRPr="00BB692D">
          <w:rPr>
            <w:rStyle w:val="Hypertextovprepojenie"/>
            <w:rFonts w:ascii="Century Gothic" w:hAnsi="Century Gothic" w:cs="Arial"/>
            <w:i/>
            <w:sz w:val="20"/>
            <w:szCs w:val="20"/>
          </w:rPr>
          <w:t>Graf 5 Najzaťaženejšie ambulancie – ONKO/NEU/PSYCH</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29</w:t>
        </w:r>
        <w:r w:rsidR="00BB692D" w:rsidRPr="00BB692D">
          <w:rPr>
            <w:rFonts w:ascii="Century Gothic" w:hAnsi="Century Gothic"/>
            <w:noProof/>
            <w:webHidden/>
            <w:sz w:val="20"/>
            <w:szCs w:val="20"/>
          </w:rPr>
          <w:fldChar w:fldCharType="end"/>
        </w:r>
      </w:hyperlink>
    </w:p>
    <w:p w14:paraId="3ECF4041" w14:textId="0872988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7" w:history="1">
        <w:r w:rsidR="00BB692D" w:rsidRPr="00BB692D">
          <w:rPr>
            <w:rStyle w:val="Hypertextovprepojenie"/>
            <w:rFonts w:ascii="Century Gothic" w:hAnsi="Century Gothic" w:cs="Arial"/>
            <w:i/>
            <w:sz w:val="20"/>
            <w:szCs w:val="20"/>
          </w:rPr>
          <w:t>Graf 6 Ambulantné ošetrenia v rámci ÚPS</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30</w:t>
        </w:r>
        <w:r w:rsidR="00BB692D" w:rsidRPr="00BB692D">
          <w:rPr>
            <w:rFonts w:ascii="Century Gothic" w:hAnsi="Century Gothic"/>
            <w:noProof/>
            <w:webHidden/>
            <w:sz w:val="20"/>
            <w:szCs w:val="20"/>
          </w:rPr>
          <w:fldChar w:fldCharType="end"/>
        </w:r>
      </w:hyperlink>
    </w:p>
    <w:p w14:paraId="2FE0E22B" w14:textId="713ACC12"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8" w:history="1">
        <w:r w:rsidR="00BB692D" w:rsidRPr="00BB692D">
          <w:rPr>
            <w:rStyle w:val="Hypertextovprepojenie"/>
            <w:rFonts w:ascii="Century Gothic" w:hAnsi="Century Gothic" w:cs="Arial"/>
            <w:i/>
            <w:sz w:val="20"/>
            <w:szCs w:val="20"/>
          </w:rPr>
          <w:t>Graf 7 Vývoj počtu hospitalizovaných 2010 – 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31</w:t>
        </w:r>
        <w:r w:rsidR="00BB692D" w:rsidRPr="00BB692D">
          <w:rPr>
            <w:rFonts w:ascii="Century Gothic" w:hAnsi="Century Gothic"/>
            <w:noProof/>
            <w:webHidden/>
            <w:sz w:val="20"/>
            <w:szCs w:val="20"/>
          </w:rPr>
          <w:fldChar w:fldCharType="end"/>
        </w:r>
      </w:hyperlink>
    </w:p>
    <w:p w14:paraId="61515C51" w14:textId="361FC50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79" w:history="1">
        <w:r w:rsidR="00BB692D" w:rsidRPr="00BB692D">
          <w:rPr>
            <w:rStyle w:val="Hypertextovprepojenie"/>
            <w:rFonts w:ascii="Century Gothic" w:hAnsi="Century Gothic" w:cs="Arial"/>
            <w:i/>
            <w:sz w:val="20"/>
            <w:szCs w:val="20"/>
          </w:rPr>
          <w:t>Graf 8 Počet akútnych príjmov vo vzťahu k celkovým príjmom vo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_Toc145219879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31</w:t>
        </w:r>
        <w:r w:rsidR="00BB692D" w:rsidRPr="00BB692D">
          <w:rPr>
            <w:rFonts w:ascii="Century Gothic" w:hAnsi="Century Gothic"/>
            <w:noProof/>
            <w:webHidden/>
            <w:sz w:val="20"/>
            <w:szCs w:val="20"/>
          </w:rPr>
          <w:fldChar w:fldCharType="end"/>
        </w:r>
      </w:hyperlink>
    </w:p>
    <w:p w14:paraId="094F8152" w14:textId="31787FD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0" w:history="1">
        <w:r w:rsidR="00BB692D" w:rsidRPr="00BB692D">
          <w:rPr>
            <w:rStyle w:val="Hypertextovprepojenie"/>
            <w:rFonts w:ascii="Century Gothic" w:hAnsi="Century Gothic" w:cs="Arial"/>
            <w:i/>
            <w:sz w:val="20"/>
            <w:szCs w:val="20"/>
          </w:rPr>
          <w:t>Graf 9 Akútne príjmy v pracovnej dobe a mimo pracovnej doby (okres Žilina, vzorka cca 30% celkového počtu príjmov)</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32</w:t>
        </w:r>
        <w:r w:rsidR="00BB692D" w:rsidRPr="00BB692D">
          <w:rPr>
            <w:rFonts w:ascii="Century Gothic" w:hAnsi="Century Gothic"/>
            <w:noProof/>
            <w:webHidden/>
            <w:sz w:val="20"/>
            <w:szCs w:val="20"/>
          </w:rPr>
          <w:fldChar w:fldCharType="end"/>
        </w:r>
      </w:hyperlink>
    </w:p>
    <w:p w14:paraId="4A20DDDC" w14:textId="6AA41A93"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1" w:history="1">
        <w:r w:rsidR="00BB692D" w:rsidRPr="00BB692D">
          <w:rPr>
            <w:rStyle w:val="Hypertextovprepojenie"/>
            <w:rFonts w:ascii="Century Gothic" w:hAnsi="Century Gothic" w:cs="Arial"/>
            <w:i/>
            <w:sz w:val="20"/>
            <w:szCs w:val="20"/>
          </w:rPr>
          <w:t>Graf 10 Počet hospitalizácií – vybrané nechirurgické odbory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33</w:t>
        </w:r>
        <w:r w:rsidR="00BB692D" w:rsidRPr="00BB692D">
          <w:rPr>
            <w:rFonts w:ascii="Century Gothic" w:hAnsi="Century Gothic"/>
            <w:noProof/>
            <w:webHidden/>
            <w:sz w:val="20"/>
            <w:szCs w:val="20"/>
          </w:rPr>
          <w:fldChar w:fldCharType="end"/>
        </w:r>
      </w:hyperlink>
    </w:p>
    <w:p w14:paraId="69EC2E2A" w14:textId="4D8E454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2" w:history="1">
        <w:r w:rsidR="00BB692D" w:rsidRPr="00BB692D">
          <w:rPr>
            <w:rStyle w:val="Hypertextovprepojenie"/>
            <w:rFonts w:ascii="Century Gothic" w:hAnsi="Century Gothic" w:cs="Arial"/>
            <w:i/>
            <w:sz w:val="20"/>
            <w:szCs w:val="20"/>
          </w:rPr>
          <w:t>Graf 11 Dlhodobá (následná) starostlivosť</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33</w:t>
        </w:r>
        <w:r w:rsidR="00BB692D" w:rsidRPr="00BB692D">
          <w:rPr>
            <w:rFonts w:ascii="Century Gothic" w:hAnsi="Century Gothic"/>
            <w:noProof/>
            <w:webHidden/>
            <w:sz w:val="20"/>
            <w:szCs w:val="20"/>
          </w:rPr>
          <w:fldChar w:fldCharType="end"/>
        </w:r>
      </w:hyperlink>
    </w:p>
    <w:p w14:paraId="24B3FB05" w14:textId="70894DD1"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3" w:history="1">
        <w:r w:rsidR="00BB692D" w:rsidRPr="00BB692D">
          <w:rPr>
            <w:rStyle w:val="Hypertextovprepojenie"/>
            <w:rFonts w:ascii="Century Gothic" w:hAnsi="Century Gothic" w:cs="Arial"/>
            <w:i/>
            <w:sz w:val="20"/>
            <w:szCs w:val="20"/>
          </w:rPr>
          <w:t>Graf 12 Počet hospitalizácií – hlavné chirurgické odbory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34</w:t>
        </w:r>
        <w:r w:rsidR="00BB692D" w:rsidRPr="00BB692D">
          <w:rPr>
            <w:rFonts w:ascii="Century Gothic" w:hAnsi="Century Gothic"/>
            <w:noProof/>
            <w:webHidden/>
            <w:sz w:val="20"/>
            <w:szCs w:val="20"/>
          </w:rPr>
          <w:fldChar w:fldCharType="end"/>
        </w:r>
      </w:hyperlink>
    </w:p>
    <w:p w14:paraId="27B1A8AA" w14:textId="69F80437"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4" w:history="1">
        <w:r w:rsidR="00BB692D" w:rsidRPr="00BB692D">
          <w:rPr>
            <w:rStyle w:val="Hypertextovprepojenie"/>
            <w:rFonts w:ascii="Century Gothic" w:hAnsi="Century Gothic" w:cs="Arial"/>
            <w:i/>
            <w:sz w:val="20"/>
            <w:szCs w:val="20"/>
          </w:rPr>
          <w:t>Graf 13 Priemerná ošetrovacia doba – chirurgické odbory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34</w:t>
        </w:r>
        <w:r w:rsidR="00BB692D" w:rsidRPr="00BB692D">
          <w:rPr>
            <w:rFonts w:ascii="Century Gothic" w:hAnsi="Century Gothic"/>
            <w:noProof/>
            <w:webHidden/>
            <w:sz w:val="20"/>
            <w:szCs w:val="20"/>
          </w:rPr>
          <w:fldChar w:fldCharType="end"/>
        </w:r>
      </w:hyperlink>
    </w:p>
    <w:p w14:paraId="65A03DEC" w14:textId="0DFAA704"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5" w:history="1">
        <w:r w:rsidR="00BB692D" w:rsidRPr="00BB692D">
          <w:rPr>
            <w:rStyle w:val="Hypertextovprepojenie"/>
            <w:rFonts w:ascii="Century Gothic" w:hAnsi="Century Gothic" w:cs="Arial"/>
            <w:i/>
            <w:sz w:val="20"/>
            <w:szCs w:val="20"/>
          </w:rPr>
          <w:t>Graf 14 Počet operácií v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35</w:t>
        </w:r>
        <w:r w:rsidR="00BB692D" w:rsidRPr="00BB692D">
          <w:rPr>
            <w:rFonts w:ascii="Century Gothic" w:hAnsi="Century Gothic"/>
            <w:noProof/>
            <w:webHidden/>
            <w:sz w:val="20"/>
            <w:szCs w:val="20"/>
          </w:rPr>
          <w:fldChar w:fldCharType="end"/>
        </w:r>
      </w:hyperlink>
    </w:p>
    <w:p w14:paraId="4F748177" w14:textId="363C0C53"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6" w:history="1">
        <w:r w:rsidR="00BB692D" w:rsidRPr="00BB692D">
          <w:rPr>
            <w:rStyle w:val="Hypertextovprepojenie"/>
            <w:rFonts w:ascii="Century Gothic" w:hAnsi="Century Gothic" w:cs="Arial"/>
            <w:i/>
            <w:sz w:val="20"/>
            <w:szCs w:val="20"/>
          </w:rPr>
          <w:t>Graf 15 Nárasty počtu operácií</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35</w:t>
        </w:r>
        <w:r w:rsidR="00BB692D" w:rsidRPr="00BB692D">
          <w:rPr>
            <w:rFonts w:ascii="Century Gothic" w:hAnsi="Century Gothic"/>
            <w:noProof/>
            <w:webHidden/>
            <w:sz w:val="20"/>
            <w:szCs w:val="20"/>
          </w:rPr>
          <w:fldChar w:fldCharType="end"/>
        </w:r>
      </w:hyperlink>
    </w:p>
    <w:p w14:paraId="4397A04D" w14:textId="5B11E42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7" w:history="1">
        <w:r w:rsidR="00BB692D" w:rsidRPr="00BB692D">
          <w:rPr>
            <w:rStyle w:val="Hypertextovprepojenie"/>
            <w:rFonts w:ascii="Century Gothic" w:hAnsi="Century Gothic" w:cs="Arial"/>
            <w:i/>
            <w:sz w:val="20"/>
            <w:szCs w:val="20"/>
          </w:rPr>
          <w:t>Graf 16 Akútne operácie pre náhle brušné, cievne, hrudné príhody a úrazy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36</w:t>
        </w:r>
        <w:r w:rsidR="00BB692D" w:rsidRPr="00BB692D">
          <w:rPr>
            <w:rFonts w:ascii="Century Gothic" w:hAnsi="Century Gothic"/>
            <w:noProof/>
            <w:webHidden/>
            <w:sz w:val="20"/>
            <w:szCs w:val="20"/>
          </w:rPr>
          <w:fldChar w:fldCharType="end"/>
        </w:r>
      </w:hyperlink>
    </w:p>
    <w:p w14:paraId="2AED7D4B" w14:textId="03F9522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8" w:history="1">
        <w:r w:rsidR="00BB692D" w:rsidRPr="00BB692D">
          <w:rPr>
            <w:rStyle w:val="Hypertextovprepojenie"/>
            <w:rFonts w:ascii="Century Gothic" w:hAnsi="Century Gothic" w:cs="Arial"/>
            <w:i/>
            <w:sz w:val="20"/>
            <w:szCs w:val="20"/>
          </w:rPr>
          <w:t>Graf 17 Počet výkonov jednodňovej chirurgie vo FNsP Žilina 2016-2022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36</w:t>
        </w:r>
        <w:r w:rsidR="00BB692D" w:rsidRPr="00BB692D">
          <w:rPr>
            <w:rFonts w:ascii="Century Gothic" w:hAnsi="Century Gothic"/>
            <w:noProof/>
            <w:webHidden/>
            <w:sz w:val="20"/>
            <w:szCs w:val="20"/>
          </w:rPr>
          <w:fldChar w:fldCharType="end"/>
        </w:r>
      </w:hyperlink>
    </w:p>
    <w:p w14:paraId="73EC7F7C" w14:textId="160575B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89" w:history="1">
        <w:r w:rsidR="00BB692D" w:rsidRPr="00BB692D">
          <w:rPr>
            <w:rStyle w:val="Hypertextovprepojenie"/>
            <w:rFonts w:ascii="Century Gothic" w:hAnsi="Century Gothic" w:cs="Arial"/>
            <w:i/>
            <w:sz w:val="20"/>
            <w:szCs w:val="20"/>
          </w:rPr>
          <w:t>Graf 18 Počet výkonov jednodňovej chirurgie 2010-2022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_Toc145219889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37</w:t>
        </w:r>
        <w:r w:rsidR="00BB692D" w:rsidRPr="00BB692D">
          <w:rPr>
            <w:rFonts w:ascii="Century Gothic" w:hAnsi="Century Gothic"/>
            <w:noProof/>
            <w:webHidden/>
            <w:sz w:val="20"/>
            <w:szCs w:val="20"/>
          </w:rPr>
          <w:fldChar w:fldCharType="end"/>
        </w:r>
      </w:hyperlink>
    </w:p>
    <w:p w14:paraId="52E39EB3" w14:textId="2DA55623"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0" w:history="1">
        <w:r w:rsidR="00BB692D" w:rsidRPr="00BB692D">
          <w:rPr>
            <w:rStyle w:val="Hypertextovprepojenie"/>
            <w:rFonts w:ascii="Century Gothic" w:hAnsi="Century Gothic" w:cs="Arial"/>
            <w:i/>
            <w:sz w:val="20"/>
            <w:szCs w:val="20"/>
          </w:rPr>
          <w:t>Graf 19 Poskytovanie JCH v rámci ŽSK a okresu Považská Bystrica v roku 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38</w:t>
        </w:r>
        <w:r w:rsidR="00BB692D" w:rsidRPr="00BB692D">
          <w:rPr>
            <w:rFonts w:ascii="Century Gothic" w:hAnsi="Century Gothic"/>
            <w:noProof/>
            <w:webHidden/>
            <w:sz w:val="20"/>
            <w:szCs w:val="20"/>
          </w:rPr>
          <w:fldChar w:fldCharType="end"/>
        </w:r>
      </w:hyperlink>
    </w:p>
    <w:p w14:paraId="014C0D2D" w14:textId="61E6A4B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1" w:history="1">
        <w:r w:rsidR="00BB692D" w:rsidRPr="00BB692D">
          <w:rPr>
            <w:rStyle w:val="Hypertextovprepojenie"/>
            <w:rFonts w:ascii="Century Gothic" w:hAnsi="Century Gothic"/>
            <w:i/>
            <w:sz w:val="20"/>
            <w:szCs w:val="20"/>
          </w:rPr>
          <w:t>Graf 20 Počet hospitalizovaných na OAIM FNsP Žilina a UNM Martin</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40</w:t>
        </w:r>
        <w:r w:rsidR="00BB692D" w:rsidRPr="00BB692D">
          <w:rPr>
            <w:rFonts w:ascii="Century Gothic" w:hAnsi="Century Gothic"/>
            <w:noProof/>
            <w:webHidden/>
            <w:sz w:val="20"/>
            <w:szCs w:val="20"/>
          </w:rPr>
          <w:fldChar w:fldCharType="end"/>
        </w:r>
      </w:hyperlink>
    </w:p>
    <w:p w14:paraId="5DA22A26" w14:textId="36D82BE8"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2" w:history="1">
        <w:r w:rsidR="00BB692D" w:rsidRPr="00BB692D">
          <w:rPr>
            <w:rStyle w:val="Hypertextovprepojenie"/>
            <w:rFonts w:ascii="Century Gothic" w:hAnsi="Century Gothic"/>
            <w:i/>
            <w:sz w:val="20"/>
            <w:szCs w:val="20"/>
          </w:rPr>
          <w:t>Graf 21 COVID pacienti 8/2020 – 1/2022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41</w:t>
        </w:r>
        <w:r w:rsidR="00BB692D" w:rsidRPr="00BB692D">
          <w:rPr>
            <w:rFonts w:ascii="Century Gothic" w:hAnsi="Century Gothic"/>
            <w:noProof/>
            <w:webHidden/>
            <w:sz w:val="20"/>
            <w:szCs w:val="20"/>
          </w:rPr>
          <w:fldChar w:fldCharType="end"/>
        </w:r>
      </w:hyperlink>
    </w:p>
    <w:p w14:paraId="3137D37E" w14:textId="1A29D85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3" w:history="1">
        <w:r w:rsidR="00BB692D" w:rsidRPr="00BB692D">
          <w:rPr>
            <w:rStyle w:val="Hypertextovprepojenie"/>
            <w:rFonts w:ascii="Century Gothic" w:hAnsi="Century Gothic"/>
            <w:i/>
            <w:sz w:val="20"/>
            <w:szCs w:val="20"/>
          </w:rPr>
          <w:t>Graf 22 Hospitalizovaní na COVID 19 v rámci ŽSK (do 15.1.2022)</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41</w:t>
        </w:r>
        <w:r w:rsidR="00BB692D" w:rsidRPr="00BB692D">
          <w:rPr>
            <w:rFonts w:ascii="Century Gothic" w:hAnsi="Century Gothic"/>
            <w:noProof/>
            <w:webHidden/>
            <w:sz w:val="20"/>
            <w:szCs w:val="20"/>
          </w:rPr>
          <w:fldChar w:fldCharType="end"/>
        </w:r>
      </w:hyperlink>
    </w:p>
    <w:p w14:paraId="45B945FD" w14:textId="05EE4326"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4" w:history="1">
        <w:r w:rsidR="00BB692D" w:rsidRPr="00BB692D">
          <w:rPr>
            <w:rStyle w:val="Hypertextovprepojenie"/>
            <w:rFonts w:ascii="Century Gothic" w:hAnsi="Century Gothic"/>
            <w:i/>
            <w:sz w:val="20"/>
            <w:szCs w:val="20"/>
          </w:rPr>
          <w:t>Graf 23 eCMI za jednotlivé nemocnice ŽSK+Považská Bystrica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42</w:t>
        </w:r>
        <w:r w:rsidR="00BB692D" w:rsidRPr="00BB692D">
          <w:rPr>
            <w:rFonts w:ascii="Century Gothic" w:hAnsi="Century Gothic"/>
            <w:noProof/>
            <w:webHidden/>
            <w:sz w:val="20"/>
            <w:szCs w:val="20"/>
          </w:rPr>
          <w:fldChar w:fldCharType="end"/>
        </w:r>
      </w:hyperlink>
    </w:p>
    <w:p w14:paraId="6FBEE41B" w14:textId="4AB6BD29"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5" w:history="1">
        <w:r w:rsidR="00BB692D" w:rsidRPr="00BB692D">
          <w:rPr>
            <w:rStyle w:val="Hypertextovprepojenie"/>
            <w:rFonts w:ascii="Century Gothic" w:hAnsi="Century Gothic"/>
            <w:i/>
            <w:sz w:val="20"/>
            <w:szCs w:val="20"/>
          </w:rPr>
          <w:t>Graf 24 eCMI za jednotlivé nemocnice v odbore chirurgia ŽSK+Považská Bystrica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43</w:t>
        </w:r>
        <w:r w:rsidR="00BB692D" w:rsidRPr="00BB692D">
          <w:rPr>
            <w:rFonts w:ascii="Century Gothic" w:hAnsi="Century Gothic"/>
            <w:noProof/>
            <w:webHidden/>
            <w:sz w:val="20"/>
            <w:szCs w:val="20"/>
          </w:rPr>
          <w:fldChar w:fldCharType="end"/>
        </w:r>
      </w:hyperlink>
    </w:p>
    <w:p w14:paraId="0941E0EA" w14:textId="001C07D4"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6" w:history="1">
        <w:r w:rsidR="00BB692D" w:rsidRPr="00BB692D">
          <w:rPr>
            <w:rStyle w:val="Hypertextovprepojenie"/>
            <w:rFonts w:ascii="Century Gothic" w:hAnsi="Century Gothic"/>
            <w:i/>
            <w:sz w:val="20"/>
            <w:szCs w:val="20"/>
          </w:rPr>
          <w:t>Graf 25 eCMI za jednotlivé nemocnice v odbore úrazová chirurgia ŽSK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44</w:t>
        </w:r>
        <w:r w:rsidR="00BB692D" w:rsidRPr="00BB692D">
          <w:rPr>
            <w:rFonts w:ascii="Century Gothic" w:hAnsi="Century Gothic"/>
            <w:noProof/>
            <w:webHidden/>
            <w:sz w:val="20"/>
            <w:szCs w:val="20"/>
          </w:rPr>
          <w:fldChar w:fldCharType="end"/>
        </w:r>
      </w:hyperlink>
    </w:p>
    <w:p w14:paraId="3F5E2349" w14:textId="1556A70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7" w:history="1">
        <w:r w:rsidR="00BB692D" w:rsidRPr="00BB692D">
          <w:rPr>
            <w:rStyle w:val="Hypertextovprepojenie"/>
            <w:rFonts w:ascii="Century Gothic" w:hAnsi="Century Gothic"/>
            <w:i/>
            <w:sz w:val="20"/>
            <w:szCs w:val="20"/>
          </w:rPr>
          <w:t>Graf 26 eCMI za jednotlivé nemocnice v odbore gynekológia a pôrodníctvo ŽSK+Považská Bystrica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44</w:t>
        </w:r>
        <w:r w:rsidR="00BB692D" w:rsidRPr="00BB692D">
          <w:rPr>
            <w:rFonts w:ascii="Century Gothic" w:hAnsi="Century Gothic"/>
            <w:noProof/>
            <w:webHidden/>
            <w:sz w:val="20"/>
            <w:szCs w:val="20"/>
          </w:rPr>
          <w:fldChar w:fldCharType="end"/>
        </w:r>
      </w:hyperlink>
    </w:p>
    <w:p w14:paraId="197C7CCA" w14:textId="744E8F4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8" w:history="1">
        <w:r w:rsidR="00BB692D" w:rsidRPr="00BB692D">
          <w:rPr>
            <w:rStyle w:val="Hypertextovprepojenie"/>
            <w:rFonts w:ascii="Century Gothic" w:hAnsi="Century Gothic"/>
            <w:i/>
            <w:sz w:val="20"/>
            <w:szCs w:val="20"/>
          </w:rPr>
          <w:t>Graf 27 eCMI za jednotlivé nemocnice v odbore vnútorné lekárstvoo ŽSK+Považská Bystrica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44</w:t>
        </w:r>
        <w:r w:rsidR="00BB692D" w:rsidRPr="00BB692D">
          <w:rPr>
            <w:rFonts w:ascii="Century Gothic" w:hAnsi="Century Gothic"/>
            <w:noProof/>
            <w:webHidden/>
            <w:sz w:val="20"/>
            <w:szCs w:val="20"/>
          </w:rPr>
          <w:fldChar w:fldCharType="end"/>
        </w:r>
      </w:hyperlink>
    </w:p>
    <w:p w14:paraId="57CC1FFB" w14:textId="2BF74393"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99" w:history="1">
        <w:r w:rsidR="00BB692D" w:rsidRPr="00BB692D">
          <w:rPr>
            <w:rStyle w:val="Hypertextovprepojenie"/>
            <w:rFonts w:ascii="Century Gothic" w:hAnsi="Century Gothic"/>
            <w:i/>
            <w:sz w:val="20"/>
            <w:szCs w:val="20"/>
          </w:rPr>
          <w:t>Graf 28 eCMI za jednotlivé nemocnice v odbore ortopédia  ŽSK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_Toc145219899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45</w:t>
        </w:r>
        <w:r w:rsidR="00BB692D" w:rsidRPr="00BB692D">
          <w:rPr>
            <w:rFonts w:ascii="Century Gothic" w:hAnsi="Century Gothic"/>
            <w:noProof/>
            <w:webHidden/>
            <w:sz w:val="20"/>
            <w:szCs w:val="20"/>
          </w:rPr>
          <w:fldChar w:fldCharType="end"/>
        </w:r>
      </w:hyperlink>
    </w:p>
    <w:p w14:paraId="4CF3CEC7" w14:textId="4ACB4B3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0" w:history="1">
        <w:r w:rsidR="00BB692D" w:rsidRPr="00BB692D">
          <w:rPr>
            <w:rStyle w:val="Hypertextovprepojenie"/>
            <w:rFonts w:ascii="Century Gothic" w:hAnsi="Century Gothic"/>
            <w:i/>
            <w:sz w:val="20"/>
            <w:szCs w:val="20"/>
          </w:rPr>
          <w:t>Graf 29 eCMI za jednotlivé nemocnice v odbore neurochirurgia  ŽSK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45</w:t>
        </w:r>
        <w:r w:rsidR="00BB692D" w:rsidRPr="00BB692D">
          <w:rPr>
            <w:rFonts w:ascii="Century Gothic" w:hAnsi="Century Gothic"/>
            <w:noProof/>
            <w:webHidden/>
            <w:sz w:val="20"/>
            <w:szCs w:val="20"/>
          </w:rPr>
          <w:fldChar w:fldCharType="end"/>
        </w:r>
      </w:hyperlink>
    </w:p>
    <w:p w14:paraId="40508607" w14:textId="2BBFBDB6"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901" w:history="1">
        <w:r w:rsidR="00BB692D" w:rsidRPr="00BB692D">
          <w:rPr>
            <w:rStyle w:val="Hypertextovprepojenie"/>
            <w:rFonts w:ascii="Century Gothic" w:hAnsi="Century Gothic"/>
            <w:i/>
            <w:sz w:val="20"/>
            <w:szCs w:val="20"/>
          </w:rPr>
          <w:t>Graf 30 eCMI za jednotlivé nemocnice v odbore urológia  ŽSK 2019-2021</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_Toc145219901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46</w:t>
        </w:r>
        <w:r w:rsidR="00BB692D" w:rsidRPr="00BB692D">
          <w:rPr>
            <w:rFonts w:ascii="Century Gothic" w:hAnsi="Century Gothic"/>
            <w:noProof/>
            <w:webHidden/>
            <w:sz w:val="20"/>
            <w:szCs w:val="20"/>
          </w:rPr>
          <w:fldChar w:fldCharType="end"/>
        </w:r>
      </w:hyperlink>
    </w:p>
    <w:p w14:paraId="66A9919D" w14:textId="1203D37C" w:rsidR="00A664BB" w:rsidRDefault="00A664BB" w:rsidP="00C67E68">
      <w:pPr>
        <w:pStyle w:val="Nadpis10"/>
        <w:spacing w:before="240" w:line="259" w:lineRule="auto"/>
        <w:jc w:val="left"/>
        <w:rPr>
          <w:rFonts w:ascii="Calibri Light" w:hAnsi="Calibri Light" w:cs="Calibri Light"/>
          <w:b w:val="0"/>
          <w:bCs w:val="0"/>
          <w:sz w:val="32"/>
          <w:szCs w:val="32"/>
          <w:lang w:eastAsia="en-US"/>
        </w:rPr>
      </w:pPr>
      <w:r w:rsidRPr="00BB692D">
        <w:rPr>
          <w:rFonts w:ascii="Century Gothic" w:hAnsi="Century Gothic" w:cs="Calibri Light"/>
          <w:b w:val="0"/>
          <w:bCs w:val="0"/>
          <w:sz w:val="20"/>
          <w:szCs w:val="20"/>
          <w:lang w:eastAsia="en-US"/>
        </w:rPr>
        <w:fldChar w:fldCharType="end"/>
      </w:r>
    </w:p>
    <w:p w14:paraId="4D4D46C8" w14:textId="77777777" w:rsidR="000E4F94" w:rsidRDefault="000E4F94">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6F87E979" w14:textId="77777777" w:rsidR="000E4F94" w:rsidRPr="00C72254" w:rsidRDefault="000E4F94" w:rsidP="000E4F94">
      <w:pPr>
        <w:pStyle w:val="Nadpis10"/>
        <w:spacing w:before="240" w:line="259" w:lineRule="auto"/>
        <w:ind w:left="720"/>
        <w:jc w:val="left"/>
        <w:rPr>
          <w:rFonts w:ascii="Century Gothic" w:hAnsi="Century Gothic" w:cs="Calibri Light"/>
          <w:b w:val="0"/>
          <w:bCs w:val="0"/>
          <w:sz w:val="32"/>
          <w:szCs w:val="32"/>
          <w:lang w:eastAsia="en-US"/>
        </w:rPr>
      </w:pPr>
      <w:bookmarkStart w:id="22" w:name="_Toc114724404"/>
      <w:bookmarkStart w:id="23" w:name="_Toc114728992"/>
      <w:bookmarkStart w:id="24" w:name="_Toc114810890"/>
      <w:bookmarkStart w:id="25" w:name="_Toc114810989"/>
      <w:bookmarkStart w:id="26" w:name="_Toc130963068"/>
      <w:bookmarkStart w:id="27" w:name="_Toc140667682"/>
      <w:bookmarkStart w:id="28" w:name="_Toc145219941"/>
      <w:r w:rsidRPr="00C72254">
        <w:rPr>
          <w:rFonts w:ascii="Century Gothic" w:hAnsi="Century Gothic" w:cs="Calibri Light"/>
          <w:b w:val="0"/>
          <w:bCs w:val="0"/>
          <w:sz w:val="32"/>
          <w:szCs w:val="32"/>
          <w:lang w:eastAsia="en-US"/>
        </w:rPr>
        <w:lastRenderedPageBreak/>
        <w:t>ZOZNAM OBRÁZKOV</w:t>
      </w:r>
      <w:bookmarkEnd w:id="22"/>
      <w:bookmarkEnd w:id="23"/>
      <w:bookmarkEnd w:id="24"/>
      <w:bookmarkEnd w:id="25"/>
      <w:bookmarkEnd w:id="26"/>
      <w:bookmarkEnd w:id="27"/>
      <w:bookmarkEnd w:id="28"/>
    </w:p>
    <w:p w14:paraId="4C14CC07" w14:textId="77777777" w:rsidR="000E4F94" w:rsidRPr="009E0B4F" w:rsidRDefault="000E4F94" w:rsidP="009E0B4F">
      <w:pPr>
        <w:rPr>
          <w:rFonts w:ascii="Century Gothic" w:hAnsi="Century Gothic"/>
          <w:sz w:val="22"/>
          <w:szCs w:val="22"/>
          <w:lang w:eastAsia="en-US"/>
        </w:rPr>
      </w:pPr>
    </w:p>
    <w:p w14:paraId="1C628D42" w14:textId="191DD374" w:rsidR="00BB692D" w:rsidRPr="00BB692D" w:rsidRDefault="000E4F94">
      <w:pPr>
        <w:pStyle w:val="Zoznamobrzkov"/>
        <w:tabs>
          <w:tab w:val="right" w:leader="dot" w:pos="9062"/>
        </w:tabs>
        <w:rPr>
          <w:rFonts w:ascii="Century Gothic" w:eastAsiaTheme="minorEastAsia" w:hAnsi="Century Gothic" w:cstheme="minorBidi"/>
          <w:noProof/>
          <w:sz w:val="20"/>
          <w:szCs w:val="20"/>
        </w:rPr>
      </w:pPr>
      <w:r w:rsidRPr="00C242B5">
        <w:rPr>
          <w:rFonts w:ascii="Century Gothic" w:eastAsiaTheme="majorEastAsia" w:hAnsi="Century Gothic" w:cstheme="minorHAnsi"/>
          <w:color w:val="365F91" w:themeColor="accent1" w:themeShade="BF"/>
          <w:sz w:val="20"/>
          <w:szCs w:val="20"/>
          <w:lang w:eastAsia="en-US"/>
        </w:rPr>
        <w:fldChar w:fldCharType="begin"/>
      </w:r>
      <w:r w:rsidRPr="00C242B5">
        <w:rPr>
          <w:rFonts w:ascii="Century Gothic" w:eastAsiaTheme="majorEastAsia" w:hAnsi="Century Gothic" w:cstheme="minorHAnsi"/>
          <w:color w:val="365F91" w:themeColor="accent1" w:themeShade="BF"/>
          <w:sz w:val="20"/>
          <w:szCs w:val="20"/>
          <w:lang w:eastAsia="en-US"/>
        </w:rPr>
        <w:instrText xml:space="preserve"> TOC \h \z \c "Obrázok" </w:instrText>
      </w:r>
      <w:r w:rsidRPr="00C242B5">
        <w:rPr>
          <w:rFonts w:ascii="Century Gothic" w:eastAsiaTheme="majorEastAsia" w:hAnsi="Century Gothic" w:cstheme="minorHAnsi"/>
          <w:color w:val="365F91" w:themeColor="accent1" w:themeShade="BF"/>
          <w:sz w:val="20"/>
          <w:szCs w:val="20"/>
          <w:lang w:eastAsia="en-US"/>
        </w:rPr>
        <w:fldChar w:fldCharType="separate"/>
      </w:r>
      <w:hyperlink w:anchor="_Toc145219853" w:history="1">
        <w:r w:rsidR="00BB692D" w:rsidRPr="00BB692D">
          <w:rPr>
            <w:rStyle w:val="Hypertextovprepojenie"/>
            <w:rFonts w:ascii="Century Gothic" w:hAnsi="Century Gothic" w:cstheme="minorHAnsi"/>
            <w:i/>
            <w:sz w:val="20"/>
            <w:szCs w:val="20"/>
          </w:rPr>
          <w:t>Obrázok 1 Hustota obyvateľstva v Žilinskom kraji</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15</w:t>
        </w:r>
        <w:r w:rsidR="00BB692D" w:rsidRPr="00BB692D">
          <w:rPr>
            <w:rFonts w:ascii="Century Gothic" w:hAnsi="Century Gothic"/>
            <w:noProof/>
            <w:webHidden/>
            <w:sz w:val="20"/>
            <w:szCs w:val="20"/>
          </w:rPr>
          <w:fldChar w:fldCharType="end"/>
        </w:r>
      </w:hyperlink>
    </w:p>
    <w:p w14:paraId="0BD1D626" w14:textId="09C01AC3"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54" w:history="1">
        <w:r w:rsidR="00BB692D" w:rsidRPr="00BB692D">
          <w:rPr>
            <w:rStyle w:val="Hypertextovprepojenie"/>
            <w:rFonts w:ascii="Century Gothic" w:hAnsi="Century Gothic" w:cstheme="minorHAnsi"/>
            <w:i/>
            <w:sz w:val="20"/>
            <w:szCs w:val="20"/>
          </w:rPr>
          <w:t>Obrázok 2 Počet lekárov na 100 000 obyvateľstva v Žilinskom kraji (18 a viacročných)</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19</w:t>
        </w:r>
        <w:r w:rsidR="00BB692D" w:rsidRPr="00BB692D">
          <w:rPr>
            <w:rFonts w:ascii="Century Gothic" w:hAnsi="Century Gothic"/>
            <w:noProof/>
            <w:webHidden/>
            <w:sz w:val="20"/>
            <w:szCs w:val="20"/>
          </w:rPr>
          <w:fldChar w:fldCharType="end"/>
        </w:r>
      </w:hyperlink>
    </w:p>
    <w:p w14:paraId="0C1139FD" w14:textId="33353416"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55" w:history="1">
        <w:r w:rsidR="00BB692D" w:rsidRPr="00BB692D">
          <w:rPr>
            <w:rStyle w:val="Hypertextovprepojenie"/>
            <w:rFonts w:ascii="Century Gothic" w:hAnsi="Century Gothic"/>
            <w:i/>
            <w:sz w:val="20"/>
            <w:szCs w:val="20"/>
          </w:rPr>
          <w:t>Obrázok 3 Mapa areálu FNsP Žilina</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_Toc145219855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46</w:t>
        </w:r>
        <w:r w:rsidR="00BB692D" w:rsidRPr="00BB692D">
          <w:rPr>
            <w:rFonts w:ascii="Century Gothic" w:hAnsi="Century Gothic"/>
            <w:noProof/>
            <w:webHidden/>
            <w:sz w:val="20"/>
            <w:szCs w:val="20"/>
          </w:rPr>
          <w:fldChar w:fldCharType="end"/>
        </w:r>
      </w:hyperlink>
    </w:p>
    <w:p w14:paraId="0BEA4BA5" w14:textId="3990561D"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56" w:history="1">
        <w:r w:rsidR="00BB692D" w:rsidRPr="00BB692D">
          <w:rPr>
            <w:rStyle w:val="Hypertextovprepojenie"/>
            <w:rFonts w:ascii="Century Gothic" w:hAnsi="Century Gothic"/>
            <w:i/>
            <w:sz w:val="20"/>
            <w:szCs w:val="20"/>
          </w:rPr>
          <w:t>Obrázok 4 Poloha stavby-širšie vzťahy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_Toc145219856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47</w:t>
        </w:r>
        <w:r w:rsidR="00BB692D" w:rsidRPr="00BB692D">
          <w:rPr>
            <w:rFonts w:ascii="Century Gothic" w:hAnsi="Century Gothic"/>
            <w:noProof/>
            <w:webHidden/>
            <w:sz w:val="20"/>
            <w:szCs w:val="20"/>
          </w:rPr>
          <w:fldChar w:fldCharType="end"/>
        </w:r>
      </w:hyperlink>
    </w:p>
    <w:p w14:paraId="3664BD47" w14:textId="6C82E99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57" w:history="1">
        <w:r w:rsidR="00BB692D" w:rsidRPr="00BB692D">
          <w:rPr>
            <w:rStyle w:val="Hypertextovprepojenie"/>
            <w:rFonts w:ascii="Century Gothic" w:hAnsi="Century Gothic"/>
            <w:i/>
            <w:sz w:val="20"/>
            <w:szCs w:val="20"/>
          </w:rPr>
          <w:t>Obrázok 5 Poloha stavby-širšie vzťahy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_Toc145219857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47</w:t>
        </w:r>
        <w:r w:rsidR="00BB692D" w:rsidRPr="00BB692D">
          <w:rPr>
            <w:rFonts w:ascii="Century Gothic" w:hAnsi="Century Gothic"/>
            <w:noProof/>
            <w:webHidden/>
            <w:sz w:val="20"/>
            <w:szCs w:val="20"/>
          </w:rPr>
          <w:fldChar w:fldCharType="end"/>
        </w:r>
      </w:hyperlink>
    </w:p>
    <w:p w14:paraId="51BE1972" w14:textId="328E558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58" w:history="1">
        <w:r w:rsidR="00BB692D" w:rsidRPr="00BB692D">
          <w:rPr>
            <w:rStyle w:val="Hypertextovprepojenie"/>
            <w:rFonts w:ascii="Century Gothic" w:hAnsi="Century Gothic"/>
            <w:i/>
            <w:sz w:val="20"/>
            <w:szCs w:val="20"/>
          </w:rPr>
          <w:t>Obrázok 6 Vízia nového Pavilónu urgentnej medicíny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_Toc145219858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75</w:t>
        </w:r>
        <w:r w:rsidR="00BB692D" w:rsidRPr="00BB692D">
          <w:rPr>
            <w:rFonts w:ascii="Century Gothic" w:hAnsi="Century Gothic"/>
            <w:noProof/>
            <w:webHidden/>
            <w:sz w:val="20"/>
            <w:szCs w:val="20"/>
          </w:rPr>
          <w:fldChar w:fldCharType="end"/>
        </w:r>
      </w:hyperlink>
    </w:p>
    <w:p w14:paraId="04E2FD4A" w14:textId="1F154CA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59" w:history="1">
        <w:r w:rsidR="00BB692D" w:rsidRPr="00BB692D">
          <w:rPr>
            <w:rStyle w:val="Hypertextovprepojenie"/>
            <w:rFonts w:ascii="Century Gothic" w:hAnsi="Century Gothic"/>
            <w:i/>
            <w:sz w:val="20"/>
            <w:szCs w:val="20"/>
          </w:rPr>
          <w:t>Obrázok 7 Umiestnenie Pavilónu urgentnej medicíny</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_Toc145219859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80</w:t>
        </w:r>
        <w:r w:rsidR="00BB692D" w:rsidRPr="00BB692D">
          <w:rPr>
            <w:rFonts w:ascii="Century Gothic" w:hAnsi="Century Gothic"/>
            <w:noProof/>
            <w:webHidden/>
            <w:sz w:val="20"/>
            <w:szCs w:val="20"/>
          </w:rPr>
          <w:fldChar w:fldCharType="end"/>
        </w:r>
      </w:hyperlink>
    </w:p>
    <w:p w14:paraId="131BAF51" w14:textId="7B179850"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60" w:history="1">
        <w:r w:rsidR="00BB692D" w:rsidRPr="00BB692D">
          <w:rPr>
            <w:rStyle w:val="Hypertextovprepojenie"/>
            <w:rFonts w:ascii="Century Gothic" w:hAnsi="Century Gothic"/>
            <w:i/>
            <w:sz w:val="20"/>
            <w:szCs w:val="20"/>
          </w:rPr>
          <w:t>Obrázok 8 Vizualizácia nového pavilónu</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_Toc145219860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82</w:t>
        </w:r>
        <w:r w:rsidR="00BB692D" w:rsidRPr="00BB692D">
          <w:rPr>
            <w:rFonts w:ascii="Century Gothic" w:hAnsi="Century Gothic"/>
            <w:noProof/>
            <w:webHidden/>
            <w:sz w:val="20"/>
            <w:szCs w:val="20"/>
          </w:rPr>
          <w:fldChar w:fldCharType="end"/>
        </w:r>
      </w:hyperlink>
    </w:p>
    <w:p w14:paraId="28216914" w14:textId="40AC226A"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61" w:history="1">
        <w:r w:rsidR="00BB692D" w:rsidRPr="00BB692D">
          <w:rPr>
            <w:rStyle w:val="Hypertextovprepojenie"/>
            <w:rFonts w:ascii="Century Gothic" w:hAnsi="Century Gothic"/>
            <w:i/>
            <w:sz w:val="20"/>
            <w:szCs w:val="20"/>
          </w:rPr>
          <w:t>Obrázok 9 Schéma 1.PP</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_Toc145219861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83</w:t>
        </w:r>
        <w:r w:rsidR="00BB692D" w:rsidRPr="00BB692D">
          <w:rPr>
            <w:rFonts w:ascii="Century Gothic" w:hAnsi="Century Gothic"/>
            <w:noProof/>
            <w:webHidden/>
            <w:sz w:val="20"/>
            <w:szCs w:val="20"/>
          </w:rPr>
          <w:fldChar w:fldCharType="end"/>
        </w:r>
      </w:hyperlink>
    </w:p>
    <w:p w14:paraId="24C8F604" w14:textId="3712947C"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62" w:history="1">
        <w:r w:rsidR="00BB692D" w:rsidRPr="00BB692D">
          <w:rPr>
            <w:rStyle w:val="Hypertextovprepojenie"/>
            <w:rFonts w:ascii="Century Gothic" w:hAnsi="Century Gothic"/>
            <w:i/>
            <w:sz w:val="20"/>
            <w:szCs w:val="20"/>
          </w:rPr>
          <w:t>Obrázok 10 Schematické znázornenie dispozície  1.- 4. NP</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_Toc145219862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84</w:t>
        </w:r>
        <w:r w:rsidR="00BB692D" w:rsidRPr="00BB692D">
          <w:rPr>
            <w:rFonts w:ascii="Century Gothic" w:hAnsi="Century Gothic"/>
            <w:noProof/>
            <w:webHidden/>
            <w:sz w:val="20"/>
            <w:szCs w:val="20"/>
          </w:rPr>
          <w:fldChar w:fldCharType="end"/>
        </w:r>
      </w:hyperlink>
    </w:p>
    <w:p w14:paraId="4C92B172" w14:textId="55D07B57" w:rsidR="00BB692D" w:rsidRPr="00BB692D" w:rsidRDefault="003F238F">
      <w:pPr>
        <w:pStyle w:val="Zoznamobrzkov"/>
        <w:tabs>
          <w:tab w:val="right" w:leader="dot" w:pos="9062"/>
        </w:tabs>
        <w:rPr>
          <w:rFonts w:ascii="Century Gothic" w:eastAsiaTheme="minorEastAsia" w:hAnsi="Century Gothic" w:cstheme="minorBidi"/>
          <w:noProof/>
          <w:sz w:val="20"/>
          <w:szCs w:val="20"/>
        </w:rPr>
      </w:pPr>
      <w:hyperlink w:anchor="_Toc145219863" w:history="1">
        <w:r w:rsidR="00BB692D" w:rsidRPr="00BB692D">
          <w:rPr>
            <w:rStyle w:val="Hypertextovprepojenie"/>
            <w:rFonts w:ascii="Century Gothic" w:hAnsi="Century Gothic"/>
            <w:i/>
            <w:sz w:val="20"/>
            <w:szCs w:val="20"/>
          </w:rPr>
          <w:t>Obrázok 11 Schéma 5. NP</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_Toc145219863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85</w:t>
        </w:r>
        <w:r w:rsidR="00BB692D" w:rsidRPr="00BB692D">
          <w:rPr>
            <w:rFonts w:ascii="Century Gothic" w:hAnsi="Century Gothic"/>
            <w:noProof/>
            <w:webHidden/>
            <w:sz w:val="20"/>
            <w:szCs w:val="20"/>
          </w:rPr>
          <w:fldChar w:fldCharType="end"/>
        </w:r>
      </w:hyperlink>
    </w:p>
    <w:p w14:paraId="32AE52E2" w14:textId="343231EB" w:rsidR="00BB692D" w:rsidRPr="00BB692D" w:rsidRDefault="003F238F">
      <w:pPr>
        <w:pStyle w:val="Zoznamobrzkov"/>
        <w:tabs>
          <w:tab w:val="right" w:leader="dot" w:pos="9062"/>
        </w:tabs>
        <w:rPr>
          <w:rFonts w:asciiTheme="minorHAnsi" w:eastAsiaTheme="minorEastAsia" w:hAnsiTheme="minorHAnsi" w:cstheme="minorBidi"/>
          <w:noProof/>
          <w:sz w:val="20"/>
          <w:szCs w:val="20"/>
        </w:rPr>
      </w:pPr>
      <w:hyperlink w:anchor="_Toc145219864" w:history="1">
        <w:r w:rsidR="00BB692D" w:rsidRPr="00BB692D">
          <w:rPr>
            <w:rStyle w:val="Hypertextovprepojenie"/>
            <w:rFonts w:ascii="Century Gothic" w:hAnsi="Century Gothic"/>
            <w:i/>
            <w:sz w:val="20"/>
            <w:szCs w:val="20"/>
          </w:rPr>
          <w:t>Obrázok 12 Dopravné napojenie PUM</w:t>
        </w:r>
        <w:r w:rsidR="00BB692D" w:rsidRPr="00BB692D">
          <w:rPr>
            <w:rFonts w:ascii="Century Gothic" w:hAnsi="Century Gothic"/>
            <w:noProof/>
            <w:webHidden/>
            <w:sz w:val="20"/>
            <w:szCs w:val="20"/>
          </w:rPr>
          <w:tab/>
        </w:r>
        <w:r w:rsidR="00BB692D" w:rsidRPr="00BB692D">
          <w:rPr>
            <w:rFonts w:ascii="Century Gothic" w:hAnsi="Century Gothic"/>
            <w:noProof/>
            <w:webHidden/>
            <w:sz w:val="20"/>
            <w:szCs w:val="20"/>
          </w:rPr>
          <w:fldChar w:fldCharType="begin"/>
        </w:r>
        <w:r w:rsidR="00BB692D" w:rsidRPr="00BB692D">
          <w:rPr>
            <w:rFonts w:ascii="Century Gothic" w:hAnsi="Century Gothic"/>
            <w:noProof/>
            <w:webHidden/>
            <w:sz w:val="20"/>
            <w:szCs w:val="20"/>
          </w:rPr>
          <w:instrText xml:space="preserve"> PAGEREF _Toc145219864 \h </w:instrText>
        </w:r>
        <w:r w:rsidR="00BB692D" w:rsidRPr="00BB692D">
          <w:rPr>
            <w:rFonts w:ascii="Century Gothic" w:hAnsi="Century Gothic"/>
            <w:noProof/>
            <w:webHidden/>
            <w:sz w:val="20"/>
            <w:szCs w:val="20"/>
          </w:rPr>
        </w:r>
        <w:r w:rsidR="00BB692D" w:rsidRPr="00BB692D">
          <w:rPr>
            <w:rFonts w:ascii="Century Gothic" w:hAnsi="Century Gothic"/>
            <w:noProof/>
            <w:webHidden/>
            <w:sz w:val="20"/>
            <w:szCs w:val="20"/>
          </w:rPr>
          <w:fldChar w:fldCharType="separate"/>
        </w:r>
        <w:r w:rsidR="00BB692D" w:rsidRPr="00BB692D">
          <w:rPr>
            <w:rFonts w:ascii="Century Gothic" w:hAnsi="Century Gothic"/>
            <w:noProof/>
            <w:webHidden/>
            <w:sz w:val="20"/>
            <w:szCs w:val="20"/>
          </w:rPr>
          <w:t>97</w:t>
        </w:r>
        <w:r w:rsidR="00BB692D" w:rsidRPr="00BB692D">
          <w:rPr>
            <w:rFonts w:ascii="Century Gothic" w:hAnsi="Century Gothic"/>
            <w:noProof/>
            <w:webHidden/>
            <w:sz w:val="20"/>
            <w:szCs w:val="20"/>
          </w:rPr>
          <w:fldChar w:fldCharType="end"/>
        </w:r>
      </w:hyperlink>
    </w:p>
    <w:p w14:paraId="25E28261" w14:textId="3A605325" w:rsidR="000E4F94" w:rsidRDefault="000E4F94" w:rsidP="00C67E68">
      <w:pPr>
        <w:pStyle w:val="Nadpis10"/>
        <w:spacing w:before="240" w:line="259" w:lineRule="auto"/>
        <w:jc w:val="left"/>
        <w:rPr>
          <w:rFonts w:ascii="Century Gothic" w:hAnsi="Century Gothic" w:cstheme="minorHAnsi"/>
          <w:sz w:val="20"/>
          <w:szCs w:val="20"/>
          <w:lang w:eastAsia="en-US"/>
        </w:rPr>
      </w:pPr>
      <w:r w:rsidRPr="00C242B5">
        <w:rPr>
          <w:rFonts w:ascii="Century Gothic" w:hAnsi="Century Gothic" w:cstheme="minorHAnsi"/>
          <w:sz w:val="20"/>
          <w:szCs w:val="20"/>
          <w:lang w:eastAsia="en-US"/>
        </w:rPr>
        <w:fldChar w:fldCharType="end"/>
      </w:r>
    </w:p>
    <w:p w14:paraId="75F7F9F3" w14:textId="77777777" w:rsidR="000E4F94" w:rsidRDefault="000E4F94">
      <w:pPr>
        <w:spacing w:after="200"/>
        <w:jc w:val="left"/>
        <w:rPr>
          <w:rFonts w:ascii="Century Gothic" w:eastAsiaTheme="majorEastAsia" w:hAnsi="Century Gothic" w:cstheme="minorHAnsi"/>
          <w:b/>
          <w:bCs/>
          <w:color w:val="365F91" w:themeColor="accent1" w:themeShade="BF"/>
          <w:sz w:val="20"/>
          <w:szCs w:val="20"/>
          <w:lang w:eastAsia="en-US"/>
        </w:rPr>
      </w:pPr>
      <w:r>
        <w:rPr>
          <w:rFonts w:ascii="Century Gothic" w:hAnsi="Century Gothic" w:cstheme="minorHAnsi"/>
          <w:sz w:val="20"/>
          <w:szCs w:val="20"/>
          <w:lang w:eastAsia="en-US"/>
        </w:rPr>
        <w:br w:type="page"/>
      </w:r>
    </w:p>
    <w:p w14:paraId="6DB2AD96" w14:textId="7DB077FC" w:rsidR="00077188" w:rsidRPr="00C72254" w:rsidRDefault="00077188" w:rsidP="000E4F94">
      <w:pPr>
        <w:pStyle w:val="Nadpis10"/>
        <w:spacing w:before="240" w:line="259" w:lineRule="auto"/>
        <w:ind w:left="720"/>
        <w:jc w:val="left"/>
        <w:rPr>
          <w:rFonts w:ascii="Century Gothic" w:hAnsi="Century Gothic" w:cs="Calibri Light"/>
          <w:b w:val="0"/>
          <w:bCs w:val="0"/>
          <w:sz w:val="32"/>
          <w:szCs w:val="32"/>
          <w:lang w:eastAsia="en-US"/>
        </w:rPr>
      </w:pPr>
      <w:bookmarkStart w:id="29" w:name="_Toc130963069"/>
      <w:bookmarkStart w:id="30" w:name="_Toc140667683"/>
      <w:bookmarkStart w:id="31" w:name="_Toc145219942"/>
      <w:r w:rsidRPr="002679C1">
        <w:rPr>
          <w:rFonts w:ascii="Century Gothic" w:hAnsi="Century Gothic" w:cs="Calibri Light"/>
          <w:b w:val="0"/>
          <w:bCs w:val="0"/>
          <w:sz w:val="32"/>
          <w:szCs w:val="32"/>
          <w:lang w:eastAsia="en-US"/>
        </w:rPr>
        <w:lastRenderedPageBreak/>
        <w:t>ZOZNAM SKRATIEK</w:t>
      </w:r>
      <w:bookmarkEnd w:id="18"/>
      <w:bookmarkEnd w:id="19"/>
      <w:bookmarkEnd w:id="20"/>
      <w:bookmarkEnd w:id="21"/>
      <w:bookmarkEnd w:id="29"/>
      <w:bookmarkEnd w:id="30"/>
      <w:bookmarkEnd w:id="31"/>
    </w:p>
    <w:p w14:paraId="50A16DB9" w14:textId="79D11998" w:rsidR="000C2CE3" w:rsidRPr="000E0A32" w:rsidRDefault="000C2CE3" w:rsidP="001F25C1">
      <w:pPr>
        <w:spacing w:line="240" w:lineRule="auto"/>
        <w:jc w:val="left"/>
        <w:rPr>
          <w:rFonts w:ascii="Calibri Light" w:hAnsi="Calibri Light" w:cs="Calibri Light"/>
          <w:b/>
          <w:bCs/>
          <w:sz w:val="22"/>
          <w:szCs w:val="22"/>
          <w:lang w:eastAsia="en-US"/>
        </w:rPr>
      </w:pPr>
    </w:p>
    <w:tbl>
      <w:tblPr>
        <w:tblStyle w:val="Mriekatabuky"/>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shd w:val="clear" w:color="auto" w:fill="BFBFBF" w:themeFill="background1" w:themeFillShade="BF"/>
        <w:tblLook w:val="04A0" w:firstRow="1" w:lastRow="0" w:firstColumn="1" w:lastColumn="0" w:noHBand="0" w:noVBand="1"/>
      </w:tblPr>
      <w:tblGrid>
        <w:gridCol w:w="2258"/>
        <w:gridCol w:w="6784"/>
      </w:tblGrid>
      <w:tr w:rsidR="00DD6421" w:rsidRPr="006331B2" w14:paraId="65EE2DEC" w14:textId="77777777" w:rsidTr="000C2CE3">
        <w:tc>
          <w:tcPr>
            <w:tcW w:w="2258" w:type="dxa"/>
            <w:shd w:val="clear" w:color="auto" w:fill="BFBFBF" w:themeFill="background1" w:themeFillShade="BF"/>
          </w:tcPr>
          <w:p w14:paraId="5C75BE7B" w14:textId="363B3525" w:rsidR="00DD6421" w:rsidRPr="001702DD" w:rsidRDefault="00DD6421" w:rsidP="0032655A">
            <w:pPr>
              <w:rPr>
                <w:rFonts w:ascii="Century Gothic" w:hAnsi="Century Gothic" w:cstheme="minorHAnsi"/>
                <w:sz w:val="20"/>
                <w:szCs w:val="20"/>
              </w:rPr>
            </w:pPr>
            <w:r>
              <w:rPr>
                <w:rFonts w:ascii="Century Gothic" w:hAnsi="Century Gothic" w:cstheme="minorHAnsi"/>
                <w:sz w:val="20"/>
                <w:szCs w:val="20"/>
              </w:rPr>
              <w:t>AIDS</w:t>
            </w:r>
          </w:p>
        </w:tc>
        <w:tc>
          <w:tcPr>
            <w:tcW w:w="6784" w:type="dxa"/>
            <w:shd w:val="clear" w:color="auto" w:fill="BFBFBF" w:themeFill="background1" w:themeFillShade="BF"/>
          </w:tcPr>
          <w:p w14:paraId="2C19696C" w14:textId="0659A469" w:rsidR="00DD6421" w:rsidRPr="001702DD" w:rsidRDefault="00DD6421" w:rsidP="001702DD">
            <w:pPr>
              <w:rPr>
                <w:rFonts w:ascii="Century Gothic" w:hAnsi="Century Gothic" w:cstheme="minorHAnsi"/>
                <w:sz w:val="20"/>
                <w:szCs w:val="20"/>
              </w:rPr>
            </w:pPr>
            <w:proofErr w:type="spellStart"/>
            <w:r w:rsidRPr="00DD6421">
              <w:rPr>
                <w:rFonts w:ascii="Century Gothic" w:hAnsi="Century Gothic" w:cstheme="minorHAnsi"/>
                <w:sz w:val="20"/>
                <w:szCs w:val="20"/>
              </w:rPr>
              <w:t>Acquired</w:t>
            </w:r>
            <w:proofErr w:type="spellEnd"/>
            <w:r w:rsidRPr="00DD6421">
              <w:rPr>
                <w:rFonts w:ascii="Century Gothic" w:hAnsi="Century Gothic" w:cstheme="minorHAnsi"/>
                <w:sz w:val="20"/>
                <w:szCs w:val="20"/>
              </w:rPr>
              <w:t xml:space="preserve"> </w:t>
            </w:r>
            <w:proofErr w:type="spellStart"/>
            <w:r w:rsidRPr="00DD6421">
              <w:rPr>
                <w:rFonts w:ascii="Century Gothic" w:hAnsi="Century Gothic" w:cstheme="minorHAnsi"/>
                <w:sz w:val="20"/>
                <w:szCs w:val="20"/>
              </w:rPr>
              <w:t>immune</w:t>
            </w:r>
            <w:proofErr w:type="spellEnd"/>
            <w:r w:rsidRPr="00DD6421">
              <w:rPr>
                <w:rFonts w:ascii="Century Gothic" w:hAnsi="Century Gothic" w:cstheme="minorHAnsi"/>
                <w:sz w:val="20"/>
                <w:szCs w:val="20"/>
              </w:rPr>
              <w:t xml:space="preserve"> </w:t>
            </w:r>
            <w:proofErr w:type="spellStart"/>
            <w:r w:rsidRPr="00DD6421">
              <w:rPr>
                <w:rFonts w:ascii="Century Gothic" w:hAnsi="Century Gothic" w:cstheme="minorHAnsi"/>
                <w:sz w:val="20"/>
                <w:szCs w:val="20"/>
              </w:rPr>
              <w:t>deficiency</w:t>
            </w:r>
            <w:proofErr w:type="spellEnd"/>
            <w:r w:rsidRPr="00DD6421">
              <w:rPr>
                <w:rFonts w:ascii="Century Gothic" w:hAnsi="Century Gothic" w:cstheme="minorHAnsi"/>
                <w:sz w:val="20"/>
                <w:szCs w:val="20"/>
              </w:rPr>
              <w:t xml:space="preserve"> </w:t>
            </w:r>
            <w:proofErr w:type="spellStart"/>
            <w:r w:rsidRPr="00DD6421">
              <w:rPr>
                <w:rFonts w:ascii="Century Gothic" w:hAnsi="Century Gothic" w:cstheme="minorHAnsi"/>
                <w:sz w:val="20"/>
                <w:szCs w:val="20"/>
              </w:rPr>
              <w:t>syndrome</w:t>
            </w:r>
            <w:proofErr w:type="spellEnd"/>
            <w:r w:rsidRPr="00DD6421">
              <w:rPr>
                <w:rFonts w:ascii="Century Gothic" w:hAnsi="Century Gothic" w:cstheme="minorHAnsi"/>
                <w:sz w:val="20"/>
                <w:szCs w:val="20"/>
              </w:rPr>
              <w:t xml:space="preserve"> - syndróm získanej imunitnej nedostatočnosti</w:t>
            </w:r>
          </w:p>
        </w:tc>
      </w:tr>
      <w:tr w:rsidR="002F04B8" w:rsidRPr="006331B2" w14:paraId="01F19030" w14:textId="77777777" w:rsidTr="000C2CE3">
        <w:tc>
          <w:tcPr>
            <w:tcW w:w="2258" w:type="dxa"/>
            <w:shd w:val="clear" w:color="auto" w:fill="BFBFBF" w:themeFill="background1" w:themeFillShade="BF"/>
          </w:tcPr>
          <w:p w14:paraId="5ED74139" w14:textId="5414AB8F" w:rsidR="002F04B8" w:rsidRPr="001702DD" w:rsidRDefault="002F04B8" w:rsidP="00DD6421">
            <w:pPr>
              <w:rPr>
                <w:rFonts w:ascii="Century Gothic" w:hAnsi="Century Gothic" w:cstheme="minorHAnsi"/>
                <w:sz w:val="20"/>
                <w:szCs w:val="20"/>
              </w:rPr>
            </w:pPr>
            <w:r>
              <w:rPr>
                <w:rFonts w:ascii="Century Gothic" w:hAnsi="Century Gothic" w:cstheme="minorHAnsi"/>
                <w:sz w:val="20"/>
                <w:szCs w:val="20"/>
              </w:rPr>
              <w:t>APS</w:t>
            </w:r>
          </w:p>
        </w:tc>
        <w:tc>
          <w:tcPr>
            <w:tcW w:w="6784" w:type="dxa"/>
            <w:shd w:val="clear" w:color="auto" w:fill="BFBFBF" w:themeFill="background1" w:themeFillShade="BF"/>
          </w:tcPr>
          <w:p w14:paraId="02EE103C" w14:textId="5C351734" w:rsidR="002F04B8" w:rsidRPr="001702DD" w:rsidRDefault="002F04B8" w:rsidP="00DD6421">
            <w:pPr>
              <w:rPr>
                <w:rFonts w:ascii="Century Gothic" w:hAnsi="Century Gothic" w:cstheme="minorHAnsi"/>
                <w:sz w:val="20"/>
                <w:szCs w:val="20"/>
              </w:rPr>
            </w:pPr>
            <w:r>
              <w:rPr>
                <w:rFonts w:ascii="Century Gothic" w:hAnsi="Century Gothic" w:cstheme="minorHAnsi"/>
                <w:sz w:val="20"/>
                <w:szCs w:val="20"/>
              </w:rPr>
              <w:t>Ambulantná pohotovostná služba</w:t>
            </w:r>
          </w:p>
        </w:tc>
      </w:tr>
      <w:tr w:rsidR="00DD6421" w:rsidRPr="006331B2" w14:paraId="332F1489" w14:textId="77777777" w:rsidTr="000C2CE3">
        <w:tc>
          <w:tcPr>
            <w:tcW w:w="2258" w:type="dxa"/>
            <w:shd w:val="clear" w:color="auto" w:fill="BFBFBF" w:themeFill="background1" w:themeFillShade="BF"/>
          </w:tcPr>
          <w:p w14:paraId="5AF52552" w14:textId="60033CE8" w:rsidR="00DD6421" w:rsidRDefault="00DD6421" w:rsidP="00DD6421">
            <w:pPr>
              <w:rPr>
                <w:rFonts w:ascii="Century Gothic" w:hAnsi="Century Gothic" w:cstheme="minorHAnsi"/>
                <w:sz w:val="20"/>
                <w:szCs w:val="20"/>
              </w:rPr>
            </w:pPr>
            <w:r w:rsidRPr="001702DD">
              <w:rPr>
                <w:rFonts w:ascii="Century Gothic" w:hAnsi="Century Gothic" w:cstheme="minorHAnsi"/>
                <w:sz w:val="20"/>
                <w:szCs w:val="20"/>
              </w:rPr>
              <w:t>CKS</w:t>
            </w:r>
          </w:p>
        </w:tc>
        <w:tc>
          <w:tcPr>
            <w:tcW w:w="6784" w:type="dxa"/>
            <w:shd w:val="clear" w:color="auto" w:fill="BFBFBF" w:themeFill="background1" w:themeFillShade="BF"/>
          </w:tcPr>
          <w:p w14:paraId="09A5A81D" w14:textId="77447E33" w:rsidR="00DD6421" w:rsidRPr="00DD6421" w:rsidRDefault="00DD6421" w:rsidP="00DD6421">
            <w:pPr>
              <w:rPr>
                <w:rFonts w:ascii="Century Gothic" w:hAnsi="Century Gothic" w:cstheme="minorHAnsi"/>
                <w:sz w:val="20"/>
                <w:szCs w:val="20"/>
              </w:rPr>
            </w:pPr>
            <w:r w:rsidRPr="001702DD">
              <w:rPr>
                <w:rFonts w:ascii="Century Gothic" w:hAnsi="Century Gothic" w:cstheme="minorHAnsi"/>
                <w:sz w:val="20"/>
                <w:szCs w:val="20"/>
              </w:rPr>
              <w:t>Centrum pre klasifikačný systém</w:t>
            </w:r>
          </w:p>
        </w:tc>
      </w:tr>
      <w:tr w:rsidR="00DD6421" w:rsidRPr="006331B2" w14:paraId="775F7FCA" w14:textId="77777777" w:rsidTr="000C2CE3">
        <w:tc>
          <w:tcPr>
            <w:tcW w:w="2258" w:type="dxa"/>
            <w:shd w:val="clear" w:color="auto" w:fill="BFBFBF" w:themeFill="background1" w:themeFillShade="BF"/>
          </w:tcPr>
          <w:p w14:paraId="72513205" w14:textId="77777777" w:rsidR="00DD6421" w:rsidRPr="001702DD" w:rsidRDefault="00DD6421" w:rsidP="00DD6421">
            <w:pPr>
              <w:rPr>
                <w:rFonts w:ascii="Century Gothic" w:hAnsi="Century Gothic"/>
                <w:sz w:val="22"/>
                <w:szCs w:val="22"/>
              </w:rPr>
            </w:pPr>
            <w:r>
              <w:rPr>
                <w:rFonts w:ascii="Century Gothic" w:hAnsi="Century Gothic" w:cstheme="minorHAnsi"/>
                <w:sz w:val="22"/>
                <w:szCs w:val="22"/>
              </w:rPr>
              <w:t>CMI</w:t>
            </w:r>
          </w:p>
        </w:tc>
        <w:tc>
          <w:tcPr>
            <w:tcW w:w="6784" w:type="dxa"/>
            <w:shd w:val="clear" w:color="auto" w:fill="BFBFBF" w:themeFill="background1" w:themeFillShade="BF"/>
          </w:tcPr>
          <w:p w14:paraId="2FF8D065" w14:textId="02B81F90" w:rsidR="00DD6421" w:rsidRPr="001702DD" w:rsidRDefault="00DD6421" w:rsidP="00DD6421">
            <w:pPr>
              <w:rPr>
                <w:rFonts w:ascii="Century Gothic" w:hAnsi="Century Gothic" w:cstheme="minorHAnsi"/>
                <w:sz w:val="20"/>
                <w:szCs w:val="20"/>
              </w:rPr>
            </w:pPr>
            <w:proofErr w:type="spellStart"/>
            <w:r w:rsidRPr="00724522">
              <w:rPr>
                <w:rFonts w:ascii="Century Gothic" w:hAnsi="Century Gothic" w:cstheme="minorHAnsi"/>
                <w:sz w:val="20"/>
                <w:szCs w:val="20"/>
              </w:rPr>
              <w:t>Case</w:t>
            </w:r>
            <w:proofErr w:type="spellEnd"/>
            <w:r w:rsidRPr="00724522">
              <w:rPr>
                <w:rFonts w:ascii="Century Gothic" w:hAnsi="Century Gothic" w:cstheme="minorHAnsi"/>
                <w:sz w:val="20"/>
                <w:szCs w:val="20"/>
              </w:rPr>
              <w:t xml:space="preserve"> mix index - aritmetický priemer relatívnych váh všetkých hospitalizačných prípadov za určité časové obdobie a vyjadruje priemernú ekonomicko-medicínsku náročnosť prípadu v sledovanom časovom období</w:t>
            </w:r>
          </w:p>
        </w:tc>
      </w:tr>
      <w:tr w:rsidR="00DD6421" w:rsidRPr="006331B2" w14:paraId="543FF7C9" w14:textId="77777777" w:rsidTr="000C2CE3">
        <w:tc>
          <w:tcPr>
            <w:tcW w:w="2258" w:type="dxa"/>
            <w:shd w:val="clear" w:color="auto" w:fill="BFBFBF" w:themeFill="background1" w:themeFillShade="BF"/>
          </w:tcPr>
          <w:p w14:paraId="25B66511"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COS</w:t>
            </w:r>
          </w:p>
        </w:tc>
        <w:tc>
          <w:tcPr>
            <w:tcW w:w="6784" w:type="dxa"/>
            <w:shd w:val="clear" w:color="auto" w:fill="BFBFBF" w:themeFill="background1" w:themeFillShade="BF"/>
          </w:tcPr>
          <w:p w14:paraId="614FFA3E"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Centrálne operačné sály</w:t>
            </w:r>
          </w:p>
        </w:tc>
      </w:tr>
      <w:tr w:rsidR="00DD6421" w:rsidRPr="006331B2" w14:paraId="1B18EA44" w14:textId="77777777" w:rsidTr="000C2CE3">
        <w:tc>
          <w:tcPr>
            <w:tcW w:w="2258" w:type="dxa"/>
            <w:shd w:val="clear" w:color="auto" w:fill="BFBFBF" w:themeFill="background1" w:themeFillShade="BF"/>
          </w:tcPr>
          <w:p w14:paraId="54BBD7A2"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CPLDZ</w:t>
            </w:r>
          </w:p>
        </w:tc>
        <w:tc>
          <w:tcPr>
            <w:tcW w:w="6784" w:type="dxa"/>
            <w:shd w:val="clear" w:color="auto" w:fill="BFBFBF" w:themeFill="background1" w:themeFillShade="BF"/>
          </w:tcPr>
          <w:p w14:paraId="454C4C53" w14:textId="77777777" w:rsidR="00DD6421" w:rsidRDefault="00DD6421" w:rsidP="00DD6421">
            <w:pPr>
              <w:jc w:val="left"/>
              <w:rPr>
                <w:rFonts w:ascii="Century Gothic" w:hAnsi="Century Gothic" w:cstheme="minorHAnsi"/>
                <w:sz w:val="20"/>
                <w:szCs w:val="20"/>
              </w:rPr>
            </w:pPr>
            <w:r>
              <w:rPr>
                <w:rFonts w:ascii="Century Gothic" w:hAnsi="Century Gothic" w:cstheme="minorHAnsi"/>
                <w:sz w:val="20"/>
                <w:szCs w:val="20"/>
              </w:rPr>
              <w:t>Centrum pre liečbu drogových závislostí</w:t>
            </w:r>
          </w:p>
        </w:tc>
      </w:tr>
      <w:tr w:rsidR="00DD6421" w:rsidRPr="006331B2" w14:paraId="05B0051F" w14:textId="77777777" w:rsidTr="000C2CE3">
        <w:tc>
          <w:tcPr>
            <w:tcW w:w="2258" w:type="dxa"/>
            <w:shd w:val="clear" w:color="auto" w:fill="BFBFBF" w:themeFill="background1" w:themeFillShade="BF"/>
          </w:tcPr>
          <w:p w14:paraId="25DFEB93"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CT</w:t>
            </w:r>
          </w:p>
        </w:tc>
        <w:tc>
          <w:tcPr>
            <w:tcW w:w="6784" w:type="dxa"/>
            <w:shd w:val="clear" w:color="auto" w:fill="BFBFBF" w:themeFill="background1" w:themeFillShade="BF"/>
          </w:tcPr>
          <w:p w14:paraId="1A5D3B13"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Výpočtový tomograf</w:t>
            </w:r>
          </w:p>
        </w:tc>
      </w:tr>
      <w:tr w:rsidR="00DD6421" w:rsidRPr="006331B2" w14:paraId="58B4A6DA" w14:textId="77777777" w:rsidTr="000C2CE3">
        <w:tc>
          <w:tcPr>
            <w:tcW w:w="2258" w:type="dxa"/>
            <w:shd w:val="clear" w:color="auto" w:fill="BFBFBF" w:themeFill="background1" w:themeFillShade="BF"/>
          </w:tcPr>
          <w:p w14:paraId="4CC13919"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dg</w:t>
            </w:r>
          </w:p>
        </w:tc>
        <w:tc>
          <w:tcPr>
            <w:tcW w:w="6784" w:type="dxa"/>
            <w:shd w:val="clear" w:color="auto" w:fill="BFBFBF" w:themeFill="background1" w:themeFillShade="BF"/>
          </w:tcPr>
          <w:p w14:paraId="2BB84ED2" w14:textId="30D93F11" w:rsidR="00DD6421" w:rsidRDefault="00DD6421" w:rsidP="00DD6421">
            <w:pPr>
              <w:jc w:val="left"/>
              <w:rPr>
                <w:rFonts w:ascii="Century Gothic" w:hAnsi="Century Gothic" w:cstheme="minorHAnsi"/>
                <w:sz w:val="20"/>
                <w:szCs w:val="20"/>
              </w:rPr>
            </w:pPr>
            <w:r>
              <w:rPr>
                <w:rFonts w:ascii="Century Gothic" w:hAnsi="Century Gothic" w:cstheme="minorHAnsi"/>
                <w:sz w:val="20"/>
                <w:szCs w:val="20"/>
              </w:rPr>
              <w:t>diagnóza</w:t>
            </w:r>
          </w:p>
        </w:tc>
      </w:tr>
      <w:tr w:rsidR="00DD6421" w:rsidRPr="006331B2" w14:paraId="1C2FF8CD" w14:textId="77777777" w:rsidTr="000C2CE3">
        <w:tc>
          <w:tcPr>
            <w:tcW w:w="2258" w:type="dxa"/>
            <w:shd w:val="clear" w:color="auto" w:fill="BFBFBF" w:themeFill="background1" w:themeFillShade="BF"/>
          </w:tcPr>
          <w:p w14:paraId="2571EDDC"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DRG</w:t>
            </w:r>
          </w:p>
        </w:tc>
        <w:tc>
          <w:tcPr>
            <w:tcW w:w="6784" w:type="dxa"/>
            <w:shd w:val="clear" w:color="auto" w:fill="BFBFBF" w:themeFill="background1" w:themeFillShade="BF"/>
          </w:tcPr>
          <w:p w14:paraId="1EBEE3A5"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Skupiny súvisiacich diagnóz</w:t>
            </w:r>
          </w:p>
        </w:tc>
      </w:tr>
      <w:tr w:rsidR="00DD6421" w:rsidRPr="006331B2" w14:paraId="16D680EC" w14:textId="77777777" w:rsidTr="000C2CE3">
        <w:tc>
          <w:tcPr>
            <w:tcW w:w="2258" w:type="dxa"/>
            <w:shd w:val="clear" w:color="auto" w:fill="BFBFBF" w:themeFill="background1" w:themeFillShade="BF"/>
          </w:tcPr>
          <w:p w14:paraId="77688B5D"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FBLR</w:t>
            </w:r>
          </w:p>
        </w:tc>
        <w:tc>
          <w:tcPr>
            <w:tcW w:w="6784" w:type="dxa"/>
            <w:shd w:val="clear" w:color="auto" w:fill="BFBFBF" w:themeFill="background1" w:themeFillShade="BF"/>
          </w:tcPr>
          <w:p w14:paraId="00B76626" w14:textId="77777777" w:rsidR="00DD6421" w:rsidRDefault="00DD6421" w:rsidP="00DD6421">
            <w:pPr>
              <w:jc w:val="left"/>
              <w:rPr>
                <w:rFonts w:ascii="Century Gothic" w:hAnsi="Century Gothic" w:cstheme="minorHAnsi"/>
                <w:sz w:val="20"/>
                <w:szCs w:val="20"/>
              </w:rPr>
            </w:pPr>
            <w:proofErr w:type="spellStart"/>
            <w:r w:rsidRPr="00A323AF">
              <w:rPr>
                <w:rFonts w:ascii="Century Gothic" w:hAnsi="Century Gothic" w:cstheme="minorHAnsi"/>
                <w:sz w:val="20"/>
                <w:szCs w:val="20"/>
              </w:rPr>
              <w:t>Fyziatria</w:t>
            </w:r>
            <w:proofErr w:type="spellEnd"/>
            <w:r w:rsidRPr="00A323AF">
              <w:rPr>
                <w:rFonts w:ascii="Century Gothic" w:hAnsi="Century Gothic" w:cstheme="minorHAnsi"/>
                <w:sz w:val="20"/>
                <w:szCs w:val="20"/>
              </w:rPr>
              <w:t xml:space="preserve">, </w:t>
            </w:r>
            <w:proofErr w:type="spellStart"/>
            <w:r w:rsidRPr="00A323AF">
              <w:rPr>
                <w:rFonts w:ascii="Century Gothic" w:hAnsi="Century Gothic" w:cstheme="minorHAnsi"/>
                <w:sz w:val="20"/>
                <w:szCs w:val="20"/>
              </w:rPr>
              <w:t>balneólogia</w:t>
            </w:r>
            <w:proofErr w:type="spellEnd"/>
            <w:r w:rsidRPr="00A323AF">
              <w:rPr>
                <w:rFonts w:ascii="Century Gothic" w:hAnsi="Century Gothic" w:cstheme="minorHAnsi"/>
                <w:sz w:val="20"/>
                <w:szCs w:val="20"/>
              </w:rPr>
              <w:t xml:space="preserve"> a liečebná rehabilitácia</w:t>
            </w:r>
          </w:p>
        </w:tc>
      </w:tr>
      <w:tr w:rsidR="00DD6421" w:rsidRPr="006331B2" w14:paraId="10BFFD19" w14:textId="77777777" w:rsidTr="000C2CE3">
        <w:tc>
          <w:tcPr>
            <w:tcW w:w="2258" w:type="dxa"/>
            <w:shd w:val="clear" w:color="auto" w:fill="BFBFBF" w:themeFill="background1" w:themeFillShade="BF"/>
          </w:tcPr>
          <w:p w14:paraId="3E1C8B4B" w14:textId="77777777" w:rsidR="00DD6421" w:rsidRPr="006331B2" w:rsidRDefault="00DD6421" w:rsidP="00DD6421">
            <w:pPr>
              <w:rPr>
                <w:rFonts w:ascii="Century Gothic" w:hAnsi="Century Gothic" w:cstheme="minorHAnsi"/>
                <w:sz w:val="20"/>
                <w:szCs w:val="20"/>
              </w:rPr>
            </w:pPr>
            <w:proofErr w:type="spellStart"/>
            <w:r w:rsidRPr="006331B2">
              <w:rPr>
                <w:rFonts w:ascii="Century Gothic" w:hAnsi="Century Gothic" w:cstheme="minorHAnsi"/>
                <w:sz w:val="20"/>
                <w:szCs w:val="20"/>
              </w:rPr>
              <w:t>FNsP</w:t>
            </w:r>
            <w:proofErr w:type="spellEnd"/>
            <w:r w:rsidRPr="006331B2">
              <w:rPr>
                <w:rFonts w:ascii="Century Gothic" w:hAnsi="Century Gothic" w:cstheme="minorHAnsi"/>
                <w:sz w:val="20"/>
                <w:szCs w:val="20"/>
              </w:rPr>
              <w:t xml:space="preserve"> Žilina</w:t>
            </w:r>
          </w:p>
        </w:tc>
        <w:tc>
          <w:tcPr>
            <w:tcW w:w="6784" w:type="dxa"/>
            <w:shd w:val="clear" w:color="auto" w:fill="BFBFBF" w:themeFill="background1" w:themeFillShade="BF"/>
          </w:tcPr>
          <w:p w14:paraId="68188C01"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Fakultná nemocnica s poliklinikou Žilina</w:t>
            </w:r>
          </w:p>
        </w:tc>
      </w:tr>
      <w:tr w:rsidR="00DD6421" w:rsidRPr="006331B2" w14:paraId="24AEB1A2" w14:textId="77777777" w:rsidTr="000C2CE3">
        <w:tc>
          <w:tcPr>
            <w:tcW w:w="2258" w:type="dxa"/>
            <w:shd w:val="clear" w:color="auto" w:fill="BFBFBF" w:themeFill="background1" w:themeFillShade="BF"/>
          </w:tcPr>
          <w:p w14:paraId="305D6FCA" w14:textId="77777777" w:rsidR="00DD6421" w:rsidRPr="00173E33" w:rsidRDefault="00DD6421" w:rsidP="00DD6421">
            <w:pPr>
              <w:rPr>
                <w:rFonts w:ascii="Century Gothic" w:hAnsi="Century Gothic" w:cs="Arial"/>
                <w:sz w:val="18"/>
                <w:szCs w:val="18"/>
              </w:rPr>
            </w:pPr>
            <w:r>
              <w:rPr>
                <w:rFonts w:ascii="Century Gothic" w:hAnsi="Century Gothic" w:cstheme="minorHAnsi"/>
                <w:sz w:val="22"/>
                <w:szCs w:val="22"/>
              </w:rPr>
              <w:t>FRO</w:t>
            </w:r>
          </w:p>
        </w:tc>
        <w:tc>
          <w:tcPr>
            <w:tcW w:w="6784" w:type="dxa"/>
            <w:shd w:val="clear" w:color="auto" w:fill="BFBFBF" w:themeFill="background1" w:themeFillShade="BF"/>
          </w:tcPr>
          <w:p w14:paraId="0B966BB5" w14:textId="77777777" w:rsidR="00DD6421" w:rsidRDefault="00DD6421" w:rsidP="00DD6421">
            <w:pPr>
              <w:jc w:val="left"/>
              <w:rPr>
                <w:rFonts w:ascii="Century Gothic" w:hAnsi="Century Gothic" w:cstheme="minorHAnsi"/>
                <w:sz w:val="20"/>
                <w:szCs w:val="20"/>
              </w:rPr>
            </w:pPr>
            <w:proofErr w:type="spellStart"/>
            <w:r>
              <w:rPr>
                <w:rFonts w:ascii="Century Gothic" w:hAnsi="Century Gothic" w:cstheme="minorHAnsi"/>
                <w:sz w:val="20"/>
                <w:szCs w:val="20"/>
              </w:rPr>
              <w:t>F</w:t>
            </w:r>
            <w:r w:rsidRPr="00A323AF">
              <w:rPr>
                <w:rFonts w:ascii="Century Gothic" w:hAnsi="Century Gothic" w:cstheme="minorHAnsi"/>
                <w:sz w:val="20"/>
                <w:szCs w:val="20"/>
              </w:rPr>
              <w:t>yziatricko</w:t>
            </w:r>
            <w:proofErr w:type="spellEnd"/>
            <w:r w:rsidRPr="00A323AF">
              <w:rPr>
                <w:rFonts w:ascii="Century Gothic" w:hAnsi="Century Gothic" w:cstheme="minorHAnsi"/>
                <w:sz w:val="20"/>
                <w:szCs w:val="20"/>
              </w:rPr>
              <w:t xml:space="preserve"> rehabilitačné oddelen</w:t>
            </w:r>
            <w:r>
              <w:rPr>
                <w:rFonts w:ascii="Century Gothic" w:hAnsi="Century Gothic" w:cstheme="minorHAnsi"/>
                <w:sz w:val="20"/>
                <w:szCs w:val="20"/>
              </w:rPr>
              <w:t>ie</w:t>
            </w:r>
          </w:p>
        </w:tc>
      </w:tr>
      <w:tr w:rsidR="00B046C0" w:rsidRPr="006331B2" w14:paraId="171B99F6" w14:textId="77777777" w:rsidTr="000C2CE3">
        <w:tc>
          <w:tcPr>
            <w:tcW w:w="2258" w:type="dxa"/>
            <w:shd w:val="clear" w:color="auto" w:fill="BFBFBF" w:themeFill="background1" w:themeFillShade="BF"/>
          </w:tcPr>
          <w:p w14:paraId="777FF78C" w14:textId="266F5606" w:rsidR="00B046C0" w:rsidRDefault="00B046C0" w:rsidP="00DD6421">
            <w:pPr>
              <w:rPr>
                <w:rFonts w:ascii="Century Gothic" w:hAnsi="Century Gothic" w:cstheme="minorHAnsi"/>
                <w:sz w:val="22"/>
                <w:szCs w:val="22"/>
              </w:rPr>
            </w:pPr>
            <w:r>
              <w:rPr>
                <w:rFonts w:ascii="Century Gothic" w:hAnsi="Century Gothic" w:cstheme="minorHAnsi"/>
                <w:sz w:val="22"/>
                <w:szCs w:val="22"/>
              </w:rPr>
              <w:t>HEMS</w:t>
            </w:r>
          </w:p>
        </w:tc>
        <w:tc>
          <w:tcPr>
            <w:tcW w:w="6784" w:type="dxa"/>
            <w:shd w:val="clear" w:color="auto" w:fill="BFBFBF" w:themeFill="background1" w:themeFillShade="BF"/>
          </w:tcPr>
          <w:p w14:paraId="0348B385" w14:textId="0D03EDAE" w:rsidR="00B046C0" w:rsidRDefault="00B046C0" w:rsidP="00B046C0">
            <w:pPr>
              <w:jc w:val="left"/>
              <w:rPr>
                <w:rFonts w:ascii="Century Gothic" w:hAnsi="Century Gothic" w:cstheme="minorHAnsi"/>
                <w:sz w:val="20"/>
                <w:szCs w:val="20"/>
              </w:rPr>
            </w:pPr>
            <w:proofErr w:type="spellStart"/>
            <w:r w:rsidRPr="00B046C0">
              <w:rPr>
                <w:rFonts w:ascii="Century Gothic" w:hAnsi="Century Gothic" w:cstheme="minorHAnsi"/>
                <w:sz w:val="20"/>
                <w:szCs w:val="20"/>
              </w:rPr>
              <w:t>Helicopter</w:t>
            </w:r>
            <w:proofErr w:type="spellEnd"/>
            <w:r w:rsidRPr="00B046C0">
              <w:rPr>
                <w:rFonts w:ascii="Century Gothic" w:hAnsi="Century Gothic" w:cstheme="minorHAnsi"/>
                <w:sz w:val="20"/>
                <w:szCs w:val="20"/>
              </w:rPr>
              <w:t xml:space="preserve"> </w:t>
            </w:r>
            <w:proofErr w:type="spellStart"/>
            <w:r w:rsidRPr="00B046C0">
              <w:rPr>
                <w:rFonts w:ascii="Century Gothic" w:hAnsi="Century Gothic" w:cstheme="minorHAnsi"/>
                <w:sz w:val="20"/>
                <w:szCs w:val="20"/>
              </w:rPr>
              <w:t>Emergency</w:t>
            </w:r>
            <w:proofErr w:type="spellEnd"/>
            <w:r w:rsidRPr="00B046C0">
              <w:rPr>
                <w:rFonts w:ascii="Century Gothic" w:hAnsi="Century Gothic" w:cstheme="minorHAnsi"/>
                <w:sz w:val="20"/>
                <w:szCs w:val="20"/>
              </w:rPr>
              <w:t xml:space="preserve"> </w:t>
            </w:r>
            <w:proofErr w:type="spellStart"/>
            <w:r w:rsidRPr="00B046C0">
              <w:rPr>
                <w:rFonts w:ascii="Century Gothic" w:hAnsi="Century Gothic" w:cstheme="minorHAnsi"/>
                <w:sz w:val="20"/>
                <w:szCs w:val="20"/>
              </w:rPr>
              <w:t>Medical</w:t>
            </w:r>
            <w:proofErr w:type="spellEnd"/>
            <w:r w:rsidRPr="00B046C0">
              <w:rPr>
                <w:rFonts w:ascii="Century Gothic" w:hAnsi="Century Gothic" w:cstheme="minorHAnsi"/>
                <w:sz w:val="20"/>
                <w:szCs w:val="20"/>
              </w:rPr>
              <w:t xml:space="preserve"> </w:t>
            </w:r>
            <w:proofErr w:type="spellStart"/>
            <w:r w:rsidRPr="00B046C0">
              <w:rPr>
                <w:rFonts w:ascii="Century Gothic" w:hAnsi="Century Gothic" w:cstheme="minorHAnsi"/>
                <w:sz w:val="20"/>
                <w:szCs w:val="20"/>
              </w:rPr>
              <w:t>Services</w:t>
            </w:r>
            <w:proofErr w:type="spellEnd"/>
            <w:r w:rsidRPr="00B046C0">
              <w:rPr>
                <w:rFonts w:ascii="Century Gothic" w:hAnsi="Century Gothic" w:cstheme="minorHAnsi"/>
                <w:sz w:val="20"/>
                <w:szCs w:val="20"/>
              </w:rPr>
              <w:t xml:space="preserve"> </w:t>
            </w:r>
            <w:r>
              <w:rPr>
                <w:rFonts w:ascii="Century Gothic" w:hAnsi="Century Gothic" w:cstheme="minorHAnsi"/>
                <w:sz w:val="20"/>
                <w:szCs w:val="20"/>
              </w:rPr>
              <w:t>: v</w:t>
            </w:r>
            <w:r w:rsidRPr="00B046C0">
              <w:rPr>
                <w:rFonts w:ascii="Century Gothic" w:hAnsi="Century Gothic" w:cstheme="minorHAnsi"/>
                <w:sz w:val="20"/>
                <w:szCs w:val="20"/>
              </w:rPr>
              <w:t>rtuľníková pohotovostná zdravotná služba</w:t>
            </w:r>
          </w:p>
        </w:tc>
      </w:tr>
      <w:tr w:rsidR="00DD6421" w:rsidRPr="006331B2" w14:paraId="75B35EC5" w14:textId="77777777" w:rsidTr="000C2CE3">
        <w:tc>
          <w:tcPr>
            <w:tcW w:w="2258" w:type="dxa"/>
            <w:shd w:val="clear" w:color="auto" w:fill="BFBFBF" w:themeFill="background1" w:themeFillShade="BF"/>
          </w:tcPr>
          <w:p w14:paraId="1482D2EB"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HIPEC</w:t>
            </w:r>
          </w:p>
        </w:tc>
        <w:tc>
          <w:tcPr>
            <w:tcW w:w="6784" w:type="dxa"/>
            <w:shd w:val="clear" w:color="auto" w:fill="BFBFBF" w:themeFill="background1" w:themeFillShade="BF"/>
          </w:tcPr>
          <w:p w14:paraId="79E2325F" w14:textId="77777777" w:rsidR="00DD6421" w:rsidRPr="006331B2" w:rsidRDefault="00DD6421" w:rsidP="00DD6421">
            <w:pPr>
              <w:jc w:val="left"/>
              <w:rPr>
                <w:rFonts w:ascii="Century Gothic" w:hAnsi="Century Gothic" w:cstheme="minorHAnsi"/>
                <w:sz w:val="20"/>
                <w:szCs w:val="20"/>
              </w:rPr>
            </w:pPr>
            <w:proofErr w:type="spellStart"/>
            <w:r w:rsidRPr="006331B2">
              <w:rPr>
                <w:rFonts w:ascii="Century Gothic" w:hAnsi="Century Gothic" w:cstheme="minorHAnsi"/>
                <w:sz w:val="20"/>
                <w:szCs w:val="20"/>
              </w:rPr>
              <w:t>Hyperthermic</w:t>
            </w:r>
            <w:proofErr w:type="spellEnd"/>
            <w:r w:rsidRPr="006331B2">
              <w:rPr>
                <w:rFonts w:ascii="Century Gothic" w:hAnsi="Century Gothic" w:cstheme="minorHAnsi"/>
                <w:sz w:val="20"/>
                <w:szCs w:val="20"/>
              </w:rPr>
              <w:t xml:space="preserve"> </w:t>
            </w:r>
            <w:proofErr w:type="spellStart"/>
            <w:r w:rsidRPr="006331B2">
              <w:rPr>
                <w:rFonts w:ascii="Century Gothic" w:hAnsi="Century Gothic" w:cstheme="minorHAnsi"/>
                <w:sz w:val="20"/>
                <w:szCs w:val="20"/>
              </w:rPr>
              <w:t>Intraperitoneal</w:t>
            </w:r>
            <w:proofErr w:type="spellEnd"/>
            <w:r w:rsidRPr="006331B2">
              <w:rPr>
                <w:rFonts w:ascii="Century Gothic" w:hAnsi="Century Gothic" w:cstheme="minorHAnsi"/>
                <w:sz w:val="20"/>
                <w:szCs w:val="20"/>
              </w:rPr>
              <w:t xml:space="preserve"> </w:t>
            </w:r>
            <w:proofErr w:type="spellStart"/>
            <w:r w:rsidRPr="006331B2">
              <w:rPr>
                <w:rFonts w:ascii="Century Gothic" w:hAnsi="Century Gothic" w:cstheme="minorHAnsi"/>
                <w:sz w:val="20"/>
                <w:szCs w:val="20"/>
              </w:rPr>
              <w:t>Chemotherapy</w:t>
            </w:r>
            <w:proofErr w:type="spellEnd"/>
            <w:r w:rsidRPr="006331B2">
              <w:rPr>
                <w:rFonts w:ascii="Century Gothic" w:hAnsi="Century Gothic" w:cstheme="minorHAnsi"/>
                <w:sz w:val="20"/>
                <w:szCs w:val="20"/>
              </w:rPr>
              <w:t>:  </w:t>
            </w:r>
            <w:proofErr w:type="spellStart"/>
            <w:r w:rsidRPr="006331B2">
              <w:rPr>
                <w:rFonts w:ascii="Century Gothic" w:hAnsi="Century Gothic" w:cstheme="minorHAnsi"/>
                <w:sz w:val="20"/>
                <w:szCs w:val="20"/>
              </w:rPr>
              <w:t>hypertermická</w:t>
            </w:r>
            <w:proofErr w:type="spellEnd"/>
            <w:r w:rsidRPr="006331B2">
              <w:rPr>
                <w:rFonts w:ascii="Century Gothic" w:hAnsi="Century Gothic" w:cstheme="minorHAnsi"/>
                <w:sz w:val="20"/>
                <w:szCs w:val="20"/>
              </w:rPr>
              <w:t xml:space="preserve"> </w:t>
            </w:r>
            <w:proofErr w:type="spellStart"/>
            <w:r w:rsidRPr="006331B2">
              <w:rPr>
                <w:rFonts w:ascii="Century Gothic" w:hAnsi="Century Gothic" w:cstheme="minorHAnsi"/>
                <w:sz w:val="20"/>
                <w:szCs w:val="20"/>
              </w:rPr>
              <w:t>intraperitoneálna</w:t>
            </w:r>
            <w:proofErr w:type="spellEnd"/>
            <w:r w:rsidRPr="006331B2">
              <w:rPr>
                <w:rFonts w:ascii="Century Gothic" w:hAnsi="Century Gothic" w:cstheme="minorHAnsi"/>
                <w:sz w:val="20"/>
                <w:szCs w:val="20"/>
              </w:rPr>
              <w:t xml:space="preserve"> chemoterapia</w:t>
            </w:r>
          </w:p>
        </w:tc>
      </w:tr>
      <w:tr w:rsidR="00DD6421" w:rsidRPr="006331B2" w14:paraId="7A9B9A4B" w14:textId="77777777" w:rsidTr="000C2CE3">
        <w:tc>
          <w:tcPr>
            <w:tcW w:w="2258" w:type="dxa"/>
            <w:shd w:val="clear" w:color="auto" w:fill="BFBFBF" w:themeFill="background1" w:themeFillShade="BF"/>
          </w:tcPr>
          <w:p w14:paraId="737B37F3"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JIS</w:t>
            </w:r>
          </w:p>
        </w:tc>
        <w:tc>
          <w:tcPr>
            <w:tcW w:w="6784" w:type="dxa"/>
            <w:shd w:val="clear" w:color="auto" w:fill="BFBFBF" w:themeFill="background1" w:themeFillShade="BF"/>
          </w:tcPr>
          <w:p w14:paraId="591E4DCD"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Jednotka intenzívnej starostlivosti</w:t>
            </w:r>
          </w:p>
        </w:tc>
      </w:tr>
      <w:tr w:rsidR="00DD6421" w:rsidRPr="006331B2" w14:paraId="66A1DC75" w14:textId="77777777" w:rsidTr="000C2CE3">
        <w:tc>
          <w:tcPr>
            <w:tcW w:w="2258" w:type="dxa"/>
            <w:shd w:val="clear" w:color="auto" w:fill="BFBFBF" w:themeFill="background1" w:themeFillShade="BF"/>
          </w:tcPr>
          <w:p w14:paraId="3E7B33DF"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JRSN</w:t>
            </w:r>
          </w:p>
        </w:tc>
        <w:tc>
          <w:tcPr>
            <w:tcW w:w="6784" w:type="dxa"/>
            <w:shd w:val="clear" w:color="auto" w:fill="BFBFBF" w:themeFill="background1" w:themeFillShade="BF"/>
          </w:tcPr>
          <w:p w14:paraId="1781B8F9"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Jednotka resuscitačnej starostlivosti o novorodencov</w:t>
            </w:r>
          </w:p>
        </w:tc>
      </w:tr>
      <w:tr w:rsidR="00DD6421" w:rsidRPr="006331B2" w14:paraId="5C3C70B0" w14:textId="77777777" w:rsidTr="000C2CE3">
        <w:tc>
          <w:tcPr>
            <w:tcW w:w="2258" w:type="dxa"/>
            <w:shd w:val="clear" w:color="auto" w:fill="BFBFBF" w:themeFill="background1" w:themeFillShade="BF"/>
          </w:tcPr>
          <w:p w14:paraId="6A935097"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JZS</w:t>
            </w:r>
          </w:p>
        </w:tc>
        <w:tc>
          <w:tcPr>
            <w:tcW w:w="6784" w:type="dxa"/>
            <w:shd w:val="clear" w:color="auto" w:fill="BFBFBF" w:themeFill="background1" w:themeFillShade="BF"/>
          </w:tcPr>
          <w:p w14:paraId="308793C3"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Jednodňová zdravotná starostlivosť</w:t>
            </w:r>
          </w:p>
        </w:tc>
      </w:tr>
      <w:tr w:rsidR="00DD6421" w:rsidRPr="006331B2" w14:paraId="490FF3AB" w14:textId="77777777" w:rsidTr="000C2CE3">
        <w:tc>
          <w:tcPr>
            <w:tcW w:w="2258" w:type="dxa"/>
            <w:shd w:val="clear" w:color="auto" w:fill="BFBFBF" w:themeFill="background1" w:themeFillShade="BF"/>
          </w:tcPr>
          <w:p w14:paraId="15BBE968"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LSPP</w:t>
            </w:r>
          </w:p>
        </w:tc>
        <w:tc>
          <w:tcPr>
            <w:tcW w:w="6784" w:type="dxa"/>
            <w:shd w:val="clear" w:color="auto" w:fill="BFBFBF" w:themeFill="background1" w:themeFillShade="BF"/>
          </w:tcPr>
          <w:p w14:paraId="64F5E99C" w14:textId="77777777" w:rsidR="00DD6421" w:rsidRDefault="00DD6421" w:rsidP="00DD6421">
            <w:pPr>
              <w:jc w:val="left"/>
              <w:rPr>
                <w:rFonts w:ascii="Century Gothic" w:hAnsi="Century Gothic" w:cstheme="minorHAnsi"/>
                <w:sz w:val="20"/>
                <w:szCs w:val="20"/>
              </w:rPr>
            </w:pPr>
            <w:r>
              <w:rPr>
                <w:rFonts w:ascii="Century Gothic" w:hAnsi="Century Gothic" w:cstheme="minorHAnsi"/>
                <w:sz w:val="20"/>
                <w:szCs w:val="20"/>
              </w:rPr>
              <w:t>Lekárska služba prvej pomoci</w:t>
            </w:r>
          </w:p>
        </w:tc>
      </w:tr>
      <w:tr w:rsidR="00DD6421" w:rsidRPr="006331B2" w14:paraId="7E4437B3" w14:textId="77777777" w:rsidTr="000C2CE3">
        <w:tc>
          <w:tcPr>
            <w:tcW w:w="2258" w:type="dxa"/>
            <w:shd w:val="clear" w:color="auto" w:fill="BFBFBF" w:themeFill="background1" w:themeFillShade="BF"/>
          </w:tcPr>
          <w:p w14:paraId="0403B37A"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MZSR</w:t>
            </w:r>
          </w:p>
        </w:tc>
        <w:tc>
          <w:tcPr>
            <w:tcW w:w="6784" w:type="dxa"/>
            <w:shd w:val="clear" w:color="auto" w:fill="BFBFBF" w:themeFill="background1" w:themeFillShade="BF"/>
          </w:tcPr>
          <w:p w14:paraId="1D090652" w14:textId="77777777" w:rsidR="00DD6421" w:rsidRDefault="00DD6421" w:rsidP="00DD6421">
            <w:pPr>
              <w:jc w:val="left"/>
              <w:rPr>
                <w:rFonts w:ascii="Century Gothic" w:hAnsi="Century Gothic" w:cstheme="minorHAnsi"/>
                <w:sz w:val="20"/>
                <w:szCs w:val="20"/>
              </w:rPr>
            </w:pPr>
            <w:r>
              <w:rPr>
                <w:rFonts w:ascii="Century Gothic" w:hAnsi="Century Gothic" w:cstheme="minorHAnsi"/>
                <w:sz w:val="20"/>
                <w:szCs w:val="20"/>
              </w:rPr>
              <w:t>Ministerstvo zdravotníctva Slovenskej republiky</w:t>
            </w:r>
          </w:p>
        </w:tc>
      </w:tr>
      <w:tr w:rsidR="00DD6421" w:rsidRPr="006331B2" w14:paraId="0BD73597" w14:textId="77777777" w:rsidTr="000C2CE3">
        <w:tc>
          <w:tcPr>
            <w:tcW w:w="2258" w:type="dxa"/>
            <w:shd w:val="clear" w:color="auto" w:fill="BFBFBF" w:themeFill="background1" w:themeFillShade="BF"/>
          </w:tcPr>
          <w:p w14:paraId="1A19CBE9"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NCMP</w:t>
            </w:r>
          </w:p>
        </w:tc>
        <w:tc>
          <w:tcPr>
            <w:tcW w:w="6784" w:type="dxa"/>
            <w:shd w:val="clear" w:color="auto" w:fill="BFBFBF" w:themeFill="background1" w:themeFillShade="BF"/>
          </w:tcPr>
          <w:p w14:paraId="6AB0631D" w14:textId="77777777" w:rsidR="00DD6421" w:rsidRDefault="00DD6421" w:rsidP="00DD6421">
            <w:pPr>
              <w:jc w:val="left"/>
              <w:rPr>
                <w:rFonts w:ascii="Century Gothic" w:hAnsi="Century Gothic" w:cstheme="minorHAnsi"/>
                <w:sz w:val="20"/>
                <w:szCs w:val="20"/>
              </w:rPr>
            </w:pPr>
            <w:r>
              <w:rPr>
                <w:rFonts w:ascii="Century Gothic" w:hAnsi="Century Gothic" w:cstheme="minorHAnsi"/>
                <w:sz w:val="20"/>
                <w:szCs w:val="20"/>
              </w:rPr>
              <w:t>Náhle cievne mozgové príhody</w:t>
            </w:r>
          </w:p>
        </w:tc>
      </w:tr>
      <w:tr w:rsidR="00DD6421" w:rsidRPr="006331B2" w14:paraId="5D6B1B86" w14:textId="77777777" w:rsidTr="000C2CE3">
        <w:tc>
          <w:tcPr>
            <w:tcW w:w="2258" w:type="dxa"/>
            <w:shd w:val="clear" w:color="auto" w:fill="BFBFBF" w:themeFill="background1" w:themeFillShade="BF"/>
          </w:tcPr>
          <w:p w14:paraId="5A2FA477"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NMR</w:t>
            </w:r>
          </w:p>
        </w:tc>
        <w:tc>
          <w:tcPr>
            <w:tcW w:w="6784" w:type="dxa"/>
            <w:shd w:val="clear" w:color="auto" w:fill="BFBFBF" w:themeFill="background1" w:themeFillShade="BF"/>
          </w:tcPr>
          <w:p w14:paraId="70C5556D"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Nukleárna magnetická rezonancia</w:t>
            </w:r>
          </w:p>
        </w:tc>
      </w:tr>
      <w:tr w:rsidR="00DD6421" w:rsidRPr="006331B2" w14:paraId="7819E71D" w14:textId="77777777" w:rsidTr="000C2CE3">
        <w:tc>
          <w:tcPr>
            <w:tcW w:w="2258" w:type="dxa"/>
            <w:shd w:val="clear" w:color="auto" w:fill="BFBFBF" w:themeFill="background1" w:themeFillShade="BF"/>
          </w:tcPr>
          <w:p w14:paraId="16A85CC5"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OAIM</w:t>
            </w:r>
          </w:p>
        </w:tc>
        <w:tc>
          <w:tcPr>
            <w:tcW w:w="6784" w:type="dxa"/>
            <w:shd w:val="clear" w:color="auto" w:fill="BFBFBF" w:themeFill="background1" w:themeFillShade="BF"/>
          </w:tcPr>
          <w:p w14:paraId="53FBA5F1" w14:textId="77777777" w:rsidR="00DD6421" w:rsidRPr="006331B2" w:rsidRDefault="00DD6421" w:rsidP="00DD6421">
            <w:pPr>
              <w:jc w:val="left"/>
              <w:rPr>
                <w:rFonts w:ascii="Century Gothic" w:hAnsi="Century Gothic" w:cstheme="minorHAnsi"/>
                <w:sz w:val="20"/>
                <w:szCs w:val="20"/>
              </w:rPr>
            </w:pPr>
            <w:r w:rsidRPr="006331B2">
              <w:rPr>
                <w:rFonts w:ascii="Century Gothic" w:hAnsi="Century Gothic" w:cstheme="minorHAnsi"/>
                <w:sz w:val="20"/>
                <w:szCs w:val="20"/>
              </w:rPr>
              <w:t>Oddelenie anestéziológie a intenzívnej medicíny</w:t>
            </w:r>
          </w:p>
        </w:tc>
      </w:tr>
      <w:tr w:rsidR="00DD6421" w:rsidRPr="006331B2" w14:paraId="6E9A71F9" w14:textId="77777777" w:rsidTr="000C2CE3">
        <w:tc>
          <w:tcPr>
            <w:tcW w:w="2258" w:type="dxa"/>
            <w:shd w:val="clear" w:color="auto" w:fill="BFBFBF" w:themeFill="background1" w:themeFillShade="BF"/>
          </w:tcPr>
          <w:p w14:paraId="14C43834"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ORL</w:t>
            </w:r>
          </w:p>
        </w:tc>
        <w:tc>
          <w:tcPr>
            <w:tcW w:w="6784" w:type="dxa"/>
            <w:shd w:val="clear" w:color="auto" w:fill="BFBFBF" w:themeFill="background1" w:themeFillShade="BF"/>
          </w:tcPr>
          <w:p w14:paraId="46ACCF53" w14:textId="77777777" w:rsidR="00DD6421" w:rsidRPr="006331B2" w:rsidRDefault="003F238F" w:rsidP="00DD6421">
            <w:pPr>
              <w:jc w:val="left"/>
              <w:rPr>
                <w:rFonts w:ascii="Century Gothic" w:hAnsi="Century Gothic" w:cstheme="minorHAnsi"/>
                <w:sz w:val="20"/>
                <w:szCs w:val="20"/>
              </w:rPr>
            </w:pPr>
            <w:hyperlink r:id="rId12" w:history="1">
              <w:proofErr w:type="spellStart"/>
              <w:r w:rsidR="00DD6421" w:rsidRPr="006331B2">
                <w:rPr>
                  <w:rFonts w:ascii="Century Gothic" w:hAnsi="Century Gothic" w:cstheme="minorHAnsi"/>
                  <w:sz w:val="20"/>
                  <w:szCs w:val="20"/>
                </w:rPr>
                <w:t>Otorinolaryngológia</w:t>
              </w:r>
              <w:proofErr w:type="spellEnd"/>
            </w:hyperlink>
          </w:p>
        </w:tc>
      </w:tr>
      <w:tr w:rsidR="00DD6421" w:rsidRPr="006331B2" w14:paraId="3962EEA0" w14:textId="77777777" w:rsidTr="000C2CE3">
        <w:tc>
          <w:tcPr>
            <w:tcW w:w="2258" w:type="dxa"/>
            <w:shd w:val="clear" w:color="auto" w:fill="BFBFBF" w:themeFill="background1" w:themeFillShade="BF"/>
          </w:tcPr>
          <w:p w14:paraId="361360F5"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OUM</w:t>
            </w:r>
          </w:p>
        </w:tc>
        <w:tc>
          <w:tcPr>
            <w:tcW w:w="6784" w:type="dxa"/>
            <w:shd w:val="clear" w:color="auto" w:fill="BFBFBF" w:themeFill="background1" w:themeFillShade="BF"/>
          </w:tcPr>
          <w:p w14:paraId="207B6874"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Oddelenie urgentnej medicíny</w:t>
            </w:r>
          </w:p>
        </w:tc>
      </w:tr>
      <w:tr w:rsidR="002F04B8" w:rsidRPr="006331B2" w14:paraId="1BE2B4C8" w14:textId="77777777" w:rsidTr="000C2CE3">
        <w:tc>
          <w:tcPr>
            <w:tcW w:w="2258" w:type="dxa"/>
            <w:shd w:val="clear" w:color="auto" w:fill="BFBFBF" w:themeFill="background1" w:themeFillShade="BF"/>
          </w:tcPr>
          <w:p w14:paraId="7D5FD6AD" w14:textId="269E0238" w:rsidR="002F04B8" w:rsidRPr="006331B2" w:rsidRDefault="002F04B8" w:rsidP="00DD6421">
            <w:pPr>
              <w:rPr>
                <w:rFonts w:ascii="Century Gothic" w:hAnsi="Century Gothic" w:cstheme="minorHAnsi"/>
                <w:sz w:val="20"/>
                <w:szCs w:val="20"/>
              </w:rPr>
            </w:pPr>
            <w:r>
              <w:rPr>
                <w:rFonts w:ascii="Century Gothic" w:hAnsi="Century Gothic" w:cstheme="minorHAnsi"/>
                <w:sz w:val="20"/>
                <w:szCs w:val="20"/>
              </w:rPr>
              <w:t>POO</w:t>
            </w:r>
          </w:p>
        </w:tc>
        <w:tc>
          <w:tcPr>
            <w:tcW w:w="6784" w:type="dxa"/>
            <w:shd w:val="clear" w:color="auto" w:fill="BFBFBF" w:themeFill="background1" w:themeFillShade="BF"/>
          </w:tcPr>
          <w:p w14:paraId="60BBB384" w14:textId="07EF89A4" w:rsidR="002F04B8" w:rsidRPr="006331B2" w:rsidRDefault="002F04B8" w:rsidP="00DD6421">
            <w:pPr>
              <w:rPr>
                <w:rFonts w:ascii="Century Gothic" w:hAnsi="Century Gothic" w:cstheme="minorHAnsi"/>
                <w:sz w:val="20"/>
                <w:szCs w:val="20"/>
              </w:rPr>
            </w:pPr>
            <w:r>
              <w:rPr>
                <w:rFonts w:ascii="Century Gothic" w:hAnsi="Century Gothic" w:cstheme="minorHAnsi"/>
                <w:sz w:val="20"/>
                <w:szCs w:val="20"/>
              </w:rPr>
              <w:t>Plán obnovy a odolnosti</w:t>
            </w:r>
          </w:p>
        </w:tc>
      </w:tr>
      <w:tr w:rsidR="002679C1" w:rsidRPr="006331B2" w14:paraId="136A3A24" w14:textId="77777777" w:rsidTr="000C2CE3">
        <w:tc>
          <w:tcPr>
            <w:tcW w:w="2258" w:type="dxa"/>
            <w:shd w:val="clear" w:color="auto" w:fill="BFBFBF" w:themeFill="background1" w:themeFillShade="BF"/>
          </w:tcPr>
          <w:p w14:paraId="33468D4C" w14:textId="15F9C814" w:rsidR="002679C1" w:rsidRDefault="002679C1" w:rsidP="00DD6421">
            <w:pPr>
              <w:rPr>
                <w:rFonts w:ascii="Century Gothic" w:hAnsi="Century Gothic" w:cstheme="minorHAnsi"/>
                <w:sz w:val="20"/>
                <w:szCs w:val="20"/>
              </w:rPr>
            </w:pPr>
            <w:r>
              <w:rPr>
                <w:rFonts w:ascii="Century Gothic" w:hAnsi="Century Gothic" w:cstheme="minorHAnsi"/>
                <w:sz w:val="20"/>
                <w:szCs w:val="20"/>
              </w:rPr>
              <w:t>PUM</w:t>
            </w:r>
          </w:p>
        </w:tc>
        <w:tc>
          <w:tcPr>
            <w:tcW w:w="6784" w:type="dxa"/>
            <w:shd w:val="clear" w:color="auto" w:fill="BFBFBF" w:themeFill="background1" w:themeFillShade="BF"/>
          </w:tcPr>
          <w:p w14:paraId="34A75B66" w14:textId="41FA3722" w:rsidR="002679C1" w:rsidRDefault="002679C1" w:rsidP="00DD6421">
            <w:pPr>
              <w:rPr>
                <w:rFonts w:ascii="Century Gothic" w:hAnsi="Century Gothic" w:cstheme="minorHAnsi"/>
                <w:sz w:val="20"/>
                <w:szCs w:val="20"/>
              </w:rPr>
            </w:pPr>
            <w:r>
              <w:rPr>
                <w:rFonts w:ascii="Century Gothic" w:hAnsi="Century Gothic" w:cstheme="minorHAnsi"/>
                <w:sz w:val="20"/>
                <w:szCs w:val="20"/>
              </w:rPr>
              <w:t>Pavilón urgentnej medicíny</w:t>
            </w:r>
          </w:p>
        </w:tc>
      </w:tr>
      <w:tr w:rsidR="00DD6421" w:rsidRPr="006331B2" w14:paraId="30241DB7" w14:textId="77777777" w:rsidTr="000C2CE3">
        <w:tc>
          <w:tcPr>
            <w:tcW w:w="2258" w:type="dxa"/>
            <w:shd w:val="clear" w:color="auto" w:fill="BFBFBF" w:themeFill="background1" w:themeFillShade="BF"/>
          </w:tcPr>
          <w:p w14:paraId="23694AB7"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RLP</w:t>
            </w:r>
          </w:p>
        </w:tc>
        <w:tc>
          <w:tcPr>
            <w:tcW w:w="6784" w:type="dxa"/>
            <w:shd w:val="clear" w:color="auto" w:fill="BFBFBF" w:themeFill="background1" w:themeFillShade="BF"/>
          </w:tcPr>
          <w:p w14:paraId="1964191D"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Rýchla lekárska pomoc</w:t>
            </w:r>
          </w:p>
        </w:tc>
      </w:tr>
      <w:tr w:rsidR="00DD6421" w:rsidRPr="006331B2" w14:paraId="49076FD0" w14:textId="77777777" w:rsidTr="000C2CE3">
        <w:tc>
          <w:tcPr>
            <w:tcW w:w="2258" w:type="dxa"/>
            <w:shd w:val="clear" w:color="auto" w:fill="BFBFBF" w:themeFill="background1" w:themeFillShade="BF"/>
          </w:tcPr>
          <w:p w14:paraId="7494C773"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RTG</w:t>
            </w:r>
          </w:p>
        </w:tc>
        <w:tc>
          <w:tcPr>
            <w:tcW w:w="6784" w:type="dxa"/>
            <w:shd w:val="clear" w:color="auto" w:fill="BFBFBF" w:themeFill="background1" w:themeFillShade="BF"/>
          </w:tcPr>
          <w:p w14:paraId="0AB47C0B"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Röntgenový prístroj, röntgen</w:t>
            </w:r>
          </w:p>
        </w:tc>
      </w:tr>
      <w:tr w:rsidR="00DD6421" w:rsidRPr="006331B2" w14:paraId="2076FAF3" w14:textId="77777777" w:rsidTr="000C2CE3">
        <w:tc>
          <w:tcPr>
            <w:tcW w:w="2258" w:type="dxa"/>
            <w:shd w:val="clear" w:color="auto" w:fill="BFBFBF" w:themeFill="background1" w:themeFillShade="BF"/>
          </w:tcPr>
          <w:p w14:paraId="3D5952C8"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RZP</w:t>
            </w:r>
          </w:p>
        </w:tc>
        <w:tc>
          <w:tcPr>
            <w:tcW w:w="6784" w:type="dxa"/>
            <w:shd w:val="clear" w:color="auto" w:fill="BFBFBF" w:themeFill="background1" w:themeFillShade="BF"/>
          </w:tcPr>
          <w:p w14:paraId="26C9A2CB"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Rýchla zdravotná pomoc</w:t>
            </w:r>
          </w:p>
        </w:tc>
      </w:tr>
      <w:tr w:rsidR="00DD6421" w:rsidRPr="006331B2" w14:paraId="4D0AD660" w14:textId="77777777" w:rsidTr="000C2CE3">
        <w:tc>
          <w:tcPr>
            <w:tcW w:w="2258" w:type="dxa"/>
            <w:shd w:val="clear" w:color="auto" w:fill="BFBFBF" w:themeFill="background1" w:themeFillShade="BF"/>
          </w:tcPr>
          <w:p w14:paraId="0F85EE68"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SR</w:t>
            </w:r>
          </w:p>
        </w:tc>
        <w:tc>
          <w:tcPr>
            <w:tcW w:w="6784" w:type="dxa"/>
            <w:shd w:val="clear" w:color="auto" w:fill="BFBFBF" w:themeFill="background1" w:themeFillShade="BF"/>
          </w:tcPr>
          <w:p w14:paraId="2017D31E"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Slovenská republika</w:t>
            </w:r>
          </w:p>
        </w:tc>
      </w:tr>
      <w:tr w:rsidR="00DD6421" w:rsidRPr="006331B2" w14:paraId="7769F25D" w14:textId="77777777" w:rsidTr="000C2CE3">
        <w:tc>
          <w:tcPr>
            <w:tcW w:w="2258" w:type="dxa"/>
            <w:shd w:val="clear" w:color="auto" w:fill="BFBFBF" w:themeFill="background1" w:themeFillShade="BF"/>
          </w:tcPr>
          <w:p w14:paraId="33CF0EB9" w14:textId="77777777" w:rsidR="00DD6421" w:rsidRPr="006331B2" w:rsidRDefault="00DD6421" w:rsidP="00DD6421">
            <w:pPr>
              <w:rPr>
                <w:rFonts w:ascii="Century Gothic" w:hAnsi="Century Gothic" w:cstheme="minorHAnsi"/>
                <w:sz w:val="20"/>
                <w:szCs w:val="20"/>
              </w:rPr>
            </w:pPr>
            <w:proofErr w:type="spellStart"/>
            <w:r w:rsidRPr="006331B2">
              <w:rPr>
                <w:rFonts w:ascii="Century Gothic" w:hAnsi="Century Gothic" w:cstheme="minorHAnsi"/>
                <w:sz w:val="20"/>
                <w:szCs w:val="20"/>
              </w:rPr>
              <w:t>SVaLZ</w:t>
            </w:r>
            <w:proofErr w:type="spellEnd"/>
            <w:r w:rsidRPr="006331B2">
              <w:rPr>
                <w:rFonts w:ascii="Century Gothic" w:hAnsi="Century Gothic" w:cstheme="minorHAnsi"/>
                <w:sz w:val="20"/>
                <w:szCs w:val="20"/>
              </w:rPr>
              <w:t xml:space="preserve">  </w:t>
            </w:r>
          </w:p>
        </w:tc>
        <w:tc>
          <w:tcPr>
            <w:tcW w:w="6784" w:type="dxa"/>
            <w:shd w:val="clear" w:color="auto" w:fill="BFBFBF" w:themeFill="background1" w:themeFillShade="BF"/>
          </w:tcPr>
          <w:p w14:paraId="29748DA0"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Spoločné vyšetrovacie a liečebné zložky</w:t>
            </w:r>
          </w:p>
        </w:tc>
      </w:tr>
      <w:tr w:rsidR="00DD6421" w:rsidRPr="006331B2" w14:paraId="36251C50" w14:textId="77777777" w:rsidTr="000C2CE3">
        <w:tc>
          <w:tcPr>
            <w:tcW w:w="2258" w:type="dxa"/>
            <w:shd w:val="clear" w:color="auto" w:fill="BFBFBF" w:themeFill="background1" w:themeFillShade="BF"/>
          </w:tcPr>
          <w:p w14:paraId="3683BF50"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ŠZM</w:t>
            </w:r>
          </w:p>
        </w:tc>
        <w:tc>
          <w:tcPr>
            <w:tcW w:w="6784" w:type="dxa"/>
            <w:shd w:val="clear" w:color="auto" w:fill="BFBFBF" w:themeFill="background1" w:themeFillShade="BF"/>
          </w:tcPr>
          <w:p w14:paraId="774F3EB2"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Špeciálny zdravotnícky materiál</w:t>
            </w:r>
          </w:p>
        </w:tc>
      </w:tr>
      <w:tr w:rsidR="00DD6421" w:rsidRPr="006331B2" w14:paraId="063509EC" w14:textId="77777777" w:rsidTr="000C2CE3">
        <w:tc>
          <w:tcPr>
            <w:tcW w:w="2258" w:type="dxa"/>
            <w:shd w:val="clear" w:color="auto" w:fill="BFBFBF" w:themeFill="background1" w:themeFillShade="BF"/>
          </w:tcPr>
          <w:p w14:paraId="38E94888" w14:textId="277BF228" w:rsidR="00DD6421" w:rsidRPr="006331B2" w:rsidRDefault="00DD6421" w:rsidP="00DD6421">
            <w:pPr>
              <w:rPr>
                <w:rFonts w:ascii="Century Gothic" w:hAnsi="Century Gothic" w:cstheme="minorHAnsi"/>
                <w:sz w:val="20"/>
                <w:szCs w:val="20"/>
              </w:rPr>
            </w:pPr>
            <w:r>
              <w:rPr>
                <w:rFonts w:ascii="Century Gothic" w:hAnsi="Century Gothic" w:cstheme="minorHAnsi"/>
                <w:sz w:val="20"/>
                <w:szCs w:val="20"/>
              </w:rPr>
              <w:t>TBC</w:t>
            </w:r>
          </w:p>
        </w:tc>
        <w:tc>
          <w:tcPr>
            <w:tcW w:w="6784" w:type="dxa"/>
            <w:shd w:val="clear" w:color="auto" w:fill="BFBFBF" w:themeFill="background1" w:themeFillShade="BF"/>
          </w:tcPr>
          <w:p w14:paraId="6890630E" w14:textId="4E6C3752" w:rsidR="00DD6421" w:rsidRPr="006331B2" w:rsidRDefault="00DD6421" w:rsidP="00DD6421">
            <w:pPr>
              <w:rPr>
                <w:rFonts w:ascii="Century Gothic" w:hAnsi="Century Gothic" w:cstheme="minorHAnsi"/>
                <w:sz w:val="20"/>
                <w:szCs w:val="20"/>
              </w:rPr>
            </w:pPr>
            <w:r>
              <w:rPr>
                <w:rFonts w:ascii="Century Gothic" w:hAnsi="Century Gothic" w:cstheme="minorHAnsi"/>
                <w:sz w:val="20"/>
                <w:szCs w:val="20"/>
              </w:rPr>
              <w:t xml:space="preserve">Tuberkulóza </w:t>
            </w:r>
          </w:p>
        </w:tc>
      </w:tr>
      <w:tr w:rsidR="00DD6421" w:rsidRPr="006331B2" w14:paraId="457130AF" w14:textId="77777777" w:rsidTr="000C2CE3">
        <w:tc>
          <w:tcPr>
            <w:tcW w:w="2258" w:type="dxa"/>
            <w:shd w:val="clear" w:color="auto" w:fill="BFBFBF" w:themeFill="background1" w:themeFillShade="BF"/>
          </w:tcPr>
          <w:p w14:paraId="48BC0766"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UDS</w:t>
            </w:r>
          </w:p>
        </w:tc>
        <w:tc>
          <w:tcPr>
            <w:tcW w:w="6784" w:type="dxa"/>
            <w:shd w:val="clear" w:color="auto" w:fill="BFBFBF" w:themeFill="background1" w:themeFillShade="BF"/>
          </w:tcPr>
          <w:p w14:paraId="7074A1D4" w14:textId="77777777" w:rsidR="00DD6421" w:rsidRPr="006331B2" w:rsidRDefault="00DD6421" w:rsidP="00DD6421">
            <w:pPr>
              <w:rPr>
                <w:rFonts w:ascii="Century Gothic" w:hAnsi="Century Gothic" w:cstheme="minorHAnsi"/>
                <w:sz w:val="20"/>
                <w:szCs w:val="20"/>
              </w:rPr>
            </w:pPr>
            <w:proofErr w:type="spellStart"/>
            <w:r w:rsidRPr="006331B2">
              <w:rPr>
                <w:rFonts w:ascii="Century Gothic" w:hAnsi="Century Gothic" w:cstheme="minorHAnsi"/>
                <w:sz w:val="20"/>
                <w:szCs w:val="20"/>
              </w:rPr>
              <w:t>Unit</w:t>
            </w:r>
            <w:proofErr w:type="spellEnd"/>
            <w:r w:rsidRPr="006331B2">
              <w:rPr>
                <w:rFonts w:ascii="Century Gothic" w:hAnsi="Century Gothic" w:cstheme="minorHAnsi"/>
                <w:sz w:val="20"/>
                <w:szCs w:val="20"/>
              </w:rPr>
              <w:t xml:space="preserve"> </w:t>
            </w:r>
            <w:proofErr w:type="spellStart"/>
            <w:r w:rsidRPr="006331B2">
              <w:rPr>
                <w:rFonts w:ascii="Century Gothic" w:hAnsi="Century Gothic" w:cstheme="minorHAnsi"/>
                <w:sz w:val="20"/>
                <w:szCs w:val="20"/>
              </w:rPr>
              <w:t>Dose</w:t>
            </w:r>
            <w:proofErr w:type="spellEnd"/>
            <w:r w:rsidRPr="006331B2">
              <w:rPr>
                <w:rFonts w:ascii="Century Gothic" w:hAnsi="Century Gothic" w:cstheme="minorHAnsi"/>
                <w:sz w:val="20"/>
                <w:szCs w:val="20"/>
              </w:rPr>
              <w:t xml:space="preserve"> </w:t>
            </w:r>
            <w:proofErr w:type="spellStart"/>
            <w:r w:rsidRPr="006331B2">
              <w:rPr>
                <w:rFonts w:ascii="Century Gothic" w:hAnsi="Century Gothic" w:cstheme="minorHAnsi"/>
                <w:sz w:val="20"/>
                <w:szCs w:val="20"/>
              </w:rPr>
              <w:t>System</w:t>
            </w:r>
            <w:proofErr w:type="spellEnd"/>
          </w:p>
        </w:tc>
      </w:tr>
      <w:tr w:rsidR="00DD6421" w:rsidRPr="006331B2" w14:paraId="4BCC6123" w14:textId="77777777" w:rsidTr="000C2CE3">
        <w:tc>
          <w:tcPr>
            <w:tcW w:w="2258" w:type="dxa"/>
            <w:shd w:val="clear" w:color="auto" w:fill="BFBFBF" w:themeFill="background1" w:themeFillShade="BF"/>
          </w:tcPr>
          <w:p w14:paraId="22658E5B"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ÚDZS</w:t>
            </w:r>
          </w:p>
        </w:tc>
        <w:tc>
          <w:tcPr>
            <w:tcW w:w="6784" w:type="dxa"/>
            <w:shd w:val="clear" w:color="auto" w:fill="BFBFBF" w:themeFill="background1" w:themeFillShade="BF"/>
          </w:tcPr>
          <w:p w14:paraId="2D12F84D"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Úrad pre dohľad nad zdravotnou starostlivosťou</w:t>
            </w:r>
          </w:p>
        </w:tc>
      </w:tr>
      <w:tr w:rsidR="00DD6421" w:rsidRPr="006331B2" w14:paraId="24E538DA" w14:textId="77777777" w:rsidTr="000C2CE3">
        <w:tc>
          <w:tcPr>
            <w:tcW w:w="2258" w:type="dxa"/>
            <w:shd w:val="clear" w:color="auto" w:fill="BFBFBF" w:themeFill="background1" w:themeFillShade="BF"/>
          </w:tcPr>
          <w:p w14:paraId="726D7404"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UM</w:t>
            </w:r>
          </w:p>
        </w:tc>
        <w:tc>
          <w:tcPr>
            <w:tcW w:w="6784" w:type="dxa"/>
            <w:shd w:val="clear" w:color="auto" w:fill="BFBFBF" w:themeFill="background1" w:themeFillShade="BF"/>
          </w:tcPr>
          <w:p w14:paraId="6C08B3C3" w14:textId="77777777" w:rsidR="00DD6421" w:rsidRPr="006331B2" w:rsidRDefault="00DD6421" w:rsidP="00DD6421">
            <w:pPr>
              <w:jc w:val="left"/>
              <w:rPr>
                <w:rFonts w:ascii="Century Gothic" w:hAnsi="Century Gothic" w:cstheme="minorHAnsi"/>
                <w:sz w:val="20"/>
                <w:szCs w:val="20"/>
              </w:rPr>
            </w:pPr>
            <w:r w:rsidRPr="006331B2">
              <w:rPr>
                <w:rFonts w:ascii="Century Gothic" w:hAnsi="Century Gothic" w:cstheme="minorHAnsi"/>
                <w:sz w:val="20"/>
                <w:szCs w:val="20"/>
              </w:rPr>
              <w:t>Urgentná medicína</w:t>
            </w:r>
          </w:p>
        </w:tc>
      </w:tr>
      <w:tr w:rsidR="00DD6421" w:rsidRPr="006331B2" w14:paraId="27696A3E" w14:textId="77777777" w:rsidTr="000C2CE3">
        <w:tc>
          <w:tcPr>
            <w:tcW w:w="2258" w:type="dxa"/>
            <w:shd w:val="clear" w:color="auto" w:fill="BFBFBF" w:themeFill="background1" w:themeFillShade="BF"/>
          </w:tcPr>
          <w:p w14:paraId="08C2C429"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ÚPS</w:t>
            </w:r>
          </w:p>
        </w:tc>
        <w:tc>
          <w:tcPr>
            <w:tcW w:w="6784" w:type="dxa"/>
            <w:shd w:val="clear" w:color="auto" w:fill="BFBFBF" w:themeFill="background1" w:themeFillShade="BF"/>
          </w:tcPr>
          <w:p w14:paraId="32EC1EE1" w14:textId="77777777" w:rsidR="00DD6421" w:rsidRPr="00A323AF" w:rsidRDefault="00DD6421" w:rsidP="00DD6421">
            <w:pPr>
              <w:jc w:val="left"/>
              <w:rPr>
                <w:rFonts w:ascii="Century Gothic" w:hAnsi="Century Gothic" w:cstheme="minorHAnsi"/>
                <w:sz w:val="20"/>
                <w:szCs w:val="20"/>
              </w:rPr>
            </w:pPr>
            <w:r>
              <w:rPr>
                <w:rFonts w:ascii="Century Gothic" w:hAnsi="Century Gothic" w:cstheme="minorHAnsi"/>
                <w:sz w:val="20"/>
                <w:szCs w:val="20"/>
              </w:rPr>
              <w:t>Ústavná</w:t>
            </w:r>
            <w:r w:rsidRPr="00A323AF">
              <w:rPr>
                <w:rFonts w:ascii="Century Gothic" w:hAnsi="Century Gothic" w:cstheme="minorHAnsi"/>
                <w:sz w:val="20"/>
                <w:szCs w:val="20"/>
              </w:rPr>
              <w:t xml:space="preserve"> pohotovostn</w:t>
            </w:r>
            <w:r>
              <w:rPr>
                <w:rFonts w:ascii="Century Gothic" w:hAnsi="Century Gothic" w:cstheme="minorHAnsi"/>
                <w:sz w:val="20"/>
                <w:szCs w:val="20"/>
              </w:rPr>
              <w:t>á</w:t>
            </w:r>
            <w:r w:rsidRPr="00A323AF">
              <w:rPr>
                <w:rFonts w:ascii="Century Gothic" w:hAnsi="Century Gothic" w:cstheme="minorHAnsi"/>
                <w:sz w:val="20"/>
                <w:szCs w:val="20"/>
              </w:rPr>
              <w:t xml:space="preserve"> služb</w:t>
            </w:r>
            <w:r>
              <w:rPr>
                <w:rFonts w:ascii="Century Gothic" w:hAnsi="Century Gothic" w:cstheme="minorHAnsi"/>
                <w:sz w:val="20"/>
                <w:szCs w:val="20"/>
              </w:rPr>
              <w:t>a</w:t>
            </w:r>
          </w:p>
        </w:tc>
      </w:tr>
      <w:tr w:rsidR="00DD6421" w:rsidRPr="006331B2" w14:paraId="31BE5A35" w14:textId="77777777" w:rsidTr="000C2CE3">
        <w:tc>
          <w:tcPr>
            <w:tcW w:w="2258" w:type="dxa"/>
            <w:shd w:val="clear" w:color="auto" w:fill="BFBFBF" w:themeFill="background1" w:themeFillShade="BF"/>
          </w:tcPr>
          <w:p w14:paraId="3D35BAD8"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USG</w:t>
            </w:r>
          </w:p>
        </w:tc>
        <w:tc>
          <w:tcPr>
            <w:tcW w:w="6784" w:type="dxa"/>
            <w:shd w:val="clear" w:color="auto" w:fill="BFBFBF" w:themeFill="background1" w:themeFillShade="BF"/>
          </w:tcPr>
          <w:p w14:paraId="514DD3AC"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Ultrazvukový skener</w:t>
            </w:r>
          </w:p>
        </w:tc>
      </w:tr>
      <w:tr w:rsidR="00DD6421" w:rsidRPr="006331B2" w14:paraId="63256B64" w14:textId="77777777" w:rsidTr="000C2CE3">
        <w:tc>
          <w:tcPr>
            <w:tcW w:w="2258" w:type="dxa"/>
            <w:shd w:val="clear" w:color="auto" w:fill="BFBFBF" w:themeFill="background1" w:themeFillShade="BF"/>
          </w:tcPr>
          <w:p w14:paraId="6E976C3B" w14:textId="77777777" w:rsidR="00DD6421" w:rsidRPr="001702DD" w:rsidRDefault="00DD6421" w:rsidP="00DD6421">
            <w:pPr>
              <w:rPr>
                <w:rFonts w:ascii="Century Gothic" w:hAnsi="Century Gothic" w:cstheme="minorHAnsi"/>
                <w:sz w:val="20"/>
                <w:szCs w:val="20"/>
              </w:rPr>
            </w:pPr>
            <w:r w:rsidRPr="001702DD">
              <w:rPr>
                <w:rFonts w:ascii="Century Gothic" w:hAnsi="Century Gothic" w:cstheme="minorHAnsi"/>
                <w:sz w:val="20"/>
                <w:szCs w:val="20"/>
              </w:rPr>
              <w:t>ÚZZ</w:t>
            </w:r>
          </w:p>
        </w:tc>
        <w:tc>
          <w:tcPr>
            <w:tcW w:w="6784" w:type="dxa"/>
            <w:shd w:val="clear" w:color="auto" w:fill="BFBFBF" w:themeFill="background1" w:themeFillShade="BF"/>
          </w:tcPr>
          <w:p w14:paraId="4220107D" w14:textId="77777777" w:rsidR="00DD6421" w:rsidRDefault="00DD6421" w:rsidP="00DD6421">
            <w:pPr>
              <w:jc w:val="left"/>
              <w:rPr>
                <w:rFonts w:ascii="Century Gothic" w:hAnsi="Century Gothic" w:cstheme="minorHAnsi"/>
                <w:sz w:val="20"/>
                <w:szCs w:val="20"/>
              </w:rPr>
            </w:pPr>
            <w:r>
              <w:rPr>
                <w:rFonts w:ascii="Century Gothic" w:hAnsi="Century Gothic" w:cstheme="minorHAnsi"/>
                <w:sz w:val="20"/>
                <w:szCs w:val="20"/>
              </w:rPr>
              <w:t>Ústavná zdravotná starostlivosť</w:t>
            </w:r>
          </w:p>
        </w:tc>
      </w:tr>
      <w:tr w:rsidR="00DD6421" w:rsidRPr="006331B2" w14:paraId="7F33E679" w14:textId="77777777" w:rsidTr="000C2CE3">
        <w:tc>
          <w:tcPr>
            <w:tcW w:w="2258" w:type="dxa"/>
            <w:shd w:val="clear" w:color="auto" w:fill="BFBFBF" w:themeFill="background1" w:themeFillShade="BF"/>
          </w:tcPr>
          <w:p w14:paraId="2D95CF52"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ZS</w:t>
            </w:r>
          </w:p>
        </w:tc>
        <w:tc>
          <w:tcPr>
            <w:tcW w:w="6784" w:type="dxa"/>
            <w:shd w:val="clear" w:color="auto" w:fill="BFBFBF" w:themeFill="background1" w:themeFillShade="BF"/>
          </w:tcPr>
          <w:p w14:paraId="673F3728"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Zdravotná starostlivosť</w:t>
            </w:r>
          </w:p>
        </w:tc>
      </w:tr>
      <w:tr w:rsidR="00DD6421" w:rsidRPr="006331B2" w14:paraId="43A65808" w14:textId="77777777" w:rsidTr="000C2CE3">
        <w:tc>
          <w:tcPr>
            <w:tcW w:w="2258" w:type="dxa"/>
            <w:shd w:val="clear" w:color="auto" w:fill="BFBFBF" w:themeFill="background1" w:themeFillShade="BF"/>
          </w:tcPr>
          <w:p w14:paraId="051DB436" w14:textId="77777777" w:rsidR="00DD6421" w:rsidRPr="006331B2" w:rsidRDefault="00DD6421" w:rsidP="00DD6421">
            <w:pPr>
              <w:rPr>
                <w:rFonts w:ascii="Century Gothic" w:hAnsi="Century Gothic" w:cstheme="minorHAnsi"/>
                <w:sz w:val="20"/>
                <w:szCs w:val="20"/>
              </w:rPr>
            </w:pPr>
            <w:proofErr w:type="spellStart"/>
            <w:r w:rsidRPr="00173E33">
              <w:rPr>
                <w:rFonts w:ascii="Century Gothic" w:hAnsi="Century Gothic" w:cs="Arial"/>
                <w:sz w:val="18"/>
                <w:szCs w:val="18"/>
              </w:rPr>
              <w:t>žb</w:t>
            </w:r>
            <w:proofErr w:type="spellEnd"/>
          </w:p>
        </w:tc>
        <w:tc>
          <w:tcPr>
            <w:tcW w:w="6784" w:type="dxa"/>
            <w:shd w:val="clear" w:color="auto" w:fill="BFBFBF" w:themeFill="background1" w:themeFillShade="BF"/>
          </w:tcPr>
          <w:p w14:paraId="5F971FA8" w14:textId="77777777" w:rsidR="00DD6421" w:rsidRPr="006331B2" w:rsidRDefault="00DD6421" w:rsidP="00DD6421">
            <w:pPr>
              <w:jc w:val="left"/>
              <w:rPr>
                <w:rFonts w:ascii="Century Gothic" w:hAnsi="Century Gothic" w:cstheme="minorHAnsi"/>
                <w:sz w:val="20"/>
                <w:szCs w:val="20"/>
              </w:rPr>
            </w:pPr>
            <w:r>
              <w:rPr>
                <w:rFonts w:ascii="Century Gothic" w:hAnsi="Century Gothic" w:cstheme="minorHAnsi"/>
                <w:sz w:val="20"/>
                <w:szCs w:val="20"/>
              </w:rPr>
              <w:t>Železobetón</w:t>
            </w:r>
          </w:p>
        </w:tc>
      </w:tr>
      <w:tr w:rsidR="00DD6421" w:rsidRPr="006331B2" w14:paraId="58471B47" w14:textId="77777777" w:rsidTr="000C2CE3">
        <w:tc>
          <w:tcPr>
            <w:tcW w:w="2258" w:type="dxa"/>
            <w:shd w:val="clear" w:color="auto" w:fill="BFBFBF" w:themeFill="background1" w:themeFillShade="BF"/>
          </w:tcPr>
          <w:p w14:paraId="5F8C093D"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ŽSK</w:t>
            </w:r>
          </w:p>
        </w:tc>
        <w:tc>
          <w:tcPr>
            <w:tcW w:w="6784" w:type="dxa"/>
            <w:shd w:val="clear" w:color="auto" w:fill="BFBFBF" w:themeFill="background1" w:themeFillShade="BF"/>
          </w:tcPr>
          <w:p w14:paraId="1A4B5D4D" w14:textId="77777777" w:rsidR="00DD6421" w:rsidRPr="006331B2" w:rsidRDefault="00DD6421" w:rsidP="00DD6421">
            <w:pPr>
              <w:rPr>
                <w:rFonts w:ascii="Century Gothic" w:hAnsi="Century Gothic" w:cstheme="minorHAnsi"/>
                <w:sz w:val="20"/>
                <w:szCs w:val="20"/>
              </w:rPr>
            </w:pPr>
            <w:r w:rsidRPr="006331B2">
              <w:rPr>
                <w:rFonts w:ascii="Century Gothic" w:hAnsi="Century Gothic" w:cstheme="minorHAnsi"/>
                <w:sz w:val="20"/>
                <w:szCs w:val="20"/>
              </w:rPr>
              <w:t>Žilinský samosprávny kraj</w:t>
            </w:r>
          </w:p>
        </w:tc>
      </w:tr>
    </w:tbl>
    <w:p w14:paraId="062493D0" w14:textId="77777777" w:rsidR="007B7154" w:rsidRDefault="007B7154" w:rsidP="007B7154">
      <w:pPr>
        <w:spacing w:line="240" w:lineRule="auto"/>
        <w:rPr>
          <w:rFonts w:ascii="Century Gothic" w:hAnsi="Century Gothic"/>
          <w:b/>
          <w:sz w:val="28"/>
          <w:szCs w:val="28"/>
        </w:rPr>
      </w:pPr>
    </w:p>
    <w:p w14:paraId="44475327" w14:textId="77777777" w:rsidR="007B7154" w:rsidRDefault="007B7154" w:rsidP="007B7154">
      <w:r>
        <w:rPr>
          <w:rFonts w:ascii="Century Gothic" w:hAnsi="Century Gothic" w:cstheme="minorHAnsi"/>
        </w:rPr>
        <w:t xml:space="preserve"> </w:t>
      </w:r>
    </w:p>
    <w:p w14:paraId="7C0A920E" w14:textId="32D0803D" w:rsidR="007B7154" w:rsidRPr="002679C1" w:rsidRDefault="007B7154" w:rsidP="007B7154">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32" w:name="_Toc145219943"/>
      <w:r w:rsidRPr="002679C1">
        <w:rPr>
          <w:rFonts w:ascii="Century Gothic" w:hAnsi="Century Gothic" w:cs="Calibri Light"/>
          <w:b w:val="0"/>
          <w:bCs w:val="0"/>
          <w:sz w:val="32"/>
          <w:szCs w:val="32"/>
          <w:lang w:eastAsia="en-US"/>
        </w:rPr>
        <w:lastRenderedPageBreak/>
        <w:t>Úvod</w:t>
      </w:r>
      <w:bookmarkEnd w:id="32"/>
    </w:p>
    <w:p w14:paraId="3C92308D" w14:textId="77777777" w:rsidR="007B7154" w:rsidRPr="00172C77" w:rsidRDefault="007B7154" w:rsidP="007B7154">
      <w:pPr>
        <w:pStyle w:val="Odsekzoznamu"/>
        <w:spacing w:line="240" w:lineRule="auto"/>
        <w:ind w:left="360"/>
        <w:rPr>
          <w:rFonts w:ascii="Century Gothic" w:hAnsi="Century Gothic"/>
          <w:b/>
          <w:sz w:val="28"/>
          <w:szCs w:val="28"/>
        </w:rPr>
      </w:pPr>
    </w:p>
    <w:p w14:paraId="59459A89" w14:textId="1E842FDB" w:rsidR="00462767" w:rsidRDefault="00462767" w:rsidP="00462767">
      <w:pPr>
        <w:spacing w:line="240" w:lineRule="auto"/>
        <w:rPr>
          <w:rFonts w:ascii="Century Gothic" w:hAnsi="Century Gothic" w:cstheme="minorHAnsi"/>
          <w:sz w:val="22"/>
          <w:szCs w:val="22"/>
        </w:rPr>
      </w:pPr>
      <w:r>
        <w:rPr>
          <w:rFonts w:ascii="Century Gothic" w:hAnsi="Century Gothic" w:cstheme="minorHAnsi"/>
          <w:sz w:val="22"/>
          <w:szCs w:val="22"/>
        </w:rPr>
        <w:t>Koncom 20. storočia sa v medicíne významne zrýchlil pokrok v diagnostike a liečbe všetkých chorôb. Významnú úlohu hrá v tomto vývoj technológií v oblasti optiky, mechaniky, miniaturizácie, počítačovej techniky/informatizácie a v neposlednom rade najmä umelej inteligencie.</w:t>
      </w:r>
    </w:p>
    <w:p w14:paraId="502CA9DE" w14:textId="77777777" w:rsidR="00462767" w:rsidRDefault="00462767" w:rsidP="00462767">
      <w:pPr>
        <w:spacing w:line="240" w:lineRule="auto"/>
        <w:rPr>
          <w:rFonts w:ascii="Century Gothic" w:hAnsi="Century Gothic" w:cstheme="minorHAnsi"/>
          <w:sz w:val="22"/>
          <w:szCs w:val="22"/>
        </w:rPr>
      </w:pPr>
    </w:p>
    <w:p w14:paraId="5E46648A" w14:textId="1B510B5D" w:rsidR="00462767" w:rsidRDefault="00462767" w:rsidP="00462767">
      <w:pPr>
        <w:spacing w:line="240" w:lineRule="auto"/>
        <w:rPr>
          <w:rFonts w:ascii="Century Gothic" w:hAnsi="Century Gothic" w:cstheme="minorHAnsi"/>
          <w:sz w:val="22"/>
          <w:szCs w:val="22"/>
        </w:rPr>
      </w:pPr>
      <w:r>
        <w:rPr>
          <w:rFonts w:ascii="Century Gothic" w:hAnsi="Century Gothic" w:cstheme="minorHAnsi"/>
          <w:sz w:val="22"/>
          <w:szCs w:val="22"/>
        </w:rPr>
        <w:t>Na tieto trendy na úrovni slovenského zdravotníctva reagujeme žiaľ nie veľmi koncepčne a zavádzanie technológií je nesystémové a asymetrické. Je to spôsobené čiastočne decentralizovaným systémom zdravotníctva, ale aj ekonomickými faktormi.</w:t>
      </w:r>
    </w:p>
    <w:p w14:paraId="4D8BFC1E" w14:textId="4B7D1B1E" w:rsidR="00462767" w:rsidRDefault="00462767" w:rsidP="00462767">
      <w:pPr>
        <w:spacing w:line="240" w:lineRule="auto"/>
        <w:rPr>
          <w:rFonts w:ascii="Century Gothic" w:hAnsi="Century Gothic" w:cstheme="minorHAnsi"/>
          <w:sz w:val="22"/>
          <w:szCs w:val="22"/>
        </w:rPr>
      </w:pPr>
      <w:r>
        <w:rPr>
          <w:rFonts w:ascii="Century Gothic" w:hAnsi="Century Gothic" w:cstheme="minorHAnsi"/>
          <w:sz w:val="22"/>
          <w:szCs w:val="22"/>
        </w:rPr>
        <w:t xml:space="preserve">Priebežné </w:t>
      </w:r>
      <w:proofErr w:type="spellStart"/>
      <w:r>
        <w:rPr>
          <w:rFonts w:ascii="Century Gothic" w:hAnsi="Century Gothic" w:cstheme="minorHAnsi"/>
          <w:sz w:val="22"/>
          <w:szCs w:val="22"/>
        </w:rPr>
        <w:t>podfinancovanie</w:t>
      </w:r>
      <w:proofErr w:type="spellEnd"/>
      <w:r>
        <w:rPr>
          <w:rFonts w:ascii="Century Gothic" w:hAnsi="Century Gothic" w:cstheme="minorHAnsi"/>
          <w:sz w:val="22"/>
          <w:szCs w:val="22"/>
        </w:rPr>
        <w:t xml:space="preserve"> zdravotníctva a nesúrodý tok finančných prostriedkov prináša denné problémy pri poskytovaní zdravotnej starostlivosti a už vôbec nie je možné vykryť kumulovaný investičný dlh, ktorý sa odhaduje až v desiatkach mld.€.</w:t>
      </w:r>
    </w:p>
    <w:p w14:paraId="1986203F" w14:textId="77777777" w:rsidR="00462767" w:rsidRDefault="00462767" w:rsidP="00462767">
      <w:pPr>
        <w:spacing w:line="240" w:lineRule="auto"/>
        <w:rPr>
          <w:rFonts w:ascii="Century Gothic" w:hAnsi="Century Gothic" w:cstheme="minorHAnsi"/>
          <w:sz w:val="22"/>
          <w:szCs w:val="22"/>
        </w:rPr>
      </w:pPr>
    </w:p>
    <w:p w14:paraId="0E53D9A7" w14:textId="07DDE8BE" w:rsidR="00462767" w:rsidRDefault="00462767" w:rsidP="00462767">
      <w:pPr>
        <w:spacing w:line="240" w:lineRule="auto"/>
        <w:rPr>
          <w:rFonts w:ascii="Century Gothic" w:hAnsi="Century Gothic" w:cstheme="minorHAnsi"/>
          <w:sz w:val="22"/>
          <w:szCs w:val="22"/>
        </w:rPr>
      </w:pPr>
      <w:r>
        <w:rPr>
          <w:rFonts w:ascii="Century Gothic" w:hAnsi="Century Gothic" w:cstheme="minorHAnsi"/>
          <w:sz w:val="22"/>
          <w:szCs w:val="22"/>
        </w:rPr>
        <w:t>V</w:t>
      </w:r>
      <w:r w:rsidR="00347B48">
        <w:rPr>
          <w:rFonts w:ascii="Century Gothic" w:hAnsi="Century Gothic" w:cstheme="minorHAnsi"/>
          <w:sz w:val="22"/>
          <w:szCs w:val="22"/>
        </w:rPr>
        <w:t>o</w:t>
      </w:r>
      <w:r>
        <w:rPr>
          <w:rFonts w:ascii="Century Gothic" w:hAnsi="Century Gothic" w:cstheme="minorHAnsi"/>
          <w:sz w:val="22"/>
          <w:szCs w:val="22"/>
        </w:rPr>
        <w:t xml:space="preserve"> všeobecnosti možno povedať, že uplatnenie moderných diagnostických a terapeutickým metód v nemodernom prostredí </w:t>
      </w:r>
      <w:r w:rsidR="00347B48">
        <w:rPr>
          <w:rFonts w:ascii="Century Gothic" w:hAnsi="Century Gothic" w:cstheme="minorHAnsi"/>
          <w:sz w:val="22"/>
          <w:szCs w:val="22"/>
        </w:rPr>
        <w:t>zastaraných</w:t>
      </w:r>
      <w:r>
        <w:rPr>
          <w:rFonts w:ascii="Century Gothic" w:hAnsi="Century Gothic" w:cstheme="minorHAnsi"/>
          <w:sz w:val="22"/>
          <w:szCs w:val="22"/>
        </w:rPr>
        <w:t xml:space="preserve"> slovenských nemocníc je takmer nemožné a prináša zlé výsledky zdravotnej starostlivosti, ktoré sa premietajú v európsky podpriemernej dĺžke dožitia a vo vysokom počte rokov prežitých v chorobe pre našich </w:t>
      </w:r>
      <w:r w:rsidR="00347B48">
        <w:rPr>
          <w:rFonts w:ascii="Century Gothic" w:hAnsi="Century Gothic" w:cstheme="minorHAnsi"/>
          <w:sz w:val="22"/>
          <w:szCs w:val="22"/>
        </w:rPr>
        <w:t>obyvateľov</w:t>
      </w:r>
      <w:r>
        <w:rPr>
          <w:rFonts w:ascii="Century Gothic" w:hAnsi="Century Gothic" w:cstheme="minorHAnsi"/>
          <w:sz w:val="22"/>
          <w:szCs w:val="22"/>
        </w:rPr>
        <w:t>.</w:t>
      </w:r>
    </w:p>
    <w:p w14:paraId="01DE7FA6" w14:textId="77777777" w:rsidR="00462767" w:rsidRDefault="00462767" w:rsidP="00462767">
      <w:pPr>
        <w:spacing w:line="240" w:lineRule="auto"/>
        <w:rPr>
          <w:rFonts w:ascii="Century Gothic" w:hAnsi="Century Gothic" w:cstheme="minorHAnsi"/>
          <w:sz w:val="22"/>
          <w:szCs w:val="22"/>
        </w:rPr>
      </w:pPr>
    </w:p>
    <w:p w14:paraId="1EE07674" w14:textId="72FE30E3" w:rsidR="00462767" w:rsidRDefault="00347B48" w:rsidP="00462767">
      <w:pPr>
        <w:spacing w:line="240" w:lineRule="auto"/>
        <w:rPr>
          <w:rFonts w:ascii="Century Gothic" w:hAnsi="Century Gothic" w:cstheme="minorHAnsi"/>
          <w:sz w:val="22"/>
          <w:szCs w:val="22"/>
        </w:rPr>
      </w:pPr>
      <w:r>
        <w:rPr>
          <w:rFonts w:ascii="Century Gothic" w:hAnsi="Century Gothic" w:cstheme="minorHAnsi"/>
          <w:sz w:val="22"/>
          <w:szCs w:val="22"/>
        </w:rPr>
        <w:t xml:space="preserve">Vzhľadom na vyššie uvedené </w:t>
      </w:r>
      <w:r w:rsidR="00462767">
        <w:rPr>
          <w:rFonts w:ascii="Century Gothic" w:hAnsi="Century Gothic" w:cstheme="minorHAnsi"/>
          <w:sz w:val="22"/>
          <w:szCs w:val="22"/>
        </w:rPr>
        <w:t>vítame zadanie F</w:t>
      </w:r>
      <w:r>
        <w:rPr>
          <w:rFonts w:ascii="Century Gothic" w:hAnsi="Century Gothic" w:cstheme="minorHAnsi"/>
          <w:sz w:val="22"/>
          <w:szCs w:val="22"/>
        </w:rPr>
        <w:t xml:space="preserve">akultnej nemocnice s poliklinikou </w:t>
      </w:r>
      <w:r w:rsidR="00462767">
        <w:rPr>
          <w:rFonts w:ascii="Century Gothic" w:hAnsi="Century Gothic" w:cstheme="minorHAnsi"/>
          <w:sz w:val="22"/>
          <w:szCs w:val="22"/>
        </w:rPr>
        <w:t xml:space="preserve"> Žilina na vypracovanie koncepčného riešenia najvypuklejších problémov areálu nemocnice v oblasti urgentnej zdravotnej starostlivosti. Je veľmi dobre známe, že urgentná zdravotná starostlivosť, resuscitačná a intenzívna liečba ako aj chirurgická liečba sú najdrahšími komponentmi modernej nemocnice. Je to tak preto, lebo ich plánovanie je problematické a kapacity sú v „slabej sezóne“ nevyužité, naopak v „silnej sezóne“ sa môžu javiť ako nedostatočné. Napokon, </w:t>
      </w:r>
      <w:proofErr w:type="spellStart"/>
      <w:r w:rsidR="00462767">
        <w:rPr>
          <w:rFonts w:ascii="Century Gothic" w:hAnsi="Century Gothic" w:cstheme="minorHAnsi"/>
          <w:sz w:val="22"/>
          <w:szCs w:val="22"/>
        </w:rPr>
        <w:t>fla</w:t>
      </w:r>
      <w:r w:rsidR="00A37F39">
        <w:rPr>
          <w:rFonts w:ascii="Century Gothic" w:hAnsi="Century Gothic" w:cstheme="minorHAnsi"/>
          <w:sz w:val="22"/>
          <w:szCs w:val="22"/>
        </w:rPr>
        <w:t>grante</w:t>
      </w:r>
      <w:proofErr w:type="spellEnd"/>
      <w:r w:rsidR="00A37F39">
        <w:rPr>
          <w:rFonts w:ascii="Century Gothic" w:hAnsi="Century Gothic" w:cstheme="minorHAnsi"/>
          <w:sz w:val="22"/>
          <w:szCs w:val="22"/>
        </w:rPr>
        <w:t xml:space="preserve"> </w:t>
      </w:r>
      <w:r w:rsidR="00C74DAD">
        <w:rPr>
          <w:rFonts w:ascii="Century Gothic" w:hAnsi="Century Gothic" w:cstheme="minorHAnsi"/>
          <w:sz w:val="22"/>
          <w:szCs w:val="22"/>
        </w:rPr>
        <w:t xml:space="preserve">to </w:t>
      </w:r>
      <w:r w:rsidR="00A37F39">
        <w:rPr>
          <w:rFonts w:ascii="Century Gothic" w:hAnsi="Century Gothic" w:cstheme="minorHAnsi"/>
          <w:sz w:val="22"/>
          <w:szCs w:val="22"/>
        </w:rPr>
        <w:t>ukázala epidémia COVID</w:t>
      </w:r>
      <w:r w:rsidR="00462767">
        <w:rPr>
          <w:rFonts w:ascii="Century Gothic" w:hAnsi="Century Gothic" w:cstheme="minorHAnsi"/>
          <w:sz w:val="22"/>
          <w:szCs w:val="22"/>
        </w:rPr>
        <w:t xml:space="preserve"> v rokoch 2020-2022.</w:t>
      </w:r>
      <w:r>
        <w:rPr>
          <w:rFonts w:ascii="Century Gothic" w:hAnsi="Century Gothic" w:cstheme="minorHAnsi"/>
          <w:sz w:val="22"/>
          <w:szCs w:val="22"/>
        </w:rPr>
        <w:t xml:space="preserve"> </w:t>
      </w:r>
    </w:p>
    <w:p w14:paraId="50814DD4" w14:textId="77777777" w:rsidR="00462767" w:rsidRDefault="00462767" w:rsidP="00462767">
      <w:pPr>
        <w:spacing w:line="240" w:lineRule="auto"/>
        <w:rPr>
          <w:rFonts w:ascii="Century Gothic" w:hAnsi="Century Gothic" w:cstheme="minorHAnsi"/>
          <w:sz w:val="22"/>
          <w:szCs w:val="22"/>
        </w:rPr>
      </w:pPr>
    </w:p>
    <w:p w14:paraId="242CFD49" w14:textId="54114A5F" w:rsidR="00462767" w:rsidRDefault="00462767" w:rsidP="00462767">
      <w:pPr>
        <w:spacing w:line="240" w:lineRule="auto"/>
        <w:rPr>
          <w:rFonts w:ascii="Century Gothic" w:hAnsi="Century Gothic" w:cstheme="minorHAnsi"/>
          <w:sz w:val="22"/>
          <w:szCs w:val="22"/>
        </w:rPr>
      </w:pPr>
      <w:r>
        <w:rPr>
          <w:rFonts w:ascii="Century Gothic" w:hAnsi="Century Gothic" w:cstheme="minorHAnsi"/>
          <w:sz w:val="22"/>
          <w:szCs w:val="22"/>
        </w:rPr>
        <w:t>Akútna zdravotná starostlivosť, invazívna a chirurgická liečba majú aj z pohľadu vývoja medicíny svoju perspektívu – kým internistická liečba sa viac presúva do ambulantnej sféry, pre tieto oblasti medicíny to nie je a nebude možné.</w:t>
      </w:r>
    </w:p>
    <w:p w14:paraId="365EEFE2" w14:textId="77777777" w:rsidR="00462767" w:rsidRDefault="00462767" w:rsidP="00462767">
      <w:pPr>
        <w:spacing w:line="240" w:lineRule="auto"/>
        <w:rPr>
          <w:rFonts w:ascii="Century Gothic" w:hAnsi="Century Gothic" w:cstheme="minorHAnsi"/>
          <w:sz w:val="22"/>
          <w:szCs w:val="22"/>
        </w:rPr>
      </w:pPr>
    </w:p>
    <w:p w14:paraId="6CFD9563" w14:textId="2E1B8FE3" w:rsidR="00462767" w:rsidRPr="000D3668" w:rsidRDefault="00462767" w:rsidP="00462767">
      <w:pPr>
        <w:spacing w:line="240" w:lineRule="auto"/>
        <w:rPr>
          <w:rFonts w:ascii="Century Gothic" w:eastAsiaTheme="minorEastAsia" w:hAnsi="Century Gothic" w:cs="Calibri"/>
          <w:bCs/>
          <w:sz w:val="22"/>
          <w:szCs w:val="22"/>
        </w:rPr>
      </w:pPr>
      <w:r>
        <w:rPr>
          <w:rFonts w:ascii="Century Gothic" w:hAnsi="Century Gothic" w:cstheme="minorHAnsi"/>
          <w:sz w:val="22"/>
          <w:szCs w:val="22"/>
        </w:rPr>
        <w:t xml:space="preserve">Vzhľadom na uvedené je táto štúdia, po dohovore s vedením </w:t>
      </w:r>
      <w:r w:rsidR="00347B48">
        <w:rPr>
          <w:rFonts w:ascii="Century Gothic" w:hAnsi="Century Gothic" w:cstheme="minorHAnsi"/>
          <w:sz w:val="22"/>
          <w:szCs w:val="22"/>
        </w:rPr>
        <w:t>Fakultnej nemocnice s poliklinikou  Žilina</w:t>
      </w:r>
      <w:r>
        <w:rPr>
          <w:rFonts w:ascii="Century Gothic" w:hAnsi="Century Gothic" w:cstheme="minorHAnsi"/>
          <w:sz w:val="22"/>
          <w:szCs w:val="22"/>
        </w:rPr>
        <w:t>,  zameraná práve na vytvorenie podmienok pre poskytovanie modernej urgentnej, intenzívnej a chirurgickej liečby pacientov v novom pavilóne. Po jeho dostavaní sa budú môcť šetriť tak materiálno-technické, energetické a personálne zdroje. Zároveň môže byť priestorový štandard a usporiadanie také, ktoré podporuje moderné procesy v diagnostike a liečbe, dbá na hygienický štandard hodný 21. storočia. To všetko v prospech lepšej liečby pacientov.</w:t>
      </w:r>
    </w:p>
    <w:p w14:paraId="676A9850" w14:textId="77777777" w:rsidR="00462767" w:rsidRPr="000D3668" w:rsidRDefault="00462767" w:rsidP="00841DDF">
      <w:pPr>
        <w:spacing w:line="240" w:lineRule="auto"/>
        <w:rPr>
          <w:rFonts w:ascii="Century Gothic" w:eastAsiaTheme="minorEastAsia" w:hAnsi="Century Gothic" w:cs="Calibri"/>
          <w:bCs/>
          <w:sz w:val="22"/>
          <w:szCs w:val="22"/>
        </w:rPr>
      </w:pPr>
    </w:p>
    <w:p w14:paraId="4F5D68AA" w14:textId="77777777" w:rsidR="007B7154" w:rsidRDefault="007B7154" w:rsidP="007B7154">
      <w:pPr>
        <w:pStyle w:val="Odsekzoznamu"/>
        <w:spacing w:line="240" w:lineRule="auto"/>
        <w:ind w:left="360"/>
      </w:pPr>
    </w:p>
    <w:p w14:paraId="4D851A9F" w14:textId="77777777" w:rsidR="007B7154" w:rsidRDefault="007B7154" w:rsidP="007B7154">
      <w:pPr>
        <w:rPr>
          <w:rFonts w:ascii="Century Gothic" w:hAnsi="Century Gothic"/>
          <w:b/>
          <w:sz w:val="28"/>
          <w:szCs w:val="28"/>
        </w:rPr>
      </w:pPr>
      <w:r>
        <w:rPr>
          <w:rFonts w:ascii="Century Gothic" w:hAnsi="Century Gothic"/>
          <w:b/>
          <w:sz w:val="28"/>
          <w:szCs w:val="28"/>
        </w:rPr>
        <w:br w:type="page"/>
      </w:r>
    </w:p>
    <w:p w14:paraId="065B2FF0" w14:textId="77777777" w:rsidR="007B7154" w:rsidRPr="002679C1" w:rsidRDefault="007B7154" w:rsidP="007B7154">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33" w:name="_Toc145219944"/>
      <w:r w:rsidRPr="002679C1">
        <w:rPr>
          <w:rFonts w:ascii="Century Gothic" w:hAnsi="Century Gothic" w:cs="Calibri Light"/>
          <w:b w:val="0"/>
          <w:bCs w:val="0"/>
          <w:sz w:val="32"/>
          <w:szCs w:val="32"/>
          <w:lang w:eastAsia="en-US"/>
        </w:rPr>
        <w:lastRenderedPageBreak/>
        <w:t xml:space="preserve">Zhrnutie – </w:t>
      </w:r>
      <w:proofErr w:type="spellStart"/>
      <w:r w:rsidRPr="002679C1">
        <w:rPr>
          <w:rFonts w:ascii="Century Gothic" w:hAnsi="Century Gothic" w:cs="Calibri Light"/>
          <w:b w:val="0"/>
          <w:bCs w:val="0"/>
          <w:sz w:val="32"/>
          <w:szCs w:val="32"/>
          <w:lang w:eastAsia="en-US"/>
        </w:rPr>
        <w:t>Executive</w:t>
      </w:r>
      <w:proofErr w:type="spellEnd"/>
      <w:r w:rsidRPr="002679C1">
        <w:rPr>
          <w:rFonts w:ascii="Century Gothic" w:hAnsi="Century Gothic" w:cs="Calibri Light"/>
          <w:b w:val="0"/>
          <w:bCs w:val="0"/>
          <w:sz w:val="32"/>
          <w:szCs w:val="32"/>
          <w:lang w:eastAsia="en-US"/>
        </w:rPr>
        <w:t xml:space="preserve"> </w:t>
      </w:r>
      <w:proofErr w:type="spellStart"/>
      <w:r w:rsidRPr="002679C1">
        <w:rPr>
          <w:rFonts w:ascii="Century Gothic" w:hAnsi="Century Gothic" w:cs="Calibri Light"/>
          <w:b w:val="0"/>
          <w:bCs w:val="0"/>
          <w:sz w:val="32"/>
          <w:szCs w:val="32"/>
          <w:lang w:eastAsia="en-US"/>
        </w:rPr>
        <w:t>Summary</w:t>
      </w:r>
      <w:bookmarkEnd w:id="33"/>
      <w:proofErr w:type="spellEnd"/>
    </w:p>
    <w:p w14:paraId="734ACC6C" w14:textId="77777777" w:rsidR="007B7154" w:rsidRDefault="007B7154" w:rsidP="007B7154">
      <w:pPr>
        <w:pStyle w:val="Odsekzoznamu"/>
        <w:spacing w:line="240" w:lineRule="auto"/>
        <w:ind w:left="360"/>
        <w:rPr>
          <w:rFonts w:ascii="Century Gothic" w:hAnsi="Century Gothic"/>
          <w:b/>
          <w:sz w:val="28"/>
          <w:szCs w:val="28"/>
        </w:rPr>
      </w:pPr>
    </w:p>
    <w:p w14:paraId="0A9AE384" w14:textId="3E7C036D" w:rsidR="00024CEF" w:rsidRDefault="00024CEF" w:rsidP="00B447EE">
      <w:pPr>
        <w:spacing w:line="240" w:lineRule="auto"/>
        <w:rPr>
          <w:rFonts w:ascii="Century Gothic" w:hAnsi="Century Gothic"/>
          <w:sz w:val="22"/>
          <w:szCs w:val="22"/>
        </w:rPr>
      </w:pPr>
      <w:r w:rsidRPr="002679C1">
        <w:rPr>
          <w:rFonts w:ascii="Century Gothic" w:hAnsi="Century Gothic"/>
          <w:sz w:val="22"/>
          <w:szCs w:val="22"/>
        </w:rPr>
        <w:t xml:space="preserve">Štúdia realizovateľnosti je zameraná na zhodnotenie technickej a ekonomickej realizovateľnosti investície do výstavby nového </w:t>
      </w:r>
      <w:r w:rsidR="007756C0">
        <w:rPr>
          <w:rFonts w:ascii="Century Gothic" w:hAnsi="Century Gothic"/>
          <w:sz w:val="22"/>
          <w:szCs w:val="22"/>
        </w:rPr>
        <w:t>P</w:t>
      </w:r>
      <w:r w:rsidRPr="002679C1">
        <w:rPr>
          <w:rFonts w:ascii="Century Gothic" w:hAnsi="Century Gothic"/>
          <w:sz w:val="22"/>
          <w:szCs w:val="22"/>
        </w:rPr>
        <w:t>avil</w:t>
      </w:r>
      <w:r w:rsidR="007756C0">
        <w:rPr>
          <w:rFonts w:ascii="Century Gothic" w:hAnsi="Century Gothic"/>
          <w:sz w:val="22"/>
          <w:szCs w:val="22"/>
        </w:rPr>
        <w:t>ónu urgentnej medicíny v rámci F</w:t>
      </w:r>
      <w:r w:rsidRPr="002679C1">
        <w:rPr>
          <w:rFonts w:ascii="Century Gothic" w:hAnsi="Century Gothic"/>
          <w:sz w:val="22"/>
          <w:szCs w:val="22"/>
        </w:rPr>
        <w:t>akultnej nemocnice s poliklinikou v Žiline.</w:t>
      </w:r>
    </w:p>
    <w:p w14:paraId="3D120CE9" w14:textId="77777777" w:rsidR="002679C1" w:rsidRPr="002679C1" w:rsidRDefault="002679C1" w:rsidP="00B447EE">
      <w:pPr>
        <w:spacing w:line="240" w:lineRule="auto"/>
        <w:rPr>
          <w:rFonts w:ascii="Century Gothic" w:hAnsi="Century Gothic"/>
          <w:sz w:val="22"/>
          <w:szCs w:val="22"/>
        </w:rPr>
      </w:pPr>
    </w:p>
    <w:p w14:paraId="123AA67E" w14:textId="2D976877" w:rsidR="002679C1" w:rsidRDefault="002F04B8" w:rsidP="00B447EE">
      <w:pPr>
        <w:spacing w:line="240" w:lineRule="auto"/>
        <w:rPr>
          <w:rFonts w:ascii="Century Gothic" w:hAnsi="Century Gothic"/>
          <w:b/>
          <w:sz w:val="22"/>
          <w:szCs w:val="22"/>
        </w:rPr>
      </w:pPr>
      <w:r w:rsidRPr="002679C1">
        <w:rPr>
          <w:rFonts w:ascii="Century Gothic" w:hAnsi="Century Gothic"/>
          <w:b/>
          <w:sz w:val="22"/>
          <w:szCs w:val="22"/>
        </w:rPr>
        <w:t xml:space="preserve">Rozhodnutie pre prípravu nového </w:t>
      </w:r>
      <w:r w:rsidR="007756C0">
        <w:rPr>
          <w:rFonts w:ascii="Century Gothic" w:hAnsi="Century Gothic"/>
          <w:b/>
          <w:sz w:val="22"/>
          <w:szCs w:val="22"/>
        </w:rPr>
        <w:t>P</w:t>
      </w:r>
      <w:r w:rsidRPr="002679C1">
        <w:rPr>
          <w:rFonts w:ascii="Century Gothic" w:hAnsi="Century Gothic"/>
          <w:b/>
          <w:sz w:val="22"/>
          <w:szCs w:val="22"/>
        </w:rPr>
        <w:t>avilónu urgentnej</w:t>
      </w:r>
      <w:r w:rsidR="00C74DAD">
        <w:rPr>
          <w:rFonts w:ascii="Century Gothic" w:hAnsi="Century Gothic"/>
          <w:b/>
          <w:sz w:val="22"/>
          <w:szCs w:val="22"/>
        </w:rPr>
        <w:t xml:space="preserve">, </w:t>
      </w:r>
      <w:r w:rsidR="00DA7C13">
        <w:rPr>
          <w:rFonts w:ascii="Century Gothic" w:hAnsi="Century Gothic"/>
          <w:b/>
          <w:sz w:val="22"/>
          <w:szCs w:val="22"/>
        </w:rPr>
        <w:t>intenzívnej</w:t>
      </w:r>
      <w:r w:rsidR="00C74DAD">
        <w:rPr>
          <w:rFonts w:ascii="Century Gothic" w:hAnsi="Century Gothic"/>
          <w:b/>
          <w:sz w:val="22"/>
          <w:szCs w:val="22"/>
        </w:rPr>
        <w:t xml:space="preserve"> a chirurgickej</w:t>
      </w:r>
      <w:r w:rsidRPr="002679C1">
        <w:rPr>
          <w:rFonts w:ascii="Century Gothic" w:hAnsi="Century Gothic"/>
          <w:b/>
          <w:sz w:val="22"/>
          <w:szCs w:val="22"/>
        </w:rPr>
        <w:t xml:space="preserve"> medicíny vychádza </w:t>
      </w:r>
      <w:r w:rsidR="00A63966" w:rsidRPr="002679C1">
        <w:rPr>
          <w:rFonts w:ascii="Century Gothic" w:hAnsi="Century Gothic"/>
          <w:b/>
          <w:sz w:val="22"/>
          <w:szCs w:val="22"/>
        </w:rPr>
        <w:t>z</w:t>
      </w:r>
      <w:r w:rsidRPr="002679C1">
        <w:rPr>
          <w:rFonts w:ascii="Century Gothic" w:hAnsi="Century Gothic"/>
          <w:b/>
          <w:sz w:val="22"/>
          <w:szCs w:val="22"/>
        </w:rPr>
        <w:t>o strednodobého vývoja poskytovanej zdravotnej starostlivosti, kde nám kontinuálne rastie akútna a urgentná medicína cez akútne hospitalizácie a návštevy APS, počty akútnych operácií ako aj zvyšujúci sa CMI (</w:t>
      </w:r>
      <w:proofErr w:type="spellStart"/>
      <w:r w:rsidRPr="002679C1">
        <w:rPr>
          <w:rFonts w:ascii="Century Gothic" w:hAnsi="Century Gothic"/>
          <w:b/>
          <w:sz w:val="22"/>
          <w:szCs w:val="22"/>
        </w:rPr>
        <w:t>Case</w:t>
      </w:r>
      <w:proofErr w:type="spellEnd"/>
      <w:r w:rsidRPr="002679C1">
        <w:rPr>
          <w:rFonts w:ascii="Century Gothic" w:hAnsi="Century Gothic"/>
          <w:b/>
          <w:sz w:val="22"/>
          <w:szCs w:val="22"/>
        </w:rPr>
        <w:t xml:space="preserve"> Mix Index). </w:t>
      </w:r>
    </w:p>
    <w:p w14:paraId="7D276550" w14:textId="77777777" w:rsidR="002679C1" w:rsidRDefault="002679C1" w:rsidP="00B447EE">
      <w:pPr>
        <w:spacing w:line="240" w:lineRule="auto"/>
        <w:rPr>
          <w:rFonts w:ascii="Century Gothic" w:hAnsi="Century Gothic"/>
          <w:b/>
          <w:sz w:val="22"/>
          <w:szCs w:val="22"/>
        </w:rPr>
      </w:pPr>
    </w:p>
    <w:p w14:paraId="5001CBA0" w14:textId="5E793A1D" w:rsidR="00A63966" w:rsidRDefault="00024CEF" w:rsidP="00B447EE">
      <w:pPr>
        <w:spacing w:line="240" w:lineRule="auto"/>
        <w:rPr>
          <w:rFonts w:ascii="Century Gothic" w:hAnsi="Century Gothic"/>
          <w:sz w:val="22"/>
          <w:szCs w:val="22"/>
        </w:rPr>
      </w:pPr>
      <w:r w:rsidRPr="002679C1">
        <w:rPr>
          <w:rFonts w:ascii="Century Gothic" w:hAnsi="Century Gothic"/>
          <w:sz w:val="22"/>
          <w:szCs w:val="22"/>
        </w:rPr>
        <w:t>Štúdia vychádza zo základných predpokladov a dostupných dát a je spracovaná v zmysle metodiky útvaru hodnoty za peniaze pre posudzovanie investičných projektov s rozpočtom nad 20 miliónov EUR</w:t>
      </w:r>
      <w:r w:rsidR="00D46D91">
        <w:rPr>
          <w:rFonts w:ascii="Century Gothic" w:hAnsi="Century Gothic"/>
          <w:sz w:val="22"/>
          <w:szCs w:val="22"/>
        </w:rPr>
        <w:t xml:space="preserve"> resp. metodík pre hodnotenie investičných projektov: </w:t>
      </w:r>
      <w:r w:rsidR="00D46D91" w:rsidRPr="00D46D91">
        <w:rPr>
          <w:rFonts w:ascii="Century Gothic" w:hAnsi="Century Gothic"/>
          <w:sz w:val="22"/>
          <w:szCs w:val="22"/>
        </w:rPr>
        <w:t>https://www.mfsr.sk/sk/financie/hodnota-za-peniaze/hodnotenie-investicnych-projektov/investicne-metodiky/</w:t>
      </w:r>
      <w:r w:rsidR="00A63966" w:rsidRPr="002679C1">
        <w:rPr>
          <w:rFonts w:ascii="Century Gothic" w:hAnsi="Century Gothic"/>
          <w:sz w:val="22"/>
          <w:szCs w:val="22"/>
        </w:rPr>
        <w:t xml:space="preserve"> a metodiky MZ SR pre investičné stavebné projekty s rozpočtom nad 5 mil. Eur</w:t>
      </w:r>
      <w:r w:rsidR="00D46D91">
        <w:rPr>
          <w:rFonts w:ascii="Century Gothic" w:hAnsi="Century Gothic"/>
          <w:sz w:val="22"/>
          <w:szCs w:val="22"/>
        </w:rPr>
        <w:t xml:space="preserve">: </w:t>
      </w:r>
      <w:r w:rsidRPr="002679C1">
        <w:rPr>
          <w:rFonts w:ascii="Century Gothic" w:hAnsi="Century Gothic"/>
          <w:sz w:val="22"/>
          <w:szCs w:val="22"/>
        </w:rPr>
        <w:t xml:space="preserve"> </w:t>
      </w:r>
      <w:r w:rsidR="00D46D91" w:rsidRPr="00D46D91">
        <w:rPr>
          <w:rFonts w:ascii="Century Gothic" w:hAnsi="Century Gothic"/>
          <w:sz w:val="22"/>
          <w:szCs w:val="22"/>
        </w:rPr>
        <w:t>https://www.health.gov.sk/?Metodicky-pokyn-prioritizacia</w:t>
      </w:r>
      <w:r w:rsidR="007756C0">
        <w:rPr>
          <w:rFonts w:ascii="Century Gothic" w:hAnsi="Century Gothic"/>
          <w:sz w:val="22"/>
          <w:szCs w:val="22"/>
        </w:rPr>
        <w:t>.</w:t>
      </w:r>
    </w:p>
    <w:p w14:paraId="5760D03E" w14:textId="5C594DE1" w:rsidR="00787FC9" w:rsidRDefault="00787FC9" w:rsidP="00B447EE">
      <w:pPr>
        <w:spacing w:line="240" w:lineRule="auto"/>
        <w:rPr>
          <w:rFonts w:ascii="Century Gothic" w:hAnsi="Century Gothic"/>
          <w:sz w:val="22"/>
          <w:szCs w:val="22"/>
        </w:rPr>
      </w:pPr>
    </w:p>
    <w:p w14:paraId="598ACA5F" w14:textId="3AA71293" w:rsidR="00787FC9" w:rsidRPr="00787FC9" w:rsidRDefault="00787FC9" w:rsidP="00D43498">
      <w:pPr>
        <w:spacing w:line="240" w:lineRule="auto"/>
        <w:rPr>
          <w:rFonts w:ascii="Century Gothic" w:hAnsi="Century Gothic"/>
          <w:sz w:val="22"/>
          <w:szCs w:val="22"/>
        </w:rPr>
      </w:pPr>
      <w:r w:rsidRPr="00787FC9">
        <w:rPr>
          <w:rFonts w:ascii="Century Gothic" w:hAnsi="Century Gothic"/>
          <w:sz w:val="22"/>
          <w:szCs w:val="22"/>
        </w:rPr>
        <w:t>Oproti ostatným projektom</w:t>
      </w:r>
      <w:r>
        <w:rPr>
          <w:rFonts w:ascii="Century Gothic" w:hAnsi="Century Gothic"/>
          <w:sz w:val="22"/>
          <w:szCs w:val="22"/>
        </w:rPr>
        <w:t xml:space="preserve"> (MT, BB, Prešov...) FNSP Žilina</w:t>
      </w:r>
      <w:r w:rsidRPr="00787FC9">
        <w:rPr>
          <w:rFonts w:ascii="Century Gothic" w:hAnsi="Century Gothic"/>
          <w:sz w:val="22"/>
          <w:szCs w:val="22"/>
        </w:rPr>
        <w:t xml:space="preserve"> tým, že investuje „IBA“ do nového pavilónu – zásadným spôsobom znižuje investičné náklady a zachraňuje hodnoty existujúceho areálu. Najzásadnejším bolo rozhodnutie zachovania ambulantnej časti nemocnice - Polikliniky, kde vychádzame z predpokladu presunu niektorých častí budovy do nových priestorov, čo umožní jej budúci rozvoj. </w:t>
      </w:r>
      <w:r w:rsidR="009F5FCC">
        <w:rPr>
          <w:rFonts w:ascii="Century Gothic" w:hAnsi="Century Gothic"/>
          <w:sz w:val="22"/>
          <w:szCs w:val="22"/>
        </w:rPr>
        <w:t>Dopytový model ukázal potrebu napýšenia ambulancií zo súčasných 87 na 110, čo sa vyrieši reorganizáciou poliklinickej časti resp. využitím „opustených“ priestorov po výstavbe nové</w:t>
      </w:r>
      <w:r w:rsidR="007756C0">
        <w:rPr>
          <w:rFonts w:ascii="Century Gothic" w:hAnsi="Century Gothic"/>
          <w:sz w:val="22"/>
          <w:szCs w:val="22"/>
        </w:rPr>
        <w:t>ho</w:t>
      </w:r>
      <w:r w:rsidR="009F5FCC">
        <w:rPr>
          <w:rFonts w:ascii="Century Gothic" w:hAnsi="Century Gothic"/>
          <w:sz w:val="22"/>
          <w:szCs w:val="22"/>
        </w:rPr>
        <w:t xml:space="preserve"> pavilónu. </w:t>
      </w:r>
      <w:r w:rsidRPr="00787FC9">
        <w:rPr>
          <w:rFonts w:ascii="Century Gothic" w:hAnsi="Century Gothic"/>
          <w:sz w:val="22"/>
          <w:szCs w:val="22"/>
        </w:rPr>
        <w:t xml:space="preserve"> </w:t>
      </w:r>
    </w:p>
    <w:p w14:paraId="5D18C5F1" w14:textId="77777777" w:rsidR="00787FC9" w:rsidRPr="002679C1" w:rsidRDefault="00787FC9" w:rsidP="00B447EE">
      <w:pPr>
        <w:spacing w:line="240" w:lineRule="auto"/>
        <w:rPr>
          <w:rFonts w:ascii="Century Gothic" w:hAnsi="Century Gothic"/>
          <w:b/>
          <w:sz w:val="22"/>
          <w:szCs w:val="22"/>
        </w:rPr>
      </w:pPr>
    </w:p>
    <w:p w14:paraId="5558F55C" w14:textId="668D50EE" w:rsidR="00024CEF" w:rsidRDefault="00DA7C13" w:rsidP="00B447EE">
      <w:pPr>
        <w:spacing w:line="240" w:lineRule="auto"/>
        <w:rPr>
          <w:rFonts w:ascii="Century Gothic" w:hAnsi="Century Gothic"/>
          <w:b/>
          <w:sz w:val="22"/>
          <w:szCs w:val="22"/>
        </w:rPr>
      </w:pPr>
      <w:r>
        <w:rPr>
          <w:rFonts w:ascii="Century Gothic" w:hAnsi="Century Gothic"/>
          <w:sz w:val="22"/>
          <w:szCs w:val="22"/>
        </w:rPr>
        <w:t>Projekt výstavby nového P</w:t>
      </w:r>
      <w:r w:rsidR="00024CEF" w:rsidRPr="002679C1">
        <w:rPr>
          <w:rFonts w:ascii="Century Gothic" w:hAnsi="Century Gothic"/>
          <w:sz w:val="22"/>
          <w:szCs w:val="22"/>
        </w:rPr>
        <w:t>avilónu urgentnej medicíny má ambíciu posunúť poskytovanie zdravotnej starostlivosti vo Fakultnej nemocnici s poliklinikou v Žiline na úroveň 21</w:t>
      </w:r>
      <w:r w:rsidR="00C74DAD">
        <w:rPr>
          <w:rFonts w:ascii="Century Gothic" w:hAnsi="Century Gothic"/>
          <w:sz w:val="22"/>
          <w:szCs w:val="22"/>
        </w:rPr>
        <w:t>.</w:t>
      </w:r>
      <w:r w:rsidR="00024CEF" w:rsidRPr="002679C1">
        <w:rPr>
          <w:rFonts w:ascii="Century Gothic" w:hAnsi="Century Gothic"/>
          <w:sz w:val="22"/>
          <w:szCs w:val="22"/>
        </w:rPr>
        <w:t xml:space="preserve"> storočia.</w:t>
      </w:r>
      <w:r w:rsidR="00A63966" w:rsidRPr="002679C1">
        <w:rPr>
          <w:rFonts w:ascii="Century Gothic" w:hAnsi="Century Gothic"/>
          <w:sz w:val="22"/>
          <w:szCs w:val="22"/>
        </w:rPr>
        <w:t xml:space="preserve"> </w:t>
      </w:r>
      <w:r w:rsidR="00024CEF" w:rsidRPr="002679C1">
        <w:rPr>
          <w:rFonts w:ascii="Century Gothic" w:hAnsi="Century Gothic"/>
          <w:sz w:val="22"/>
          <w:szCs w:val="22"/>
        </w:rPr>
        <w:t xml:space="preserve">Základné technické a technologické možnosti realizácie sú zhodnotené z hľadiska technickej realizovateľnosti ako vyhovujúce. Mesto Žilina v procese prípravy podkladov a predprojektovej a projektovej prípravy upravilo územný plán mesta spôsobom, aby bol pripravovaný projekt plne v súlade s územným plánom. Na možnosti dopravného napojenia bola spracovaná štúdia dopravného napojenia Žilinskou univerzitou </w:t>
      </w:r>
      <w:r>
        <w:rPr>
          <w:rFonts w:ascii="Century Gothic" w:hAnsi="Century Gothic"/>
          <w:sz w:val="22"/>
          <w:szCs w:val="22"/>
        </w:rPr>
        <w:t xml:space="preserve">v </w:t>
      </w:r>
      <w:r w:rsidR="00024CEF" w:rsidRPr="002679C1">
        <w:rPr>
          <w:rFonts w:ascii="Century Gothic" w:hAnsi="Century Gothic"/>
          <w:sz w:val="22"/>
          <w:szCs w:val="22"/>
        </w:rPr>
        <w:t>Žiline ku ktorej sa vyjadrili kladne všetky relevantné dotknuté organizácie vrátane Slovenskej správy ciest a mesta Žilina – odboru dopravy. Body napojenia na inžinierske siete s potrebnými kapacitami pre potreby pripravovaného nového pavilónu má nemocnica k dispozícii v rámci existujúcej siete inžinierskych sieti a čo je najpodstatnejšie všetky sú príslušnými správcami inžinierskych sietí určené v rámci existujúceho areálu</w:t>
      </w:r>
      <w:r w:rsidR="00024CEF" w:rsidRPr="002679C1">
        <w:rPr>
          <w:rFonts w:ascii="Century Gothic" w:hAnsi="Century Gothic"/>
          <w:b/>
          <w:sz w:val="22"/>
          <w:szCs w:val="22"/>
        </w:rPr>
        <w:t xml:space="preserve">. Z technického hľadiska a z pohľadu územnoplánovacej dokumentácie </w:t>
      </w:r>
      <w:r w:rsidR="00A63966" w:rsidRPr="002679C1">
        <w:rPr>
          <w:rFonts w:ascii="Century Gothic" w:hAnsi="Century Gothic"/>
          <w:b/>
          <w:sz w:val="22"/>
          <w:szCs w:val="22"/>
        </w:rPr>
        <w:t xml:space="preserve">teda </w:t>
      </w:r>
      <w:r w:rsidR="00024CEF" w:rsidRPr="002679C1">
        <w:rPr>
          <w:rFonts w:ascii="Century Gothic" w:hAnsi="Century Gothic"/>
          <w:b/>
          <w:sz w:val="22"/>
          <w:szCs w:val="22"/>
        </w:rPr>
        <w:t xml:space="preserve">výstavbe nového </w:t>
      </w:r>
      <w:r w:rsidR="007756C0">
        <w:rPr>
          <w:rFonts w:ascii="Century Gothic" w:hAnsi="Century Gothic"/>
          <w:b/>
          <w:sz w:val="22"/>
          <w:szCs w:val="22"/>
        </w:rPr>
        <w:t>P</w:t>
      </w:r>
      <w:r w:rsidR="00024CEF" w:rsidRPr="002679C1">
        <w:rPr>
          <w:rFonts w:ascii="Century Gothic" w:hAnsi="Century Gothic"/>
          <w:b/>
          <w:sz w:val="22"/>
          <w:szCs w:val="22"/>
        </w:rPr>
        <w:t>avilónu urgentnej medicíny v rámci existujúceho areálu nič nebráni .</w:t>
      </w:r>
    </w:p>
    <w:p w14:paraId="5F697D0F" w14:textId="77777777" w:rsidR="002679C1" w:rsidRPr="002679C1" w:rsidRDefault="002679C1" w:rsidP="00B447EE">
      <w:pPr>
        <w:spacing w:line="240" w:lineRule="auto"/>
        <w:rPr>
          <w:rFonts w:ascii="Century Gothic" w:hAnsi="Century Gothic"/>
          <w:b/>
          <w:sz w:val="22"/>
          <w:szCs w:val="22"/>
        </w:rPr>
      </w:pPr>
    </w:p>
    <w:p w14:paraId="50C9B857" w14:textId="09B0AC8C" w:rsidR="00024CEF" w:rsidRPr="00C67E68" w:rsidRDefault="00024CEF" w:rsidP="00B447EE">
      <w:pPr>
        <w:spacing w:line="240" w:lineRule="auto"/>
        <w:rPr>
          <w:rFonts w:ascii="Century Gothic" w:hAnsi="Century Gothic"/>
          <w:b/>
          <w:sz w:val="22"/>
          <w:szCs w:val="22"/>
        </w:rPr>
      </w:pPr>
      <w:r w:rsidRPr="002679C1">
        <w:rPr>
          <w:rFonts w:ascii="Century Gothic" w:hAnsi="Century Gothic"/>
          <w:b/>
          <w:sz w:val="22"/>
          <w:szCs w:val="22"/>
        </w:rPr>
        <w:t>Z pohľadu investičných nákladov tieto sú odhadnuté na základe aktuálne</w:t>
      </w:r>
      <w:r w:rsidR="00A63966" w:rsidRPr="002679C1">
        <w:rPr>
          <w:rFonts w:ascii="Century Gothic" w:hAnsi="Century Gothic"/>
          <w:b/>
          <w:sz w:val="22"/>
          <w:szCs w:val="22"/>
        </w:rPr>
        <w:t xml:space="preserve"> dostupných dát z existujúcich hodnotení podobných projektov zo strany UHP</w:t>
      </w:r>
      <w:r w:rsidRPr="002679C1">
        <w:rPr>
          <w:rFonts w:ascii="Century Gothic" w:hAnsi="Century Gothic"/>
          <w:b/>
          <w:sz w:val="22"/>
          <w:szCs w:val="22"/>
        </w:rPr>
        <w:t xml:space="preserve"> </w:t>
      </w:r>
      <w:r w:rsidR="00A63966" w:rsidRPr="002679C1">
        <w:rPr>
          <w:rFonts w:ascii="Century Gothic" w:hAnsi="Century Gothic"/>
          <w:b/>
          <w:sz w:val="22"/>
          <w:szCs w:val="22"/>
        </w:rPr>
        <w:t xml:space="preserve">a sú plne v súlade s vládou schválenými </w:t>
      </w:r>
      <w:proofErr w:type="spellStart"/>
      <w:r w:rsidR="00A63966" w:rsidRPr="002679C1">
        <w:rPr>
          <w:rFonts w:ascii="Century Gothic" w:hAnsi="Century Gothic"/>
          <w:b/>
          <w:sz w:val="22"/>
          <w:szCs w:val="22"/>
        </w:rPr>
        <w:t>benchmarkami</w:t>
      </w:r>
      <w:proofErr w:type="spellEnd"/>
      <w:r w:rsidRPr="002679C1">
        <w:rPr>
          <w:rFonts w:ascii="Century Gothic" w:hAnsi="Century Gothic"/>
          <w:b/>
          <w:sz w:val="22"/>
          <w:szCs w:val="22"/>
        </w:rPr>
        <w:t xml:space="preserve"> pre potreby Plánu obnovy a odolnosti (POO),</w:t>
      </w:r>
      <w:r w:rsidRPr="002679C1">
        <w:rPr>
          <w:rFonts w:ascii="Century Gothic" w:hAnsi="Century Gothic"/>
          <w:sz w:val="22"/>
          <w:szCs w:val="22"/>
        </w:rPr>
        <w:t xml:space="preserve"> ktorý poskytuje základný predpoklad finančného krytia pripravovanej investície. Stanovené </w:t>
      </w:r>
      <w:proofErr w:type="spellStart"/>
      <w:r w:rsidRPr="002679C1">
        <w:rPr>
          <w:rFonts w:ascii="Century Gothic" w:hAnsi="Century Gothic"/>
          <w:sz w:val="22"/>
          <w:szCs w:val="22"/>
        </w:rPr>
        <w:t>benchmarky</w:t>
      </w:r>
      <w:proofErr w:type="spellEnd"/>
      <w:r w:rsidRPr="002679C1">
        <w:rPr>
          <w:rFonts w:ascii="Century Gothic" w:hAnsi="Century Gothic"/>
          <w:sz w:val="22"/>
          <w:szCs w:val="22"/>
        </w:rPr>
        <w:t xml:space="preserve"> </w:t>
      </w:r>
      <w:r w:rsidR="00A63966" w:rsidRPr="002679C1">
        <w:rPr>
          <w:rFonts w:ascii="Century Gothic" w:hAnsi="Century Gothic"/>
          <w:sz w:val="22"/>
          <w:szCs w:val="22"/>
        </w:rPr>
        <w:t xml:space="preserve">teda </w:t>
      </w:r>
      <w:r w:rsidR="002679C1">
        <w:rPr>
          <w:rFonts w:ascii="Century Gothic" w:hAnsi="Century Gothic"/>
          <w:sz w:val="22"/>
          <w:szCs w:val="22"/>
        </w:rPr>
        <w:t xml:space="preserve">vníma </w:t>
      </w:r>
      <w:proofErr w:type="spellStart"/>
      <w:r w:rsidR="002679C1">
        <w:rPr>
          <w:rFonts w:ascii="Century Gothic" w:hAnsi="Century Gothic"/>
          <w:sz w:val="22"/>
          <w:szCs w:val="22"/>
        </w:rPr>
        <w:t>FNsP</w:t>
      </w:r>
      <w:proofErr w:type="spellEnd"/>
      <w:r w:rsidR="002679C1">
        <w:rPr>
          <w:rFonts w:ascii="Century Gothic" w:hAnsi="Century Gothic"/>
          <w:sz w:val="22"/>
          <w:szCs w:val="22"/>
        </w:rPr>
        <w:t xml:space="preserve"> Žilina</w:t>
      </w:r>
      <w:r w:rsidR="00BC2F2C">
        <w:rPr>
          <w:rFonts w:ascii="Century Gothic" w:hAnsi="Century Gothic"/>
          <w:sz w:val="22"/>
          <w:szCs w:val="22"/>
        </w:rPr>
        <w:t xml:space="preserve"> </w:t>
      </w:r>
      <w:r w:rsidRPr="002679C1">
        <w:rPr>
          <w:rFonts w:ascii="Century Gothic" w:hAnsi="Century Gothic"/>
          <w:sz w:val="22"/>
          <w:szCs w:val="22"/>
        </w:rPr>
        <w:t>ako postačujúce z pohľadu výšky investičných nákladov projektu. Nákl</w:t>
      </w:r>
      <w:r w:rsidR="00EA21D8">
        <w:rPr>
          <w:rFonts w:ascii="Century Gothic" w:hAnsi="Century Gothic"/>
          <w:sz w:val="22"/>
          <w:szCs w:val="22"/>
        </w:rPr>
        <w:t>adová a výnosová časť ekonomických analýz</w:t>
      </w:r>
      <w:r w:rsidRPr="002679C1">
        <w:rPr>
          <w:rFonts w:ascii="Century Gothic" w:hAnsi="Century Gothic"/>
          <w:sz w:val="22"/>
          <w:szCs w:val="22"/>
        </w:rPr>
        <w:t xml:space="preserve"> bola spracovaná na základe dostupných historických reálnych dát za obdobie 2016 </w:t>
      </w:r>
      <w:r w:rsidRPr="002679C1">
        <w:rPr>
          <w:rFonts w:ascii="Century Gothic" w:hAnsi="Century Gothic"/>
          <w:sz w:val="22"/>
          <w:szCs w:val="22"/>
        </w:rPr>
        <w:lastRenderedPageBreak/>
        <w:t xml:space="preserve">až 2022. Hodnotenie ekonomickej efektívnosti v súčasnej situácii, kde kumulatívny hospodársky výsledok za obdobie rokov 2016 až 2022 dosiahol záporný výsledok na úrovni viac ako 18 </w:t>
      </w:r>
      <w:r w:rsidRPr="00CC28FD">
        <w:rPr>
          <w:rFonts w:ascii="Century Gothic" w:hAnsi="Century Gothic"/>
          <w:sz w:val="22"/>
          <w:szCs w:val="22"/>
        </w:rPr>
        <w:t xml:space="preserve">miliónov </w:t>
      </w:r>
      <w:r w:rsidR="00CC28FD" w:rsidRPr="00CC28FD">
        <w:rPr>
          <w:rFonts w:ascii="Century Gothic" w:hAnsi="Century Gothic"/>
          <w:sz w:val="22"/>
          <w:szCs w:val="22"/>
        </w:rPr>
        <w:t>Eur</w:t>
      </w:r>
      <w:r w:rsidRPr="00CC28FD">
        <w:rPr>
          <w:rFonts w:ascii="Century Gothic" w:hAnsi="Century Gothic"/>
          <w:sz w:val="22"/>
          <w:szCs w:val="22"/>
        </w:rPr>
        <w:t>. Priemerná</w:t>
      </w:r>
      <w:r w:rsidRPr="002679C1">
        <w:rPr>
          <w:rFonts w:ascii="Century Gothic" w:hAnsi="Century Gothic"/>
          <w:sz w:val="22"/>
          <w:szCs w:val="22"/>
        </w:rPr>
        <w:t xml:space="preserve"> ročná strata </w:t>
      </w:r>
      <w:r w:rsidR="00C74DAD">
        <w:rPr>
          <w:rFonts w:ascii="Century Gothic" w:hAnsi="Century Gothic"/>
          <w:sz w:val="22"/>
          <w:szCs w:val="22"/>
        </w:rPr>
        <w:t>z</w:t>
      </w:r>
      <w:r w:rsidRPr="002679C1">
        <w:rPr>
          <w:rFonts w:ascii="Century Gothic" w:hAnsi="Century Gothic"/>
          <w:sz w:val="22"/>
          <w:szCs w:val="22"/>
        </w:rPr>
        <w:t xml:space="preserve">a toto obdobie generovaná Fakultnou nemocnicou s poliklinikou v Žiline dosiahla úroveň </w:t>
      </w:r>
      <w:r w:rsidR="00DC0946">
        <w:rPr>
          <w:rFonts w:ascii="Century Gothic" w:hAnsi="Century Gothic"/>
          <w:sz w:val="22"/>
          <w:szCs w:val="22"/>
        </w:rPr>
        <w:t>cc</w:t>
      </w:r>
      <w:r w:rsidRPr="002679C1">
        <w:rPr>
          <w:rFonts w:ascii="Century Gothic" w:hAnsi="Century Gothic"/>
          <w:sz w:val="22"/>
          <w:szCs w:val="22"/>
        </w:rPr>
        <w:t>a 2</w:t>
      </w:r>
      <w:r w:rsidR="00DC0946">
        <w:rPr>
          <w:rFonts w:ascii="Century Gothic" w:hAnsi="Century Gothic"/>
          <w:sz w:val="22"/>
          <w:szCs w:val="22"/>
        </w:rPr>
        <w:t>,5</w:t>
      </w:r>
      <w:r w:rsidRPr="002679C1">
        <w:rPr>
          <w:rFonts w:ascii="Century Gothic" w:hAnsi="Century Gothic"/>
          <w:sz w:val="22"/>
          <w:szCs w:val="22"/>
        </w:rPr>
        <w:t xml:space="preserve"> milióny </w:t>
      </w:r>
      <w:r w:rsidR="00CC28FD">
        <w:rPr>
          <w:rFonts w:ascii="Century Gothic" w:hAnsi="Century Gothic"/>
          <w:sz w:val="22"/>
          <w:szCs w:val="22"/>
        </w:rPr>
        <w:t>Eur</w:t>
      </w:r>
      <w:r w:rsidRPr="002679C1">
        <w:rPr>
          <w:rFonts w:ascii="Century Gothic" w:hAnsi="Century Gothic"/>
          <w:sz w:val="22"/>
          <w:szCs w:val="22"/>
        </w:rPr>
        <w:t>. Z uvedených faktov jednoznačne vyplýva, že nie je možné racionálne uvažovať, že žilinská nemocnica v súčasnej kondícii a ekonomickej situácii slovenskom zdravotníctve dokáže generovať príjmy, ktoré by dávali teoretický predpoklad na finančnú návratnosť pripravovanej investície</w:t>
      </w:r>
      <w:r w:rsidR="00DC0946">
        <w:rPr>
          <w:rFonts w:ascii="Century Gothic" w:hAnsi="Century Gothic"/>
          <w:sz w:val="22"/>
          <w:szCs w:val="22"/>
        </w:rPr>
        <w:t>.</w:t>
      </w:r>
      <w:r w:rsidRPr="002679C1">
        <w:rPr>
          <w:rFonts w:ascii="Century Gothic" w:hAnsi="Century Gothic"/>
          <w:sz w:val="22"/>
          <w:szCs w:val="22"/>
        </w:rPr>
        <w:t xml:space="preserve"> </w:t>
      </w:r>
      <w:r w:rsidR="00DC0946">
        <w:rPr>
          <w:rFonts w:ascii="Century Gothic" w:hAnsi="Century Gothic"/>
          <w:sz w:val="22"/>
          <w:szCs w:val="22"/>
        </w:rPr>
        <w:t>P</w:t>
      </w:r>
      <w:r w:rsidRPr="002679C1">
        <w:rPr>
          <w:rFonts w:ascii="Century Gothic" w:hAnsi="Century Gothic"/>
          <w:sz w:val="22"/>
          <w:szCs w:val="22"/>
        </w:rPr>
        <w:t xml:space="preserve">ri hodnotení ekonomickej efektívnosti resp. </w:t>
      </w:r>
      <w:r w:rsidRPr="00C67E68">
        <w:rPr>
          <w:rFonts w:ascii="Century Gothic" w:hAnsi="Century Gothic"/>
          <w:b/>
          <w:sz w:val="22"/>
          <w:szCs w:val="22"/>
        </w:rPr>
        <w:t xml:space="preserve">pri definitívnom posúdení možnosti realizácie hodnotenej investície je nutné brať do úvahy </w:t>
      </w:r>
      <w:r w:rsidR="00DC0946" w:rsidRPr="00C67E68">
        <w:rPr>
          <w:rFonts w:ascii="Century Gothic" w:hAnsi="Century Gothic"/>
          <w:b/>
          <w:sz w:val="22"/>
          <w:szCs w:val="22"/>
        </w:rPr>
        <w:t xml:space="preserve">primárne </w:t>
      </w:r>
      <w:r w:rsidRPr="00C67E68">
        <w:rPr>
          <w:rFonts w:ascii="Century Gothic" w:hAnsi="Century Gothic"/>
          <w:b/>
          <w:sz w:val="22"/>
          <w:szCs w:val="22"/>
        </w:rPr>
        <w:t>socioekonomické a celospoločenské nepriamo generované benefity realizácie investície</w:t>
      </w:r>
      <w:r w:rsidR="00DC0946" w:rsidRPr="00C67E68">
        <w:rPr>
          <w:rFonts w:ascii="Century Gothic" w:hAnsi="Century Gothic"/>
          <w:b/>
          <w:sz w:val="22"/>
          <w:szCs w:val="22"/>
        </w:rPr>
        <w:t xml:space="preserve"> (zdravotný stav obyvateľstva</w:t>
      </w:r>
      <w:r w:rsidR="00CD5C88">
        <w:rPr>
          <w:rFonts w:ascii="Century Gothic" w:hAnsi="Century Gothic"/>
          <w:b/>
          <w:sz w:val="22"/>
          <w:szCs w:val="22"/>
        </w:rPr>
        <w:t xml:space="preserve"> a pod</w:t>
      </w:r>
      <w:r w:rsidR="00DC0946" w:rsidRPr="00C67E68">
        <w:rPr>
          <w:rFonts w:ascii="Century Gothic" w:hAnsi="Century Gothic"/>
          <w:b/>
          <w:sz w:val="22"/>
          <w:szCs w:val="22"/>
        </w:rPr>
        <w:t>)</w:t>
      </w:r>
      <w:r w:rsidR="00A63966" w:rsidRPr="00C67E68">
        <w:rPr>
          <w:rFonts w:ascii="Century Gothic" w:hAnsi="Century Gothic"/>
          <w:b/>
          <w:sz w:val="22"/>
          <w:szCs w:val="22"/>
        </w:rPr>
        <w:t>, alebo akceptovať základný predpoklad</w:t>
      </w:r>
      <w:r w:rsidR="00DC0946" w:rsidRPr="00C67E68">
        <w:rPr>
          <w:rFonts w:ascii="Century Gothic" w:hAnsi="Century Gothic"/>
          <w:b/>
          <w:sz w:val="22"/>
          <w:szCs w:val="22"/>
        </w:rPr>
        <w:t>,</w:t>
      </w:r>
      <w:r w:rsidR="00A63966" w:rsidRPr="00C67E68">
        <w:rPr>
          <w:rFonts w:ascii="Century Gothic" w:hAnsi="Century Gothic"/>
          <w:b/>
          <w:sz w:val="22"/>
          <w:szCs w:val="22"/>
        </w:rPr>
        <w:t xml:space="preserve"> z ktorého vychádza ekonomický model </w:t>
      </w:r>
      <w:proofErr w:type="spellStart"/>
      <w:r w:rsidR="00A63966" w:rsidRPr="00C67E68">
        <w:rPr>
          <w:rFonts w:ascii="Century Gothic" w:hAnsi="Century Gothic"/>
          <w:b/>
          <w:sz w:val="22"/>
          <w:szCs w:val="22"/>
        </w:rPr>
        <w:t>t.j</w:t>
      </w:r>
      <w:proofErr w:type="spellEnd"/>
      <w:r w:rsidR="00A63966" w:rsidRPr="00C67E68">
        <w:rPr>
          <w:rFonts w:ascii="Century Gothic" w:hAnsi="Century Gothic"/>
          <w:b/>
          <w:sz w:val="22"/>
          <w:szCs w:val="22"/>
        </w:rPr>
        <w:t xml:space="preserve">., že mzdové náklady, ako najväčšia nákladová položka, budú po navýšeniach realizovaných v poslednom období stabilizované a ich rast bude oproti historickým dátam na zhruba polovičnej úrovni. </w:t>
      </w:r>
      <w:r w:rsidR="00CD5C88">
        <w:rPr>
          <w:rFonts w:ascii="Century Gothic" w:hAnsi="Century Gothic"/>
          <w:b/>
          <w:sz w:val="22"/>
          <w:szCs w:val="22"/>
        </w:rPr>
        <w:t>Následne za predpokladu udržania očakávaného rastu príjmov na úrovni štatistických priemerov dosahovaných posledných 10 rokov hodnotená investícia dosiahne požadované parametre aj z pohľadu ekonomickej efektív</w:t>
      </w:r>
      <w:r w:rsidR="007756C0">
        <w:rPr>
          <w:rFonts w:ascii="Century Gothic" w:hAnsi="Century Gothic"/>
          <w:b/>
          <w:sz w:val="22"/>
          <w:szCs w:val="22"/>
        </w:rPr>
        <w:t>nosti, čo dokladuje ekonomický m</w:t>
      </w:r>
      <w:r w:rsidR="00CD5C88">
        <w:rPr>
          <w:rFonts w:ascii="Century Gothic" w:hAnsi="Century Gothic"/>
          <w:b/>
          <w:sz w:val="22"/>
          <w:szCs w:val="22"/>
        </w:rPr>
        <w:t xml:space="preserve">odel ktorý je prílohou tejto štúdie.  </w:t>
      </w:r>
      <w:r w:rsidR="00A63966" w:rsidRPr="00C67E68">
        <w:rPr>
          <w:rFonts w:ascii="Century Gothic" w:hAnsi="Century Gothic"/>
          <w:b/>
          <w:sz w:val="22"/>
          <w:szCs w:val="22"/>
        </w:rPr>
        <w:t xml:space="preserve"> </w:t>
      </w:r>
    </w:p>
    <w:p w14:paraId="11780276" w14:textId="77777777" w:rsidR="002679C1" w:rsidRPr="002679C1" w:rsidRDefault="002679C1" w:rsidP="00B447EE">
      <w:pPr>
        <w:spacing w:line="240" w:lineRule="auto"/>
        <w:rPr>
          <w:rFonts w:ascii="Century Gothic" w:hAnsi="Century Gothic"/>
          <w:sz w:val="22"/>
          <w:szCs w:val="22"/>
        </w:rPr>
      </w:pPr>
    </w:p>
    <w:p w14:paraId="65B1CD5A" w14:textId="4555E132" w:rsidR="00024CEF" w:rsidRDefault="00024CEF" w:rsidP="00B447EE">
      <w:pPr>
        <w:spacing w:line="240" w:lineRule="auto"/>
        <w:rPr>
          <w:rFonts w:ascii="Century Gothic" w:hAnsi="Century Gothic"/>
          <w:sz w:val="22"/>
          <w:szCs w:val="22"/>
        </w:rPr>
      </w:pPr>
      <w:r w:rsidRPr="002679C1">
        <w:rPr>
          <w:rFonts w:ascii="Century Gothic" w:hAnsi="Century Gothic"/>
          <w:sz w:val="22"/>
          <w:szCs w:val="22"/>
        </w:rPr>
        <w:t>Jednoznačný záver, ktorý z uvedených faktov vyplýva je, že pre realizáciu projektu je  nevyhnutné zabezpečiť externé zdroje financovania. Fakultná nemocnica s poliklinikou v Žiline momentálne definuje ako možné zdroje financ</w:t>
      </w:r>
      <w:r w:rsidR="00EA21D8">
        <w:rPr>
          <w:rFonts w:ascii="Century Gothic" w:hAnsi="Century Gothic"/>
          <w:sz w:val="22"/>
          <w:szCs w:val="22"/>
        </w:rPr>
        <w:t>ovania Plán obnovy a odolnosti S</w:t>
      </w:r>
      <w:r w:rsidRPr="002679C1">
        <w:rPr>
          <w:rFonts w:ascii="Century Gothic" w:hAnsi="Century Gothic"/>
          <w:sz w:val="22"/>
          <w:szCs w:val="22"/>
        </w:rPr>
        <w:t>lovensk</w:t>
      </w:r>
      <w:r w:rsidR="00DB4DD7" w:rsidRPr="002679C1">
        <w:rPr>
          <w:rFonts w:ascii="Century Gothic" w:hAnsi="Century Gothic"/>
          <w:sz w:val="22"/>
          <w:szCs w:val="22"/>
        </w:rPr>
        <w:t>ej</w:t>
      </w:r>
      <w:r w:rsidRPr="002679C1">
        <w:rPr>
          <w:rFonts w:ascii="Century Gothic" w:hAnsi="Century Gothic"/>
          <w:sz w:val="22"/>
          <w:szCs w:val="22"/>
        </w:rPr>
        <w:t xml:space="preserve"> republiky alebo iné európske </w:t>
      </w:r>
      <w:r w:rsidR="00DB4DD7" w:rsidRPr="002679C1">
        <w:rPr>
          <w:rFonts w:ascii="Century Gothic" w:hAnsi="Century Gothic"/>
          <w:sz w:val="22"/>
          <w:szCs w:val="22"/>
        </w:rPr>
        <w:t xml:space="preserve">a </w:t>
      </w:r>
      <w:r w:rsidRPr="002679C1">
        <w:rPr>
          <w:rFonts w:ascii="Century Gothic" w:hAnsi="Century Gothic"/>
          <w:sz w:val="22"/>
          <w:szCs w:val="22"/>
        </w:rPr>
        <w:t>štrukturálne fondy</w:t>
      </w:r>
      <w:r w:rsidR="00DC0946">
        <w:rPr>
          <w:rFonts w:ascii="Century Gothic" w:hAnsi="Century Gothic"/>
          <w:sz w:val="22"/>
          <w:szCs w:val="22"/>
        </w:rPr>
        <w:t>, resp. štátny rozpočet</w:t>
      </w:r>
      <w:r w:rsidRPr="002679C1">
        <w:rPr>
          <w:rFonts w:ascii="Century Gothic" w:hAnsi="Century Gothic"/>
          <w:sz w:val="22"/>
          <w:szCs w:val="22"/>
        </w:rPr>
        <w:t xml:space="preserve">. Vzhľadom na nepripravenosť ostatných projektov a vznikajúce komplikácie pri ich predprojektovej a projektovej príprave deklarujeme, že dokumentácia na územné rozhodnutie bola predložená na príslušné orgány štátnej a verejnej správy so žiadosťou </w:t>
      </w:r>
      <w:r w:rsidR="00EA21D8">
        <w:rPr>
          <w:rFonts w:ascii="Century Gothic" w:hAnsi="Century Gothic"/>
          <w:sz w:val="22"/>
          <w:szCs w:val="22"/>
        </w:rPr>
        <w:t xml:space="preserve">o </w:t>
      </w:r>
      <w:r w:rsidRPr="002679C1">
        <w:rPr>
          <w:rFonts w:ascii="Century Gothic" w:hAnsi="Century Gothic"/>
          <w:sz w:val="22"/>
          <w:szCs w:val="22"/>
        </w:rPr>
        <w:t xml:space="preserve">vyjadrenie k vydaniu územného rozhodnutia na realizáciu projektu. Najzložitejšie aspekty povoľovacích procesov, ako sú hodnotenie vplyvov na životné prostredie takzvaná EIA a majetkovo-právne vysporiadanie sú rozbehnuté spôsobom, ktorý dáva reálny predpoklad, aby sa investícia </w:t>
      </w:r>
      <w:r w:rsidR="00203BE1">
        <w:rPr>
          <w:rFonts w:ascii="Century Gothic" w:hAnsi="Century Gothic"/>
          <w:sz w:val="22"/>
          <w:szCs w:val="22"/>
        </w:rPr>
        <w:t>začala realizovať v roku 2024</w:t>
      </w:r>
      <w:r w:rsidRPr="002679C1">
        <w:rPr>
          <w:rFonts w:ascii="Century Gothic" w:hAnsi="Century Gothic"/>
          <w:sz w:val="22"/>
          <w:szCs w:val="22"/>
        </w:rPr>
        <w:t xml:space="preserve"> </w:t>
      </w:r>
      <w:r w:rsidR="00203BE1">
        <w:rPr>
          <w:rFonts w:ascii="Century Gothic" w:hAnsi="Century Gothic"/>
          <w:sz w:val="22"/>
          <w:szCs w:val="22"/>
        </w:rPr>
        <w:t xml:space="preserve">a vzhľadom na rozsah bola dokončená </w:t>
      </w:r>
      <w:r w:rsidRPr="002679C1">
        <w:rPr>
          <w:rFonts w:ascii="Century Gothic" w:hAnsi="Century Gothic"/>
          <w:sz w:val="22"/>
          <w:szCs w:val="22"/>
        </w:rPr>
        <w:t>v období do 06/2026. Konkrétne hodnotenie vplyvov na životné prostredie prebieha menej náročným zaisťovacím konaním a má predpoklad byť ukončené do septembra tohto roka 2023 a z hľadiska majetkovo-právneho vysporiadania prebiehajú jednoduché pozemkové úpravy v areáli nemocnice,</w:t>
      </w:r>
      <w:r w:rsidR="007756C0">
        <w:rPr>
          <w:rFonts w:ascii="Century Gothic" w:hAnsi="Century Gothic"/>
          <w:sz w:val="22"/>
          <w:szCs w:val="22"/>
        </w:rPr>
        <w:t xml:space="preserve"> ktoré v plnom rozsahu vyriešia</w:t>
      </w:r>
      <w:r w:rsidR="00EA21D8">
        <w:rPr>
          <w:rFonts w:ascii="Century Gothic" w:hAnsi="Century Gothic"/>
          <w:sz w:val="22"/>
          <w:szCs w:val="22"/>
        </w:rPr>
        <w:t xml:space="preserve"> majetkovo-</w:t>
      </w:r>
      <w:r w:rsidRPr="002679C1">
        <w:rPr>
          <w:rFonts w:ascii="Century Gothic" w:hAnsi="Century Gothic"/>
          <w:sz w:val="22"/>
          <w:szCs w:val="22"/>
        </w:rPr>
        <w:t xml:space="preserve">právne vysporiadanie pozemkov potrebných na výstavbu. </w:t>
      </w:r>
    </w:p>
    <w:p w14:paraId="776FE00C" w14:textId="77777777" w:rsidR="00D46D91" w:rsidRPr="002679C1" w:rsidRDefault="00D46D91" w:rsidP="00B447EE">
      <w:pPr>
        <w:spacing w:line="240" w:lineRule="auto"/>
        <w:rPr>
          <w:rFonts w:ascii="Century Gothic" w:hAnsi="Century Gothic"/>
          <w:sz w:val="22"/>
          <w:szCs w:val="22"/>
        </w:rPr>
      </w:pPr>
    </w:p>
    <w:p w14:paraId="1F3D8EF8" w14:textId="323B5E1C" w:rsidR="00024CEF" w:rsidRPr="00C242B5" w:rsidRDefault="00024CEF" w:rsidP="00C242B5">
      <w:pPr>
        <w:rPr>
          <w:rFonts w:ascii="Century Gothic" w:hAnsi="Century Gothic"/>
          <w:b/>
          <w:color w:val="4F81BD" w:themeColor="accent1"/>
          <w:sz w:val="22"/>
          <w:szCs w:val="22"/>
        </w:rPr>
      </w:pPr>
      <w:bookmarkStart w:id="34" w:name="_Toc129154429"/>
      <w:r w:rsidRPr="00C242B5">
        <w:rPr>
          <w:rFonts w:ascii="Century Gothic" w:hAnsi="Century Gothic"/>
          <w:b/>
          <w:color w:val="4F81BD" w:themeColor="accent1"/>
          <w:sz w:val="22"/>
          <w:szCs w:val="22"/>
        </w:rPr>
        <w:t>Základné rozmerové parametre</w:t>
      </w:r>
      <w:bookmarkEnd w:id="34"/>
    </w:p>
    <w:p w14:paraId="4E245A9E" w14:textId="77777777"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Hlavné rozmery objektu</w:t>
      </w:r>
    </w:p>
    <w:p w14:paraId="63B52F45" w14:textId="0BD3E4AC"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Nadzemná časť:</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002679C1">
        <w:rPr>
          <w:rFonts w:ascii="Century Gothic" w:hAnsi="Century Gothic"/>
          <w:sz w:val="22"/>
          <w:szCs w:val="22"/>
        </w:rPr>
        <w:tab/>
      </w:r>
      <w:r w:rsidRPr="002679C1">
        <w:rPr>
          <w:rFonts w:ascii="Century Gothic" w:hAnsi="Century Gothic"/>
          <w:sz w:val="22"/>
          <w:szCs w:val="22"/>
        </w:rPr>
        <w:t xml:space="preserve">111,050 x 177,100 m </w:t>
      </w:r>
    </w:p>
    <w:p w14:paraId="38E35C08" w14:textId="1188E253"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Nadzemná časť blok A, B, C</w:t>
      </w:r>
      <w:r w:rsidRPr="002679C1">
        <w:rPr>
          <w:rFonts w:ascii="Century Gothic" w:hAnsi="Century Gothic"/>
          <w:sz w:val="22"/>
          <w:szCs w:val="22"/>
        </w:rPr>
        <w:tab/>
      </w:r>
      <w:r w:rsidRPr="002679C1">
        <w:rPr>
          <w:rFonts w:ascii="Century Gothic" w:hAnsi="Century Gothic"/>
          <w:sz w:val="22"/>
          <w:szCs w:val="22"/>
        </w:rPr>
        <w:tab/>
        <w:t xml:space="preserve">  </w:t>
      </w:r>
      <w:r w:rsidRPr="002679C1">
        <w:rPr>
          <w:rFonts w:ascii="Century Gothic" w:hAnsi="Century Gothic"/>
          <w:sz w:val="22"/>
          <w:szCs w:val="22"/>
        </w:rPr>
        <w:tab/>
        <w:t>55,875 x 173,500 m</w:t>
      </w:r>
    </w:p>
    <w:p w14:paraId="054E8350" w14:textId="04980F6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Nadzemná časť každej lôžkovej časti</w:t>
      </w:r>
      <w:r w:rsidRPr="002679C1">
        <w:rPr>
          <w:rFonts w:ascii="Century Gothic" w:hAnsi="Century Gothic"/>
          <w:sz w:val="22"/>
          <w:szCs w:val="22"/>
        </w:rPr>
        <w:tab/>
        <w:t xml:space="preserve">  </w:t>
      </w:r>
      <w:r w:rsidRPr="002679C1">
        <w:rPr>
          <w:rFonts w:ascii="Century Gothic" w:hAnsi="Century Gothic"/>
          <w:sz w:val="22"/>
          <w:szCs w:val="22"/>
        </w:rPr>
        <w:tab/>
        <w:t>28,900 x   55,175 m</w:t>
      </w:r>
    </w:p>
    <w:p w14:paraId="301056D3"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Podzemná časť</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110,100 x 172,500 m</w:t>
      </w:r>
    </w:p>
    <w:p w14:paraId="7DDFB06B" w14:textId="77777777" w:rsidR="00024CEF" w:rsidRPr="002679C1" w:rsidRDefault="00024CEF" w:rsidP="00B447EE">
      <w:pPr>
        <w:suppressAutoHyphens/>
        <w:spacing w:line="240" w:lineRule="auto"/>
        <w:rPr>
          <w:rFonts w:ascii="Century Gothic" w:hAnsi="Century Gothic"/>
          <w:sz w:val="22"/>
          <w:szCs w:val="22"/>
        </w:rPr>
      </w:pPr>
    </w:p>
    <w:p w14:paraId="097FFBED" w14:textId="77777777"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Počet podlaží</w:t>
      </w:r>
      <w:r w:rsidRPr="002679C1">
        <w:rPr>
          <w:rFonts w:ascii="Century Gothic" w:hAnsi="Century Gothic"/>
          <w:b/>
          <w:bCs/>
          <w:sz w:val="22"/>
          <w:szCs w:val="22"/>
        </w:rPr>
        <w:tab/>
      </w:r>
      <w:r w:rsidRPr="002679C1">
        <w:rPr>
          <w:rFonts w:ascii="Century Gothic" w:hAnsi="Century Gothic"/>
          <w:b/>
          <w:bCs/>
          <w:sz w:val="22"/>
          <w:szCs w:val="22"/>
        </w:rPr>
        <w:tab/>
      </w:r>
    </w:p>
    <w:p w14:paraId="0DF05ABD"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Počet podzemných podlaží ambulantná časť</w:t>
      </w:r>
      <w:r w:rsidRPr="002679C1">
        <w:rPr>
          <w:rFonts w:ascii="Century Gothic" w:hAnsi="Century Gothic"/>
          <w:sz w:val="22"/>
          <w:szCs w:val="22"/>
        </w:rPr>
        <w:tab/>
        <w:t>1.PP</w:t>
      </w:r>
    </w:p>
    <w:p w14:paraId="58D5BB82"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Počet nadzemných podlaží ambulantná časť</w:t>
      </w:r>
      <w:r w:rsidRPr="002679C1">
        <w:rPr>
          <w:rFonts w:ascii="Century Gothic" w:hAnsi="Century Gothic"/>
          <w:sz w:val="22"/>
          <w:szCs w:val="22"/>
        </w:rPr>
        <w:tab/>
        <w:t xml:space="preserve">5.NP + ustúpené technické podlažie + </w:t>
      </w:r>
      <w:proofErr w:type="spellStart"/>
      <w:r w:rsidRPr="002679C1">
        <w:rPr>
          <w:rFonts w:ascii="Century Gothic" w:hAnsi="Century Gothic"/>
          <w:sz w:val="22"/>
          <w:szCs w:val="22"/>
        </w:rPr>
        <w:t>heliport</w:t>
      </w:r>
      <w:proofErr w:type="spellEnd"/>
    </w:p>
    <w:p w14:paraId="1A874292" w14:textId="77777777" w:rsidR="00024CEF" w:rsidRPr="002679C1" w:rsidRDefault="00024CEF" w:rsidP="00B447EE">
      <w:pPr>
        <w:suppressAutoHyphens/>
        <w:spacing w:line="240" w:lineRule="auto"/>
        <w:rPr>
          <w:rFonts w:ascii="Century Gothic" w:hAnsi="Century Gothic"/>
          <w:sz w:val="22"/>
          <w:szCs w:val="22"/>
        </w:rPr>
      </w:pPr>
    </w:p>
    <w:p w14:paraId="5211946F"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Počet podzemných podlaží lôžková časť</w:t>
      </w:r>
      <w:r w:rsidRPr="002679C1">
        <w:rPr>
          <w:rFonts w:ascii="Century Gothic" w:hAnsi="Century Gothic"/>
          <w:sz w:val="22"/>
          <w:szCs w:val="22"/>
        </w:rPr>
        <w:tab/>
      </w:r>
      <w:r w:rsidRPr="002679C1">
        <w:rPr>
          <w:rFonts w:ascii="Century Gothic" w:hAnsi="Century Gothic"/>
          <w:sz w:val="22"/>
          <w:szCs w:val="22"/>
        </w:rPr>
        <w:tab/>
        <w:t>1.PP</w:t>
      </w:r>
    </w:p>
    <w:p w14:paraId="07784569"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lastRenderedPageBreak/>
        <w:t>Počet nadzemných podlaží lôžková časť</w:t>
      </w:r>
      <w:r w:rsidRPr="002679C1">
        <w:rPr>
          <w:rFonts w:ascii="Century Gothic" w:hAnsi="Century Gothic"/>
          <w:sz w:val="22"/>
          <w:szCs w:val="22"/>
        </w:rPr>
        <w:tab/>
      </w:r>
      <w:r w:rsidRPr="002679C1">
        <w:rPr>
          <w:rFonts w:ascii="Century Gothic" w:hAnsi="Century Gothic"/>
          <w:sz w:val="22"/>
          <w:szCs w:val="22"/>
        </w:rPr>
        <w:tab/>
        <w:t>4.NP + ustúpené technické podlažie</w:t>
      </w:r>
      <w:r w:rsidRPr="002679C1">
        <w:rPr>
          <w:rFonts w:ascii="Century Gothic" w:hAnsi="Century Gothic"/>
          <w:sz w:val="22"/>
          <w:szCs w:val="22"/>
        </w:rPr>
        <w:tab/>
      </w:r>
      <w:r w:rsidRPr="002679C1">
        <w:rPr>
          <w:rFonts w:ascii="Century Gothic" w:hAnsi="Century Gothic"/>
          <w:sz w:val="22"/>
          <w:szCs w:val="22"/>
        </w:rPr>
        <w:tab/>
      </w:r>
    </w:p>
    <w:p w14:paraId="2C0B93E1" w14:textId="77777777" w:rsidR="00024CEF" w:rsidRPr="002679C1" w:rsidRDefault="00024CEF" w:rsidP="00B447EE">
      <w:pPr>
        <w:suppressAutoHyphens/>
        <w:spacing w:line="240" w:lineRule="auto"/>
        <w:rPr>
          <w:rFonts w:ascii="Century Gothic" w:hAnsi="Century Gothic"/>
          <w:sz w:val="22"/>
          <w:szCs w:val="22"/>
        </w:rPr>
      </w:pPr>
    </w:p>
    <w:p w14:paraId="5334E432" w14:textId="77777777"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Plochy</w:t>
      </w:r>
    </w:p>
    <w:p w14:paraId="2F233A9E"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1PP: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18.377,90 m</w:t>
      </w:r>
      <w:r w:rsidRPr="002679C1">
        <w:rPr>
          <w:rFonts w:ascii="Century Gothic" w:hAnsi="Century Gothic"/>
          <w:sz w:val="22"/>
          <w:szCs w:val="22"/>
          <w:vertAlign w:val="superscript"/>
        </w:rPr>
        <w:t>2</w:t>
      </w:r>
    </w:p>
    <w:p w14:paraId="758C7AD0"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1NP: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11.790,15 m</w:t>
      </w:r>
      <w:r w:rsidRPr="002679C1">
        <w:rPr>
          <w:rFonts w:ascii="Century Gothic" w:hAnsi="Century Gothic"/>
          <w:sz w:val="22"/>
          <w:szCs w:val="22"/>
          <w:vertAlign w:val="superscript"/>
        </w:rPr>
        <w:t>2</w:t>
      </w:r>
    </w:p>
    <w:p w14:paraId="29507F57"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2NP: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11.820,43 m</w:t>
      </w:r>
      <w:r w:rsidRPr="002679C1">
        <w:rPr>
          <w:rFonts w:ascii="Century Gothic" w:hAnsi="Century Gothic"/>
          <w:sz w:val="22"/>
          <w:szCs w:val="22"/>
          <w:vertAlign w:val="superscript"/>
        </w:rPr>
        <w:t>2</w:t>
      </w:r>
    </w:p>
    <w:p w14:paraId="1031F72A"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3NP: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11.745,36 m</w:t>
      </w:r>
      <w:r w:rsidRPr="002679C1">
        <w:rPr>
          <w:rFonts w:ascii="Century Gothic" w:hAnsi="Century Gothic"/>
          <w:sz w:val="22"/>
          <w:szCs w:val="22"/>
          <w:vertAlign w:val="superscript"/>
        </w:rPr>
        <w:t>2</w:t>
      </w:r>
    </w:p>
    <w:p w14:paraId="67E3AF77"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4NP: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11.699,06 m</w:t>
      </w:r>
      <w:r w:rsidRPr="002679C1">
        <w:rPr>
          <w:rFonts w:ascii="Century Gothic" w:hAnsi="Century Gothic"/>
          <w:sz w:val="22"/>
          <w:szCs w:val="22"/>
          <w:vertAlign w:val="superscript"/>
        </w:rPr>
        <w:t>2</w:t>
      </w:r>
    </w:p>
    <w:p w14:paraId="24CF64B0" w14:textId="31B41022"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5NP:</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4.661,46 m</w:t>
      </w:r>
      <w:r w:rsidRPr="002679C1">
        <w:rPr>
          <w:rFonts w:ascii="Century Gothic" w:hAnsi="Century Gothic"/>
          <w:sz w:val="22"/>
          <w:szCs w:val="22"/>
          <w:vertAlign w:val="superscript"/>
        </w:rPr>
        <w:t>2</w:t>
      </w:r>
      <w:r w:rsidRPr="002679C1">
        <w:rPr>
          <w:rFonts w:ascii="Century Gothic" w:hAnsi="Century Gothic"/>
          <w:sz w:val="22"/>
          <w:szCs w:val="22"/>
        </w:rPr>
        <w:t xml:space="preserve"> + 2.833,8 m</w:t>
      </w:r>
      <w:r w:rsidRPr="002679C1">
        <w:rPr>
          <w:rFonts w:ascii="Century Gothic" w:hAnsi="Century Gothic"/>
          <w:sz w:val="22"/>
          <w:szCs w:val="22"/>
          <w:vertAlign w:val="superscript"/>
        </w:rPr>
        <w:t>2</w:t>
      </w:r>
      <w:r w:rsidRPr="002679C1">
        <w:rPr>
          <w:rFonts w:ascii="Century Gothic" w:hAnsi="Century Gothic"/>
          <w:sz w:val="22"/>
          <w:szCs w:val="22"/>
        </w:rPr>
        <w:t xml:space="preserve"> – technické podlažie VZT</w:t>
      </w:r>
    </w:p>
    <w:p w14:paraId="43568276" w14:textId="295492BB"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6NP:</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1.437,28 m</w:t>
      </w:r>
      <w:r w:rsidRPr="002679C1">
        <w:rPr>
          <w:rFonts w:ascii="Century Gothic" w:hAnsi="Century Gothic"/>
          <w:sz w:val="22"/>
          <w:szCs w:val="22"/>
          <w:vertAlign w:val="superscript"/>
        </w:rPr>
        <w:t>2</w:t>
      </w:r>
      <w:r w:rsidRPr="002679C1">
        <w:rPr>
          <w:rFonts w:ascii="Century Gothic" w:hAnsi="Century Gothic"/>
          <w:sz w:val="22"/>
          <w:szCs w:val="22"/>
        </w:rPr>
        <w:t xml:space="preserve"> – technické podlažie VZT</w:t>
      </w:r>
    </w:p>
    <w:p w14:paraId="68D7D07E" w14:textId="6C423119"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Podlahová plocha 7NP:</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1.195,01 m</w:t>
      </w:r>
      <w:r w:rsidRPr="002679C1">
        <w:rPr>
          <w:rFonts w:ascii="Century Gothic" w:hAnsi="Century Gothic"/>
          <w:sz w:val="22"/>
          <w:szCs w:val="22"/>
          <w:vertAlign w:val="superscript"/>
        </w:rPr>
        <w:t>2</w:t>
      </w:r>
      <w:r w:rsidRPr="002679C1">
        <w:rPr>
          <w:rFonts w:ascii="Century Gothic" w:hAnsi="Century Gothic"/>
          <w:sz w:val="22"/>
          <w:szCs w:val="22"/>
        </w:rPr>
        <w:t xml:space="preserve"> - </w:t>
      </w:r>
      <w:proofErr w:type="spellStart"/>
      <w:r w:rsidRPr="002679C1">
        <w:rPr>
          <w:rFonts w:ascii="Century Gothic" w:hAnsi="Century Gothic"/>
          <w:sz w:val="22"/>
          <w:szCs w:val="22"/>
        </w:rPr>
        <w:t>heliport</w:t>
      </w:r>
      <w:proofErr w:type="spellEnd"/>
    </w:p>
    <w:p w14:paraId="02A329E0" w14:textId="24E2BC30"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SPOLU:</w:t>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002679C1">
        <w:rPr>
          <w:rFonts w:ascii="Century Gothic" w:hAnsi="Century Gothic"/>
          <w:b/>
          <w:bCs/>
          <w:sz w:val="22"/>
          <w:szCs w:val="22"/>
        </w:rPr>
        <w:t xml:space="preserve"> </w:t>
      </w:r>
      <w:r w:rsidRPr="002679C1">
        <w:rPr>
          <w:rFonts w:ascii="Century Gothic" w:hAnsi="Century Gothic"/>
          <w:b/>
          <w:bCs/>
          <w:sz w:val="22"/>
          <w:szCs w:val="22"/>
        </w:rPr>
        <w:t>75.560,45 m</w:t>
      </w:r>
      <w:r w:rsidRPr="002679C1">
        <w:rPr>
          <w:rFonts w:ascii="Century Gothic" w:hAnsi="Century Gothic"/>
          <w:b/>
          <w:bCs/>
          <w:sz w:val="22"/>
          <w:szCs w:val="22"/>
          <w:vertAlign w:val="superscript"/>
        </w:rPr>
        <w:t>2</w:t>
      </w:r>
    </w:p>
    <w:p w14:paraId="488A1672" w14:textId="77777777" w:rsidR="00024CEF" w:rsidRPr="002679C1" w:rsidRDefault="00024CEF" w:rsidP="00B447EE">
      <w:pPr>
        <w:suppressAutoHyphens/>
        <w:spacing w:line="240" w:lineRule="auto"/>
        <w:rPr>
          <w:rFonts w:ascii="Century Gothic" w:hAnsi="Century Gothic"/>
          <w:b/>
          <w:bCs/>
          <w:sz w:val="22"/>
          <w:szCs w:val="22"/>
        </w:rPr>
      </w:pPr>
    </w:p>
    <w:p w14:paraId="748BE35D" w14:textId="77777777"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Plocha strechy:</w:t>
      </w:r>
    </w:p>
    <w:p w14:paraId="359E505C"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 xml:space="preserve">Plocha PVC strechy: </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5.308 m</w:t>
      </w:r>
      <w:r w:rsidRPr="002679C1">
        <w:rPr>
          <w:rFonts w:ascii="Century Gothic" w:hAnsi="Century Gothic"/>
          <w:sz w:val="22"/>
          <w:szCs w:val="22"/>
          <w:vertAlign w:val="superscript"/>
        </w:rPr>
        <w:t>2</w:t>
      </w:r>
      <w:r w:rsidRPr="002679C1">
        <w:rPr>
          <w:rFonts w:ascii="Century Gothic" w:hAnsi="Century Gothic"/>
          <w:sz w:val="22"/>
          <w:szCs w:val="22"/>
        </w:rPr>
        <w:t xml:space="preserve"> </w:t>
      </w:r>
    </w:p>
    <w:p w14:paraId="157DB0B7"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Plocha zelenej strechy:</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13.692 m</w:t>
      </w:r>
      <w:r w:rsidRPr="002679C1">
        <w:rPr>
          <w:rFonts w:ascii="Century Gothic" w:hAnsi="Century Gothic"/>
          <w:sz w:val="22"/>
          <w:szCs w:val="22"/>
          <w:vertAlign w:val="superscript"/>
        </w:rPr>
        <w:t>2</w:t>
      </w:r>
      <w:r w:rsidRPr="002679C1">
        <w:rPr>
          <w:rFonts w:ascii="Century Gothic" w:hAnsi="Century Gothic"/>
          <w:sz w:val="22"/>
          <w:szCs w:val="22"/>
        </w:rPr>
        <w:tab/>
      </w:r>
      <w:r w:rsidRPr="002679C1">
        <w:rPr>
          <w:rFonts w:ascii="Century Gothic" w:hAnsi="Century Gothic"/>
          <w:sz w:val="22"/>
          <w:szCs w:val="22"/>
        </w:rPr>
        <w:tab/>
      </w:r>
    </w:p>
    <w:p w14:paraId="6B81B332" w14:textId="77777777"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SPOLU:</w:t>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t>19.000 m</w:t>
      </w:r>
      <w:r w:rsidRPr="002679C1">
        <w:rPr>
          <w:rFonts w:ascii="Century Gothic" w:hAnsi="Century Gothic"/>
          <w:b/>
          <w:bCs/>
          <w:sz w:val="22"/>
          <w:szCs w:val="22"/>
          <w:vertAlign w:val="superscript"/>
        </w:rPr>
        <w:t>2</w:t>
      </w:r>
    </w:p>
    <w:p w14:paraId="69C46D03" w14:textId="77777777" w:rsidR="00024CEF" w:rsidRPr="002679C1" w:rsidRDefault="00024CEF" w:rsidP="00B447EE">
      <w:pPr>
        <w:suppressAutoHyphens/>
        <w:spacing w:line="240" w:lineRule="auto"/>
        <w:rPr>
          <w:rFonts w:ascii="Century Gothic" w:hAnsi="Century Gothic"/>
          <w:sz w:val="22"/>
          <w:szCs w:val="22"/>
        </w:rPr>
      </w:pPr>
    </w:p>
    <w:p w14:paraId="2F970301" w14:textId="77777777" w:rsidR="00024CEF" w:rsidRPr="002679C1" w:rsidRDefault="00024CEF" w:rsidP="00B447EE">
      <w:pPr>
        <w:suppressAutoHyphens/>
        <w:spacing w:line="240" w:lineRule="auto"/>
        <w:rPr>
          <w:rFonts w:ascii="Century Gothic" w:hAnsi="Century Gothic"/>
          <w:b/>
          <w:bCs/>
          <w:sz w:val="22"/>
          <w:szCs w:val="22"/>
        </w:rPr>
      </w:pPr>
      <w:r w:rsidRPr="002679C1">
        <w:rPr>
          <w:rFonts w:ascii="Century Gothic" w:hAnsi="Century Gothic"/>
          <w:b/>
          <w:bCs/>
          <w:sz w:val="22"/>
          <w:szCs w:val="22"/>
        </w:rPr>
        <w:t>Výšky:</w:t>
      </w:r>
    </w:p>
    <w:p w14:paraId="4F5AFAF4"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 xml:space="preserve">Výškopisné zameranie pozemku bude napojené na výškopisný systém </w:t>
      </w:r>
      <w:proofErr w:type="spellStart"/>
      <w:r w:rsidRPr="002679C1">
        <w:rPr>
          <w:rFonts w:ascii="Century Gothic" w:hAnsi="Century Gothic"/>
          <w:sz w:val="22"/>
          <w:szCs w:val="22"/>
        </w:rPr>
        <w:t>Balt</w:t>
      </w:r>
      <w:proofErr w:type="spellEnd"/>
      <w:r w:rsidRPr="002679C1">
        <w:rPr>
          <w:rFonts w:ascii="Century Gothic" w:hAnsi="Century Gothic"/>
          <w:sz w:val="22"/>
          <w:szCs w:val="22"/>
        </w:rPr>
        <w:t xml:space="preserve"> po vyrovnaní (BPV).</w:t>
      </w:r>
    </w:p>
    <w:p w14:paraId="705A4851" w14:textId="77777777" w:rsidR="00024CEF" w:rsidRPr="002679C1" w:rsidRDefault="00024CEF" w:rsidP="00B447EE">
      <w:pPr>
        <w:suppressAutoHyphens/>
        <w:spacing w:line="240" w:lineRule="auto"/>
        <w:rPr>
          <w:rFonts w:ascii="Century Gothic" w:hAnsi="Century Gothic"/>
          <w:sz w:val="22"/>
          <w:szCs w:val="22"/>
        </w:rPr>
      </w:pPr>
    </w:p>
    <w:p w14:paraId="529537EC" w14:textId="1858F3A9"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 xml:space="preserve">± 0,000 je na podlahe 1.NP a má hodnotu </w:t>
      </w:r>
      <w:r w:rsidRPr="002679C1">
        <w:rPr>
          <w:rFonts w:ascii="Century Gothic" w:hAnsi="Century Gothic"/>
          <w:sz w:val="22"/>
          <w:szCs w:val="22"/>
        </w:rPr>
        <w:tab/>
      </w:r>
      <w:r w:rsidRPr="002679C1">
        <w:rPr>
          <w:rFonts w:ascii="Century Gothic" w:hAnsi="Century Gothic"/>
          <w:b/>
          <w:bCs/>
          <w:sz w:val="22"/>
          <w:szCs w:val="22"/>
        </w:rPr>
        <w:t>357,500 m n. m. BPV</w:t>
      </w:r>
    </w:p>
    <w:p w14:paraId="418F332C" w14:textId="77777777" w:rsidR="00024CEF" w:rsidRPr="002679C1" w:rsidRDefault="00024CEF" w:rsidP="00B447EE">
      <w:pPr>
        <w:suppressAutoHyphens/>
        <w:spacing w:line="240" w:lineRule="auto"/>
        <w:rPr>
          <w:rFonts w:ascii="Century Gothic" w:hAnsi="Century Gothic"/>
          <w:sz w:val="22"/>
          <w:szCs w:val="22"/>
        </w:rPr>
      </w:pPr>
    </w:p>
    <w:p w14:paraId="2DAB020B" w14:textId="77777777" w:rsidR="00024CEF" w:rsidRPr="002679C1" w:rsidRDefault="00024CEF" w:rsidP="00B447E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Atika</w:t>
      </w:r>
      <w:proofErr w:type="spellEnd"/>
      <w:r w:rsidRPr="002679C1">
        <w:rPr>
          <w:rFonts w:ascii="Century Gothic" w:hAnsi="Century Gothic"/>
          <w:sz w:val="22"/>
          <w:szCs w:val="22"/>
        </w:rPr>
        <w:t xml:space="preserve"> 6NP: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+22,000 m = 379,500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147A186C" w14:textId="77777777" w:rsidR="00024CEF" w:rsidRPr="002679C1" w:rsidRDefault="00024CEF" w:rsidP="00B447E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Atika</w:t>
      </w:r>
      <w:proofErr w:type="spellEnd"/>
      <w:r w:rsidRPr="002679C1">
        <w:rPr>
          <w:rFonts w:ascii="Century Gothic" w:hAnsi="Century Gothic"/>
          <w:sz w:val="22"/>
          <w:szCs w:val="22"/>
        </w:rPr>
        <w:t xml:space="preserve"> 7NP: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+25,000 m = 383,000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2B079218" w14:textId="1F9F508B" w:rsidR="00024CEF" w:rsidRPr="002679C1" w:rsidRDefault="00024CEF" w:rsidP="00B447E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Atika</w:t>
      </w:r>
      <w:proofErr w:type="spellEnd"/>
      <w:r w:rsidRPr="002679C1">
        <w:rPr>
          <w:rFonts w:ascii="Century Gothic" w:hAnsi="Century Gothic"/>
          <w:sz w:val="22"/>
          <w:szCs w:val="22"/>
        </w:rPr>
        <w:t xml:space="preserve"> obslužných výťahov:</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+28,250 m = 385,750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5C7C78A9" w14:textId="4D96CE56" w:rsidR="00024CEF" w:rsidRPr="002679C1" w:rsidRDefault="00024CEF" w:rsidP="00B447E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Heliport</w:t>
      </w:r>
      <w:proofErr w:type="spellEnd"/>
      <w:r w:rsidRPr="002679C1">
        <w:rPr>
          <w:rFonts w:ascii="Century Gothic" w:hAnsi="Century Gothic"/>
          <w:sz w:val="22"/>
          <w:szCs w:val="22"/>
        </w:rPr>
        <w:t>:</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+27,025 m = 384,525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2E2DD259" w14:textId="77777777" w:rsidR="00024CEF" w:rsidRPr="002679C1" w:rsidRDefault="00024CEF" w:rsidP="00B447EE">
      <w:pPr>
        <w:suppressAutoHyphens/>
        <w:spacing w:line="240" w:lineRule="auto"/>
        <w:rPr>
          <w:rFonts w:ascii="Century Gothic" w:hAnsi="Century Gothic"/>
          <w:sz w:val="22"/>
          <w:szCs w:val="22"/>
        </w:rPr>
      </w:pPr>
    </w:p>
    <w:p w14:paraId="2EEB69D7"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Celková plocha pozemku:</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131.344,27 m</w:t>
      </w:r>
      <w:r w:rsidRPr="002679C1">
        <w:rPr>
          <w:rFonts w:ascii="Century Gothic" w:hAnsi="Century Gothic"/>
          <w:sz w:val="22"/>
          <w:szCs w:val="22"/>
          <w:vertAlign w:val="superscript"/>
        </w:rPr>
        <w:t>2</w:t>
      </w:r>
    </w:p>
    <w:p w14:paraId="184817DA" w14:textId="77777777" w:rsidR="00024CEF" w:rsidRPr="002679C1" w:rsidRDefault="00024CEF" w:rsidP="00B447EE">
      <w:pPr>
        <w:suppressAutoHyphens/>
        <w:spacing w:line="240" w:lineRule="auto"/>
        <w:rPr>
          <w:rFonts w:ascii="Century Gothic" w:hAnsi="Century Gothic"/>
          <w:sz w:val="22"/>
          <w:szCs w:val="22"/>
        </w:rPr>
      </w:pPr>
      <w:r w:rsidRPr="002679C1">
        <w:rPr>
          <w:rFonts w:ascii="Century Gothic" w:hAnsi="Century Gothic"/>
          <w:sz w:val="22"/>
          <w:szCs w:val="22"/>
        </w:rPr>
        <w:t xml:space="preserve">Zastavaná plocha novým objektom: </w:t>
      </w:r>
      <w:r w:rsidRPr="002679C1">
        <w:rPr>
          <w:rFonts w:ascii="Century Gothic" w:hAnsi="Century Gothic"/>
          <w:sz w:val="22"/>
          <w:szCs w:val="22"/>
        </w:rPr>
        <w:tab/>
      </w:r>
      <w:r w:rsidRPr="002679C1">
        <w:rPr>
          <w:rFonts w:ascii="Century Gothic" w:hAnsi="Century Gothic"/>
          <w:sz w:val="22"/>
          <w:szCs w:val="22"/>
        </w:rPr>
        <w:tab/>
        <w:t>19.021 m</w:t>
      </w:r>
      <w:r w:rsidRPr="002679C1">
        <w:rPr>
          <w:rFonts w:ascii="Century Gothic" w:hAnsi="Century Gothic"/>
          <w:sz w:val="22"/>
          <w:szCs w:val="22"/>
          <w:vertAlign w:val="superscript"/>
        </w:rPr>
        <w:t>2</w:t>
      </w:r>
    </w:p>
    <w:p w14:paraId="20C7C942" w14:textId="77777777" w:rsidR="00024CEF" w:rsidRPr="002679C1" w:rsidRDefault="00024CEF" w:rsidP="00B447EE">
      <w:pPr>
        <w:suppressAutoHyphens/>
        <w:spacing w:line="240" w:lineRule="auto"/>
        <w:rPr>
          <w:rFonts w:ascii="Century Gothic" w:hAnsi="Century Gothic"/>
          <w:sz w:val="22"/>
          <w:szCs w:val="22"/>
          <w:vertAlign w:val="superscript"/>
        </w:rPr>
      </w:pPr>
    </w:p>
    <w:tbl>
      <w:tblPr>
        <w:tblW w:w="6541" w:type="dxa"/>
        <w:tblCellMar>
          <w:left w:w="70" w:type="dxa"/>
          <w:right w:w="70" w:type="dxa"/>
        </w:tblCellMar>
        <w:tblLook w:val="04A0" w:firstRow="1" w:lastRow="0" w:firstColumn="1" w:lastColumn="0" w:noHBand="0" w:noVBand="1"/>
      </w:tblPr>
      <w:tblGrid>
        <w:gridCol w:w="3686"/>
        <w:gridCol w:w="1643"/>
        <w:gridCol w:w="1212"/>
      </w:tblGrid>
      <w:tr w:rsidR="00024CEF" w:rsidRPr="002679C1" w14:paraId="4D4614DF" w14:textId="77777777" w:rsidTr="009812F1">
        <w:trPr>
          <w:trHeight w:val="302"/>
        </w:trPr>
        <w:tc>
          <w:tcPr>
            <w:tcW w:w="3686" w:type="dxa"/>
            <w:tcBorders>
              <w:top w:val="nil"/>
              <w:left w:val="nil"/>
              <w:bottom w:val="nil"/>
              <w:right w:val="nil"/>
            </w:tcBorders>
            <w:shd w:val="clear" w:color="auto" w:fill="auto"/>
            <w:noWrap/>
            <w:vAlign w:val="center"/>
            <w:hideMark/>
          </w:tcPr>
          <w:p w14:paraId="2B80B242"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 xml:space="preserve">Celková plocha areálu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ZA</w:t>
            </w:r>
          </w:p>
        </w:tc>
        <w:tc>
          <w:tcPr>
            <w:tcW w:w="1643" w:type="dxa"/>
            <w:tcBorders>
              <w:top w:val="nil"/>
              <w:left w:val="nil"/>
              <w:bottom w:val="nil"/>
              <w:right w:val="nil"/>
            </w:tcBorders>
            <w:shd w:val="clear" w:color="auto" w:fill="auto"/>
            <w:noWrap/>
            <w:vAlign w:val="center"/>
            <w:hideMark/>
          </w:tcPr>
          <w:p w14:paraId="03435A2F" w14:textId="77777777" w:rsidR="00024CEF" w:rsidRPr="002679C1" w:rsidRDefault="00024CEF" w:rsidP="00B447EE">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131 344,27</w:t>
            </w:r>
          </w:p>
        </w:tc>
        <w:tc>
          <w:tcPr>
            <w:tcW w:w="1212" w:type="dxa"/>
            <w:tcBorders>
              <w:top w:val="nil"/>
              <w:left w:val="nil"/>
              <w:bottom w:val="nil"/>
              <w:right w:val="nil"/>
            </w:tcBorders>
            <w:shd w:val="clear" w:color="auto" w:fill="auto"/>
            <w:noWrap/>
            <w:vAlign w:val="bottom"/>
            <w:hideMark/>
          </w:tcPr>
          <w:p w14:paraId="49E76622"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024CEF" w:rsidRPr="002679C1" w14:paraId="311A8DCC" w14:textId="77777777" w:rsidTr="009812F1">
        <w:trPr>
          <w:trHeight w:val="302"/>
        </w:trPr>
        <w:tc>
          <w:tcPr>
            <w:tcW w:w="3686" w:type="dxa"/>
            <w:tcBorders>
              <w:top w:val="nil"/>
              <w:left w:val="nil"/>
              <w:bottom w:val="nil"/>
              <w:right w:val="nil"/>
            </w:tcBorders>
            <w:shd w:val="clear" w:color="auto" w:fill="auto"/>
            <w:noWrap/>
            <w:vAlign w:val="center"/>
            <w:hideMark/>
          </w:tcPr>
          <w:p w14:paraId="149B9CC9"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 xml:space="preserve">Zastavaná plocha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ZA</w:t>
            </w:r>
          </w:p>
        </w:tc>
        <w:tc>
          <w:tcPr>
            <w:tcW w:w="1643" w:type="dxa"/>
            <w:tcBorders>
              <w:top w:val="nil"/>
              <w:left w:val="nil"/>
              <w:bottom w:val="nil"/>
              <w:right w:val="nil"/>
            </w:tcBorders>
            <w:shd w:val="clear" w:color="auto" w:fill="auto"/>
            <w:noWrap/>
            <w:vAlign w:val="center"/>
            <w:hideMark/>
          </w:tcPr>
          <w:p w14:paraId="30DA8278" w14:textId="77777777" w:rsidR="00024CEF" w:rsidRPr="002679C1" w:rsidRDefault="00024CEF" w:rsidP="00B447EE">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40 828,44</w:t>
            </w:r>
          </w:p>
        </w:tc>
        <w:tc>
          <w:tcPr>
            <w:tcW w:w="1212" w:type="dxa"/>
            <w:tcBorders>
              <w:top w:val="nil"/>
              <w:left w:val="nil"/>
              <w:bottom w:val="nil"/>
              <w:right w:val="nil"/>
            </w:tcBorders>
            <w:shd w:val="clear" w:color="auto" w:fill="auto"/>
            <w:noWrap/>
            <w:vAlign w:val="bottom"/>
            <w:hideMark/>
          </w:tcPr>
          <w:p w14:paraId="49CBF8F4"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024CEF" w:rsidRPr="002679C1" w14:paraId="5F375AD5" w14:textId="77777777" w:rsidTr="009812F1">
        <w:trPr>
          <w:trHeight w:val="302"/>
        </w:trPr>
        <w:tc>
          <w:tcPr>
            <w:tcW w:w="3686" w:type="dxa"/>
            <w:tcBorders>
              <w:top w:val="nil"/>
              <w:left w:val="nil"/>
              <w:bottom w:val="nil"/>
              <w:right w:val="nil"/>
            </w:tcBorders>
            <w:shd w:val="clear" w:color="auto" w:fill="auto"/>
            <w:noWrap/>
            <w:vAlign w:val="center"/>
            <w:hideMark/>
          </w:tcPr>
          <w:p w14:paraId="62BE86D3"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 xml:space="preserve">Spevnené plochy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ZA</w:t>
            </w:r>
          </w:p>
        </w:tc>
        <w:tc>
          <w:tcPr>
            <w:tcW w:w="1643" w:type="dxa"/>
            <w:tcBorders>
              <w:top w:val="nil"/>
              <w:left w:val="nil"/>
              <w:bottom w:val="nil"/>
              <w:right w:val="nil"/>
            </w:tcBorders>
            <w:shd w:val="clear" w:color="auto" w:fill="auto"/>
            <w:noWrap/>
            <w:vAlign w:val="center"/>
            <w:hideMark/>
          </w:tcPr>
          <w:p w14:paraId="424743F0" w14:textId="77777777" w:rsidR="00024CEF" w:rsidRPr="002679C1" w:rsidRDefault="00024CEF" w:rsidP="00B447EE">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30 094,66</w:t>
            </w:r>
          </w:p>
        </w:tc>
        <w:tc>
          <w:tcPr>
            <w:tcW w:w="1212" w:type="dxa"/>
            <w:tcBorders>
              <w:top w:val="nil"/>
              <w:left w:val="nil"/>
              <w:bottom w:val="nil"/>
              <w:right w:val="nil"/>
            </w:tcBorders>
            <w:shd w:val="clear" w:color="auto" w:fill="auto"/>
            <w:noWrap/>
            <w:vAlign w:val="bottom"/>
            <w:hideMark/>
          </w:tcPr>
          <w:p w14:paraId="43062E9F"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024CEF" w:rsidRPr="002679C1" w14:paraId="4E5D2740" w14:textId="77777777" w:rsidTr="009812F1">
        <w:trPr>
          <w:trHeight w:val="302"/>
        </w:trPr>
        <w:tc>
          <w:tcPr>
            <w:tcW w:w="3686" w:type="dxa"/>
            <w:tcBorders>
              <w:top w:val="nil"/>
              <w:left w:val="nil"/>
              <w:bottom w:val="nil"/>
              <w:right w:val="nil"/>
            </w:tcBorders>
            <w:shd w:val="clear" w:color="auto" w:fill="auto"/>
            <w:noWrap/>
            <w:vAlign w:val="center"/>
            <w:hideMark/>
          </w:tcPr>
          <w:p w14:paraId="69A48BBF"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 xml:space="preserve">Zelené plochy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ZA</w:t>
            </w:r>
          </w:p>
        </w:tc>
        <w:tc>
          <w:tcPr>
            <w:tcW w:w="1643" w:type="dxa"/>
            <w:tcBorders>
              <w:top w:val="nil"/>
              <w:left w:val="nil"/>
              <w:bottom w:val="nil"/>
              <w:right w:val="nil"/>
            </w:tcBorders>
            <w:shd w:val="clear" w:color="auto" w:fill="auto"/>
            <w:noWrap/>
            <w:vAlign w:val="center"/>
            <w:hideMark/>
          </w:tcPr>
          <w:p w14:paraId="68920D94" w14:textId="77777777" w:rsidR="00024CEF" w:rsidRPr="002679C1" w:rsidRDefault="00024CEF" w:rsidP="00B447EE">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60 421,17</w:t>
            </w:r>
          </w:p>
        </w:tc>
        <w:tc>
          <w:tcPr>
            <w:tcW w:w="1212" w:type="dxa"/>
            <w:tcBorders>
              <w:top w:val="nil"/>
              <w:left w:val="nil"/>
              <w:bottom w:val="nil"/>
              <w:right w:val="nil"/>
            </w:tcBorders>
            <w:shd w:val="clear" w:color="auto" w:fill="auto"/>
            <w:noWrap/>
            <w:vAlign w:val="bottom"/>
            <w:hideMark/>
          </w:tcPr>
          <w:p w14:paraId="461FD5E2" w14:textId="77777777" w:rsidR="00024CEF" w:rsidRPr="002679C1" w:rsidRDefault="00024CEF" w:rsidP="00B447EE">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024CEF" w:rsidRPr="002679C1" w14:paraId="2FFF51EE" w14:textId="77777777" w:rsidTr="009812F1">
        <w:trPr>
          <w:trHeight w:val="102"/>
        </w:trPr>
        <w:tc>
          <w:tcPr>
            <w:tcW w:w="3686" w:type="dxa"/>
            <w:tcBorders>
              <w:top w:val="nil"/>
              <w:left w:val="nil"/>
              <w:bottom w:val="nil"/>
              <w:right w:val="nil"/>
            </w:tcBorders>
            <w:shd w:val="clear" w:color="auto" w:fill="auto"/>
            <w:noWrap/>
            <w:vAlign w:val="center"/>
            <w:hideMark/>
          </w:tcPr>
          <w:p w14:paraId="66B7AE85" w14:textId="77777777" w:rsidR="00024CEF" w:rsidRPr="002679C1" w:rsidRDefault="00024CEF" w:rsidP="00B447EE">
            <w:pPr>
              <w:spacing w:line="240" w:lineRule="auto"/>
              <w:rPr>
                <w:rFonts w:ascii="Century Gothic" w:hAnsi="Century Gothic"/>
                <w:sz w:val="22"/>
                <w:szCs w:val="22"/>
              </w:rPr>
            </w:pPr>
          </w:p>
        </w:tc>
        <w:tc>
          <w:tcPr>
            <w:tcW w:w="1643" w:type="dxa"/>
            <w:tcBorders>
              <w:top w:val="nil"/>
              <w:left w:val="nil"/>
              <w:bottom w:val="nil"/>
              <w:right w:val="nil"/>
            </w:tcBorders>
            <w:shd w:val="clear" w:color="auto" w:fill="auto"/>
            <w:noWrap/>
            <w:vAlign w:val="center"/>
            <w:hideMark/>
          </w:tcPr>
          <w:p w14:paraId="2FAF1037" w14:textId="77777777" w:rsidR="00024CEF" w:rsidRPr="002679C1" w:rsidRDefault="00024CEF" w:rsidP="00B447EE">
            <w:pPr>
              <w:spacing w:line="240" w:lineRule="auto"/>
              <w:rPr>
                <w:rFonts w:ascii="Century Gothic" w:hAnsi="Century Gothic"/>
                <w:sz w:val="22"/>
                <w:szCs w:val="22"/>
              </w:rPr>
            </w:pPr>
          </w:p>
        </w:tc>
        <w:tc>
          <w:tcPr>
            <w:tcW w:w="1212" w:type="dxa"/>
            <w:tcBorders>
              <w:top w:val="nil"/>
              <w:left w:val="nil"/>
              <w:bottom w:val="nil"/>
              <w:right w:val="nil"/>
            </w:tcBorders>
            <w:shd w:val="clear" w:color="auto" w:fill="auto"/>
            <w:noWrap/>
            <w:vAlign w:val="bottom"/>
            <w:hideMark/>
          </w:tcPr>
          <w:p w14:paraId="6A0DD709" w14:textId="77777777" w:rsidR="00024CEF" w:rsidRPr="002679C1" w:rsidRDefault="00024CEF" w:rsidP="00B447EE">
            <w:pPr>
              <w:spacing w:line="240" w:lineRule="auto"/>
              <w:jc w:val="right"/>
              <w:rPr>
                <w:rFonts w:ascii="Century Gothic" w:hAnsi="Century Gothic"/>
                <w:sz w:val="22"/>
                <w:szCs w:val="22"/>
              </w:rPr>
            </w:pPr>
          </w:p>
        </w:tc>
      </w:tr>
      <w:tr w:rsidR="00024CEF" w:rsidRPr="002679C1" w14:paraId="4BBB3F60" w14:textId="77777777" w:rsidTr="009812F1">
        <w:trPr>
          <w:trHeight w:val="302"/>
        </w:trPr>
        <w:tc>
          <w:tcPr>
            <w:tcW w:w="3686" w:type="dxa"/>
            <w:tcBorders>
              <w:top w:val="nil"/>
              <w:left w:val="nil"/>
              <w:bottom w:val="nil"/>
              <w:right w:val="nil"/>
            </w:tcBorders>
            <w:shd w:val="clear" w:color="auto" w:fill="auto"/>
            <w:noWrap/>
            <w:vAlign w:val="center"/>
            <w:hideMark/>
          </w:tcPr>
          <w:p w14:paraId="70F6F33F" w14:textId="77777777" w:rsidR="00024CEF" w:rsidRPr="002679C1" w:rsidRDefault="00024CEF" w:rsidP="00B447EE">
            <w:pPr>
              <w:spacing w:line="240" w:lineRule="auto"/>
              <w:rPr>
                <w:rFonts w:ascii="Century Gothic" w:hAnsi="Century Gothic" w:cs="Calibri"/>
                <w:b/>
                <w:bCs/>
                <w:color w:val="000000"/>
                <w:sz w:val="22"/>
                <w:szCs w:val="22"/>
              </w:rPr>
            </w:pPr>
            <w:r w:rsidRPr="002679C1">
              <w:rPr>
                <w:rFonts w:ascii="Century Gothic" w:hAnsi="Century Gothic" w:cs="Calibri"/>
                <w:b/>
                <w:bCs/>
                <w:color w:val="000000"/>
                <w:sz w:val="22"/>
                <w:szCs w:val="22"/>
              </w:rPr>
              <w:t>Koeficient zelene KZ</w:t>
            </w:r>
          </w:p>
        </w:tc>
        <w:tc>
          <w:tcPr>
            <w:tcW w:w="1643" w:type="dxa"/>
            <w:tcBorders>
              <w:top w:val="nil"/>
              <w:left w:val="nil"/>
              <w:bottom w:val="nil"/>
              <w:right w:val="nil"/>
            </w:tcBorders>
            <w:shd w:val="clear" w:color="auto" w:fill="auto"/>
            <w:noWrap/>
            <w:vAlign w:val="center"/>
            <w:hideMark/>
          </w:tcPr>
          <w:p w14:paraId="4CDEA548" w14:textId="77777777" w:rsidR="00024CEF" w:rsidRPr="002679C1" w:rsidRDefault="00024CEF" w:rsidP="00B447EE">
            <w:pPr>
              <w:spacing w:line="240" w:lineRule="auto"/>
              <w:jc w:val="right"/>
              <w:rPr>
                <w:rFonts w:ascii="Century Gothic" w:hAnsi="Century Gothic" w:cs="Calibri"/>
                <w:b/>
                <w:bCs/>
                <w:color w:val="000000"/>
                <w:sz w:val="22"/>
                <w:szCs w:val="22"/>
              </w:rPr>
            </w:pPr>
            <w:r w:rsidRPr="002679C1">
              <w:rPr>
                <w:rFonts w:ascii="Century Gothic" w:hAnsi="Century Gothic" w:cs="Calibri"/>
                <w:b/>
                <w:bCs/>
                <w:color w:val="000000"/>
                <w:sz w:val="22"/>
                <w:szCs w:val="22"/>
              </w:rPr>
              <w:t>0,46</w:t>
            </w:r>
          </w:p>
        </w:tc>
        <w:tc>
          <w:tcPr>
            <w:tcW w:w="1212" w:type="dxa"/>
            <w:tcBorders>
              <w:top w:val="nil"/>
              <w:left w:val="nil"/>
              <w:bottom w:val="nil"/>
              <w:right w:val="nil"/>
            </w:tcBorders>
            <w:shd w:val="clear" w:color="auto" w:fill="auto"/>
            <w:noWrap/>
            <w:vAlign w:val="bottom"/>
            <w:hideMark/>
          </w:tcPr>
          <w:p w14:paraId="14779C7E" w14:textId="77777777" w:rsidR="00024CEF" w:rsidRPr="002679C1" w:rsidRDefault="00024CEF" w:rsidP="00B447EE">
            <w:pPr>
              <w:spacing w:line="240" w:lineRule="auto"/>
              <w:jc w:val="right"/>
              <w:rPr>
                <w:rFonts w:ascii="Century Gothic" w:hAnsi="Century Gothic" w:cs="Calibri"/>
                <w:color w:val="000000"/>
                <w:sz w:val="22"/>
                <w:szCs w:val="22"/>
              </w:rPr>
            </w:pPr>
          </w:p>
        </w:tc>
      </w:tr>
    </w:tbl>
    <w:p w14:paraId="697B2927" w14:textId="77777777" w:rsidR="00024CEF" w:rsidRPr="002679C1" w:rsidRDefault="00024CEF" w:rsidP="00B447EE">
      <w:pPr>
        <w:suppressAutoHyphens/>
        <w:spacing w:line="240" w:lineRule="auto"/>
        <w:rPr>
          <w:rFonts w:ascii="Century Gothic" w:hAnsi="Century Gothic"/>
          <w:sz w:val="22"/>
          <w:szCs w:val="22"/>
        </w:rPr>
      </w:pPr>
    </w:p>
    <w:p w14:paraId="34E6B0DC" w14:textId="77777777" w:rsidR="00024CEF" w:rsidRPr="002679C1" w:rsidRDefault="00024CEF" w:rsidP="00B447EE">
      <w:pPr>
        <w:suppressAutoHyphens/>
        <w:spacing w:line="240" w:lineRule="auto"/>
        <w:rPr>
          <w:rFonts w:ascii="Century Gothic" w:hAnsi="Century Gothic"/>
          <w:b/>
          <w:sz w:val="22"/>
          <w:szCs w:val="22"/>
        </w:rPr>
      </w:pPr>
      <w:r w:rsidRPr="002679C1">
        <w:rPr>
          <w:rFonts w:ascii="Century Gothic" w:hAnsi="Century Gothic"/>
          <w:b/>
          <w:sz w:val="22"/>
          <w:szCs w:val="22"/>
        </w:rPr>
        <w:t>Navrhovaný zámer je v súlade s územnoplánovacou dokumentáciou mesta Žilina.</w:t>
      </w:r>
    </w:p>
    <w:p w14:paraId="111BACC9" w14:textId="77777777" w:rsidR="00024CEF" w:rsidRPr="002679C1" w:rsidRDefault="00024CEF" w:rsidP="00B447EE">
      <w:pPr>
        <w:suppressAutoHyphens/>
        <w:spacing w:line="240" w:lineRule="auto"/>
        <w:rPr>
          <w:rFonts w:ascii="Century Gothic" w:hAnsi="Century Gothic"/>
          <w:sz w:val="22"/>
          <w:szCs w:val="22"/>
        </w:rPr>
      </w:pPr>
    </w:p>
    <w:p w14:paraId="6DC04BB8" w14:textId="68A3B6D6" w:rsidR="00024CEF" w:rsidRPr="002679C1" w:rsidRDefault="00024CEF" w:rsidP="00B447EE">
      <w:pPr>
        <w:suppressAutoHyphens/>
        <w:spacing w:line="240" w:lineRule="auto"/>
        <w:rPr>
          <w:rFonts w:ascii="Century Gothic" w:hAnsi="Century Gothic"/>
          <w:bCs/>
          <w:sz w:val="22"/>
          <w:szCs w:val="22"/>
        </w:rPr>
      </w:pPr>
      <w:r w:rsidRPr="002679C1">
        <w:rPr>
          <w:rFonts w:ascii="Century Gothic" w:hAnsi="Century Gothic"/>
          <w:bCs/>
          <w:sz w:val="22"/>
          <w:szCs w:val="22"/>
        </w:rPr>
        <w:t>Počet parkovacích miest 1.PP</w:t>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t>399</w:t>
      </w:r>
    </w:p>
    <w:p w14:paraId="0525D499" w14:textId="14CC7DCC" w:rsidR="00024CEF" w:rsidRPr="002679C1" w:rsidRDefault="00024CEF" w:rsidP="00B447EE">
      <w:pPr>
        <w:suppressAutoHyphens/>
        <w:spacing w:line="240" w:lineRule="auto"/>
        <w:rPr>
          <w:rFonts w:ascii="Century Gothic" w:hAnsi="Century Gothic"/>
          <w:bCs/>
          <w:sz w:val="22"/>
          <w:szCs w:val="22"/>
        </w:rPr>
      </w:pPr>
      <w:r w:rsidRPr="002679C1">
        <w:rPr>
          <w:rFonts w:ascii="Century Gothic" w:hAnsi="Century Gothic"/>
          <w:bCs/>
          <w:sz w:val="22"/>
          <w:szCs w:val="22"/>
        </w:rPr>
        <w:t xml:space="preserve">Počet parkovacích miest na teréne - </w:t>
      </w:r>
      <w:proofErr w:type="spellStart"/>
      <w:r w:rsidRPr="002679C1">
        <w:rPr>
          <w:rFonts w:ascii="Century Gothic" w:hAnsi="Century Gothic"/>
          <w:bCs/>
          <w:sz w:val="22"/>
          <w:szCs w:val="22"/>
        </w:rPr>
        <w:t>urgent</w:t>
      </w:r>
      <w:proofErr w:type="spellEnd"/>
      <w:r w:rsidRPr="002679C1">
        <w:rPr>
          <w:rFonts w:ascii="Century Gothic" w:hAnsi="Century Gothic"/>
          <w:bCs/>
          <w:sz w:val="22"/>
          <w:szCs w:val="22"/>
        </w:rPr>
        <w:t>:</w:t>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t xml:space="preserve">10 </w:t>
      </w:r>
    </w:p>
    <w:p w14:paraId="1759A3B6" w14:textId="77777777" w:rsidR="00024CEF" w:rsidRPr="002679C1" w:rsidRDefault="00024CEF" w:rsidP="00B447EE">
      <w:pPr>
        <w:suppressAutoHyphens/>
        <w:spacing w:line="240" w:lineRule="auto"/>
        <w:rPr>
          <w:rFonts w:ascii="Century Gothic" w:hAnsi="Century Gothic"/>
          <w:b/>
          <w:sz w:val="22"/>
          <w:szCs w:val="22"/>
        </w:rPr>
      </w:pPr>
      <w:r w:rsidRPr="002679C1">
        <w:rPr>
          <w:rFonts w:ascii="Century Gothic" w:hAnsi="Century Gothic"/>
          <w:b/>
          <w:sz w:val="22"/>
          <w:szCs w:val="22"/>
        </w:rPr>
        <w:t>Počet parkovacích miest spolu:</w:t>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t>408</w:t>
      </w:r>
    </w:p>
    <w:p w14:paraId="64EA4472" w14:textId="3BBF4F1E" w:rsidR="00024CEF" w:rsidRDefault="00024CEF" w:rsidP="00B447EE">
      <w:pPr>
        <w:suppressAutoHyphens/>
        <w:spacing w:line="240" w:lineRule="auto"/>
        <w:rPr>
          <w:rFonts w:ascii="Century Gothic" w:hAnsi="Century Gothic"/>
          <w:bCs/>
          <w:sz w:val="22"/>
          <w:szCs w:val="22"/>
        </w:rPr>
      </w:pPr>
      <w:r w:rsidRPr="002679C1">
        <w:rPr>
          <w:rFonts w:ascii="Century Gothic" w:hAnsi="Century Gothic"/>
          <w:bCs/>
          <w:sz w:val="22"/>
          <w:szCs w:val="22"/>
        </w:rPr>
        <w:t>Počet parkovacích miest vyhradených pre ZŤP z celkového počtu PM:</w:t>
      </w:r>
      <w:r w:rsidRPr="002679C1">
        <w:rPr>
          <w:rFonts w:ascii="Century Gothic" w:hAnsi="Century Gothic"/>
          <w:bCs/>
          <w:sz w:val="22"/>
          <w:szCs w:val="22"/>
        </w:rPr>
        <w:tab/>
        <w:t>60 (14,5%)</w:t>
      </w:r>
    </w:p>
    <w:p w14:paraId="354B0AFD" w14:textId="77777777" w:rsidR="00D46D91" w:rsidRPr="002679C1" w:rsidRDefault="00D46D91" w:rsidP="00B447EE">
      <w:pPr>
        <w:suppressAutoHyphens/>
        <w:spacing w:line="240" w:lineRule="auto"/>
        <w:rPr>
          <w:rFonts w:ascii="Century Gothic" w:hAnsi="Century Gothic"/>
          <w:sz w:val="22"/>
          <w:szCs w:val="22"/>
        </w:rPr>
      </w:pPr>
    </w:p>
    <w:p w14:paraId="0A50C69F" w14:textId="57CA6ECD" w:rsidR="00024CEF" w:rsidRPr="00C242B5" w:rsidRDefault="00024CEF" w:rsidP="00C242B5">
      <w:pPr>
        <w:rPr>
          <w:rFonts w:ascii="Century Gothic" w:hAnsi="Century Gothic"/>
          <w:b/>
          <w:color w:val="4F81BD" w:themeColor="accent1"/>
          <w:sz w:val="22"/>
          <w:szCs w:val="22"/>
        </w:rPr>
      </w:pPr>
      <w:bookmarkStart w:id="35" w:name="_Toc129154430"/>
      <w:r w:rsidRPr="00C242B5">
        <w:rPr>
          <w:rFonts w:ascii="Century Gothic" w:hAnsi="Century Gothic"/>
          <w:b/>
          <w:color w:val="4F81BD" w:themeColor="accent1"/>
          <w:sz w:val="22"/>
          <w:szCs w:val="22"/>
        </w:rPr>
        <w:t>Údaje o</w:t>
      </w:r>
      <w:r w:rsidR="00BC2F2C" w:rsidRPr="00C242B5">
        <w:rPr>
          <w:rFonts w:ascii="Century Gothic" w:hAnsi="Century Gothic"/>
          <w:b/>
          <w:color w:val="4F81BD" w:themeColor="accent1"/>
          <w:sz w:val="22"/>
          <w:szCs w:val="22"/>
        </w:rPr>
        <w:t> </w:t>
      </w:r>
      <w:r w:rsidRPr="00C242B5">
        <w:rPr>
          <w:rFonts w:ascii="Century Gothic" w:hAnsi="Century Gothic"/>
          <w:b/>
          <w:color w:val="4F81BD" w:themeColor="accent1"/>
          <w:sz w:val="22"/>
          <w:szCs w:val="22"/>
        </w:rPr>
        <w:t>kapacite</w:t>
      </w:r>
      <w:bookmarkEnd w:id="35"/>
    </w:p>
    <w:p w14:paraId="57E0893E" w14:textId="77777777" w:rsidR="00024CEF" w:rsidRPr="002679C1" w:rsidRDefault="00024CEF" w:rsidP="007F681B">
      <w:pPr>
        <w:pStyle w:val="Odsekzoznamu"/>
        <w:numPr>
          <w:ilvl w:val="0"/>
          <w:numId w:val="57"/>
        </w:numPr>
        <w:suppressAutoHyphens/>
        <w:spacing w:line="240" w:lineRule="auto"/>
        <w:ind w:hanging="357"/>
        <w:rPr>
          <w:rFonts w:ascii="Century Gothic" w:hAnsi="Century Gothic" w:cs="Arial"/>
          <w:sz w:val="22"/>
          <w:szCs w:val="22"/>
        </w:rPr>
      </w:pPr>
      <w:r w:rsidRPr="002679C1">
        <w:rPr>
          <w:rFonts w:ascii="Century Gothic" w:hAnsi="Century Gothic" w:cs="Arial"/>
          <w:sz w:val="22"/>
          <w:szCs w:val="22"/>
        </w:rPr>
        <w:t>Počet lôžok</w:t>
      </w:r>
      <w:r w:rsidRPr="002679C1">
        <w:rPr>
          <w:rFonts w:ascii="Century Gothic" w:hAnsi="Century Gothic" w:cs="Arial"/>
          <w:sz w:val="22"/>
          <w:szCs w:val="22"/>
        </w:rPr>
        <w:tab/>
      </w:r>
      <w:r w:rsidRPr="002679C1">
        <w:rPr>
          <w:rFonts w:ascii="Century Gothic" w:hAnsi="Century Gothic" w:cs="Arial"/>
          <w:sz w:val="22"/>
          <w:szCs w:val="22"/>
        </w:rPr>
        <w:tab/>
      </w:r>
      <w:r w:rsidRPr="002679C1">
        <w:rPr>
          <w:rFonts w:ascii="Century Gothic" w:hAnsi="Century Gothic" w:cs="Arial"/>
          <w:sz w:val="22"/>
          <w:szCs w:val="22"/>
        </w:rPr>
        <w:tab/>
        <w:t>343 ks</w:t>
      </w:r>
      <w:r w:rsidRPr="002679C1">
        <w:rPr>
          <w:rFonts w:ascii="Century Gothic" w:hAnsi="Century Gothic" w:cs="Arial"/>
          <w:sz w:val="22"/>
          <w:szCs w:val="22"/>
        </w:rPr>
        <w:tab/>
      </w:r>
    </w:p>
    <w:p w14:paraId="5BFDF44D" w14:textId="34DDFCFF" w:rsidR="00024CEF" w:rsidRPr="002679C1" w:rsidRDefault="00024CEF" w:rsidP="007F681B">
      <w:pPr>
        <w:pStyle w:val="Odsekzoznamu"/>
        <w:numPr>
          <w:ilvl w:val="0"/>
          <w:numId w:val="57"/>
        </w:numPr>
        <w:suppressAutoHyphens/>
        <w:spacing w:line="240" w:lineRule="auto"/>
        <w:ind w:hanging="357"/>
        <w:rPr>
          <w:rFonts w:ascii="Century Gothic" w:hAnsi="Century Gothic" w:cs="Arial"/>
          <w:sz w:val="22"/>
          <w:szCs w:val="22"/>
        </w:rPr>
      </w:pPr>
      <w:r w:rsidRPr="002679C1">
        <w:rPr>
          <w:rFonts w:ascii="Century Gothic" w:hAnsi="Century Gothic" w:cs="Arial"/>
          <w:sz w:val="22"/>
          <w:szCs w:val="22"/>
        </w:rPr>
        <w:t>Operačné sály</w:t>
      </w:r>
      <w:r w:rsidRPr="002679C1">
        <w:rPr>
          <w:rFonts w:ascii="Century Gothic" w:hAnsi="Century Gothic" w:cs="Arial"/>
          <w:sz w:val="22"/>
          <w:szCs w:val="22"/>
        </w:rPr>
        <w:tab/>
      </w:r>
      <w:r w:rsidRPr="002679C1">
        <w:rPr>
          <w:rFonts w:ascii="Century Gothic" w:hAnsi="Century Gothic" w:cs="Arial"/>
          <w:sz w:val="22"/>
          <w:szCs w:val="22"/>
        </w:rPr>
        <w:tab/>
        <w:t>14x operačná sála,</w:t>
      </w:r>
    </w:p>
    <w:p w14:paraId="38921394" w14:textId="77777777" w:rsidR="00024CEF" w:rsidRPr="002679C1" w:rsidRDefault="00024CEF" w:rsidP="00B447EE">
      <w:pPr>
        <w:pStyle w:val="Odsekzoznamu"/>
        <w:suppressAutoHyphens/>
        <w:spacing w:line="240" w:lineRule="auto"/>
        <w:ind w:left="3544"/>
        <w:rPr>
          <w:rFonts w:ascii="Century Gothic" w:hAnsi="Century Gothic" w:cs="Arial"/>
          <w:sz w:val="22"/>
          <w:szCs w:val="22"/>
        </w:rPr>
      </w:pPr>
      <w:r w:rsidRPr="002679C1">
        <w:rPr>
          <w:rFonts w:ascii="Century Gothic" w:hAnsi="Century Gothic" w:cs="Arial"/>
          <w:sz w:val="22"/>
          <w:szCs w:val="22"/>
        </w:rPr>
        <w:lastRenderedPageBreak/>
        <w:t>1x hybridný operačný sál</w:t>
      </w:r>
      <w:r w:rsidRPr="002679C1">
        <w:rPr>
          <w:rFonts w:ascii="Century Gothic" w:hAnsi="Century Gothic" w:cs="Arial"/>
          <w:sz w:val="22"/>
          <w:szCs w:val="22"/>
        </w:rPr>
        <w:tab/>
        <w:t xml:space="preserve"> </w:t>
      </w:r>
      <w:r w:rsidRPr="002679C1">
        <w:rPr>
          <w:rFonts w:ascii="Century Gothic" w:hAnsi="Century Gothic" w:cs="Arial"/>
          <w:sz w:val="22"/>
          <w:szCs w:val="22"/>
        </w:rPr>
        <w:tab/>
      </w:r>
    </w:p>
    <w:p w14:paraId="389A52E2" w14:textId="77777777" w:rsidR="00A52FA5" w:rsidRDefault="00DB4DD7" w:rsidP="00B447EE">
      <w:pPr>
        <w:pStyle w:val="Odsekzoznamu"/>
        <w:suppressAutoHyphens/>
        <w:spacing w:line="240" w:lineRule="auto"/>
        <w:ind w:left="2846" w:firstLine="697"/>
        <w:rPr>
          <w:rFonts w:ascii="Century Gothic" w:hAnsi="Century Gothic" w:cs="Arial"/>
          <w:sz w:val="22"/>
          <w:szCs w:val="22"/>
        </w:rPr>
      </w:pPr>
      <w:r w:rsidRPr="002679C1">
        <w:rPr>
          <w:rFonts w:ascii="Century Gothic" w:hAnsi="Century Gothic" w:cs="Arial"/>
          <w:sz w:val="22"/>
          <w:szCs w:val="22"/>
        </w:rPr>
        <w:t xml:space="preserve">10 </w:t>
      </w:r>
      <w:r w:rsidR="00024CEF" w:rsidRPr="002679C1">
        <w:rPr>
          <w:rFonts w:ascii="Century Gothic" w:hAnsi="Century Gothic" w:cs="Arial"/>
          <w:sz w:val="22"/>
          <w:szCs w:val="22"/>
        </w:rPr>
        <w:t>x sál na 1 dňovú chirurgiu</w:t>
      </w:r>
      <w:r w:rsidR="00024CEF" w:rsidRPr="002679C1">
        <w:rPr>
          <w:rFonts w:ascii="Century Gothic" w:hAnsi="Century Gothic" w:cs="Arial"/>
          <w:sz w:val="22"/>
          <w:szCs w:val="22"/>
        </w:rPr>
        <w:tab/>
        <w:t xml:space="preserve"> </w:t>
      </w:r>
    </w:p>
    <w:p w14:paraId="69764193" w14:textId="7A54F64E" w:rsidR="00A52FA5" w:rsidRPr="003F63FD" w:rsidRDefault="00A52FA5" w:rsidP="007F681B">
      <w:pPr>
        <w:pStyle w:val="Odsekzoznamu"/>
        <w:numPr>
          <w:ilvl w:val="0"/>
          <w:numId w:val="57"/>
        </w:numPr>
        <w:suppressAutoHyphens/>
        <w:spacing w:line="240" w:lineRule="auto"/>
        <w:ind w:left="714" w:hanging="357"/>
        <w:rPr>
          <w:rFonts w:ascii="Arial Narrow" w:hAnsi="Arial Narrow" w:cs="Arial"/>
          <w:szCs w:val="22"/>
        </w:rPr>
      </w:pPr>
      <w:r w:rsidRPr="003F63FD">
        <w:rPr>
          <w:rFonts w:ascii="Arial Narrow" w:hAnsi="Arial Narrow" w:cs="Arial"/>
          <w:szCs w:val="22"/>
        </w:rPr>
        <w:t>JIS vr. ARO</w:t>
      </w:r>
      <w:r w:rsidRPr="003F63FD">
        <w:rPr>
          <w:rFonts w:ascii="Arial Narrow" w:hAnsi="Arial Narrow" w:cs="Arial"/>
          <w:szCs w:val="22"/>
        </w:rPr>
        <w:tab/>
      </w:r>
      <w:r w:rsidRPr="003F63FD">
        <w:rPr>
          <w:rFonts w:ascii="Arial Narrow" w:hAnsi="Arial Narrow" w:cs="Arial"/>
          <w:szCs w:val="22"/>
        </w:rPr>
        <w:tab/>
      </w:r>
      <w:r w:rsidRPr="003F63FD">
        <w:rPr>
          <w:rFonts w:ascii="Arial Narrow" w:hAnsi="Arial Narrow" w:cs="Arial"/>
          <w:szCs w:val="22"/>
        </w:rPr>
        <w:tab/>
        <w:t>60 lôžok</w:t>
      </w:r>
      <w:r w:rsidR="00203BE1">
        <w:rPr>
          <w:rFonts w:ascii="Arial Narrow" w:hAnsi="Arial Narrow" w:cs="Arial"/>
          <w:szCs w:val="22"/>
        </w:rPr>
        <w:t xml:space="preserve"> (ako cca 10 % celkového počtu lôžok areálu)</w:t>
      </w:r>
    </w:p>
    <w:p w14:paraId="4AB29EBC" w14:textId="0754C2C0" w:rsidR="00A52FA5" w:rsidRPr="00A52FA5" w:rsidRDefault="00A52FA5" w:rsidP="007F681B">
      <w:pPr>
        <w:pStyle w:val="Odsekzoznamu"/>
        <w:numPr>
          <w:ilvl w:val="0"/>
          <w:numId w:val="57"/>
        </w:numPr>
        <w:suppressAutoHyphens/>
        <w:spacing w:line="240" w:lineRule="auto"/>
        <w:ind w:hanging="357"/>
        <w:rPr>
          <w:rFonts w:ascii="Century Gothic" w:hAnsi="Century Gothic" w:cs="Arial"/>
          <w:sz w:val="22"/>
          <w:szCs w:val="22"/>
        </w:rPr>
      </w:pPr>
      <w:proofErr w:type="spellStart"/>
      <w:r w:rsidRPr="00A52FA5">
        <w:rPr>
          <w:rFonts w:ascii="Century Gothic" w:hAnsi="Century Gothic" w:cs="Arial"/>
          <w:sz w:val="22"/>
          <w:szCs w:val="22"/>
        </w:rPr>
        <w:t>Urgent</w:t>
      </w:r>
      <w:proofErr w:type="spellEnd"/>
      <w:r w:rsidRPr="00A52FA5">
        <w:rPr>
          <w:rFonts w:ascii="Century Gothic" w:hAnsi="Century Gothic" w:cs="Arial"/>
          <w:sz w:val="22"/>
          <w:szCs w:val="22"/>
        </w:rPr>
        <w:t xml:space="preserve"> 2. typu</w:t>
      </w:r>
    </w:p>
    <w:p w14:paraId="418070DB" w14:textId="77777777" w:rsidR="00A52FA5" w:rsidRPr="00A52FA5" w:rsidRDefault="00A52FA5" w:rsidP="007F681B">
      <w:pPr>
        <w:pStyle w:val="Odsekzoznamu"/>
        <w:numPr>
          <w:ilvl w:val="0"/>
          <w:numId w:val="57"/>
        </w:numPr>
        <w:suppressAutoHyphens/>
        <w:spacing w:line="240" w:lineRule="auto"/>
        <w:ind w:hanging="357"/>
        <w:rPr>
          <w:rFonts w:ascii="Century Gothic" w:hAnsi="Century Gothic" w:cs="Arial"/>
          <w:sz w:val="22"/>
          <w:szCs w:val="22"/>
        </w:rPr>
      </w:pPr>
      <w:proofErr w:type="spellStart"/>
      <w:r w:rsidRPr="00A52FA5">
        <w:rPr>
          <w:rFonts w:ascii="Century Gothic" w:hAnsi="Century Gothic" w:cs="Arial"/>
          <w:sz w:val="22"/>
          <w:szCs w:val="22"/>
        </w:rPr>
        <w:t>Heliport</w:t>
      </w:r>
      <w:proofErr w:type="spellEnd"/>
      <w:r w:rsidRPr="00A52FA5">
        <w:rPr>
          <w:rFonts w:ascii="Century Gothic" w:hAnsi="Century Gothic" w:cs="Arial"/>
          <w:sz w:val="22"/>
          <w:szCs w:val="22"/>
        </w:rPr>
        <w:t xml:space="preserve"> HEMS</w:t>
      </w:r>
    </w:p>
    <w:p w14:paraId="41D35051" w14:textId="77777777" w:rsidR="00A52FA5" w:rsidRDefault="00A52FA5" w:rsidP="00B447EE">
      <w:pPr>
        <w:pStyle w:val="Odsekzoznamu"/>
        <w:suppressAutoHyphens/>
        <w:spacing w:line="240" w:lineRule="auto"/>
        <w:ind w:left="2844" w:firstLine="696"/>
        <w:rPr>
          <w:rFonts w:ascii="Century Gothic" w:hAnsi="Century Gothic" w:cs="Arial"/>
          <w:sz w:val="22"/>
          <w:szCs w:val="22"/>
        </w:rPr>
      </w:pPr>
    </w:p>
    <w:p w14:paraId="34CF7521" w14:textId="2B363210" w:rsidR="0018150D" w:rsidRPr="00C242B5" w:rsidRDefault="0018150D" w:rsidP="00C242B5">
      <w:pPr>
        <w:spacing w:line="240" w:lineRule="auto"/>
        <w:rPr>
          <w:rFonts w:ascii="Century Gothic" w:hAnsi="Century Gothic"/>
          <w:sz w:val="22"/>
          <w:szCs w:val="22"/>
        </w:rPr>
      </w:pPr>
      <w:r w:rsidRPr="00C242B5">
        <w:rPr>
          <w:rFonts w:ascii="Century Gothic" w:hAnsi="Century Gothic"/>
          <w:sz w:val="22"/>
          <w:szCs w:val="22"/>
        </w:rPr>
        <w:t xml:space="preserve">POZN: Niektoré údaje, ktoré sú uvedené v texte štúdie aj projektovej dokumentácie nekorešpondujú na 100 % v dopytovým a kapacitným modelom. Odlišnosti vznikli „zásahmi/optimalizáciou“ medicínskej pracovnej skupiny do výstupov dopytového a kapacitné modelu, alebo jednoduchými „technickými“ dôvodmi, kedy pri rozkresľovaní kapacitného modelu do výkresovej dokumentácie bola nutná technická úprava parametrov.    </w:t>
      </w:r>
    </w:p>
    <w:p w14:paraId="4147DEB6" w14:textId="77777777" w:rsidR="0018150D" w:rsidRPr="00C67E68" w:rsidRDefault="0018150D" w:rsidP="00C67E68">
      <w:pPr>
        <w:rPr>
          <w:i/>
        </w:rPr>
      </w:pPr>
    </w:p>
    <w:p w14:paraId="5705D3EE" w14:textId="2DE7E881" w:rsidR="00024CEF" w:rsidRPr="00C242B5" w:rsidRDefault="00BC2F2C" w:rsidP="00C242B5">
      <w:pPr>
        <w:rPr>
          <w:rFonts w:ascii="Century Gothic" w:hAnsi="Century Gothic"/>
          <w:b/>
          <w:color w:val="4F81BD" w:themeColor="accent1"/>
          <w:sz w:val="22"/>
          <w:szCs w:val="22"/>
        </w:rPr>
      </w:pPr>
      <w:r w:rsidRPr="00C242B5">
        <w:rPr>
          <w:rFonts w:ascii="Century Gothic" w:hAnsi="Century Gothic"/>
          <w:b/>
          <w:color w:val="4F81BD" w:themeColor="accent1"/>
          <w:sz w:val="22"/>
          <w:szCs w:val="22"/>
        </w:rPr>
        <w:t>Odhadované investičné náklady</w:t>
      </w:r>
    </w:p>
    <w:p w14:paraId="7C7411EF" w14:textId="77777777" w:rsidR="00A52FA5" w:rsidRPr="002679C1" w:rsidRDefault="00A52FA5" w:rsidP="00B447EE">
      <w:pPr>
        <w:spacing w:line="240" w:lineRule="auto"/>
        <w:rPr>
          <w:rFonts w:ascii="Century Gothic" w:hAnsi="Century Gothic"/>
          <w:b/>
          <w:sz w:val="22"/>
          <w:szCs w:val="22"/>
        </w:rPr>
      </w:pPr>
      <w:r w:rsidRPr="002679C1">
        <w:rPr>
          <w:rFonts w:ascii="Century Gothic" w:hAnsi="Century Gothic"/>
          <w:b/>
          <w:sz w:val="22"/>
          <w:szCs w:val="22"/>
        </w:rPr>
        <w:t>CENY KALKULOVANÉ NA ZÁKLADE PLATNÝCH BENCHMARKOV PLÁNU OBNOVY A ODOLNOSTI</w:t>
      </w:r>
    </w:p>
    <w:p w14:paraId="0BE0F27E" w14:textId="4C9EDD01" w:rsidR="00A52FA5" w:rsidRPr="002679C1" w:rsidRDefault="00A52FA5" w:rsidP="00B447EE">
      <w:pPr>
        <w:spacing w:line="240" w:lineRule="auto"/>
        <w:rPr>
          <w:rFonts w:ascii="Century Gothic" w:hAnsi="Century Gothic"/>
          <w:sz w:val="22"/>
          <w:szCs w:val="22"/>
        </w:rPr>
      </w:pPr>
      <w:r w:rsidRPr="002679C1">
        <w:rPr>
          <w:rFonts w:ascii="Century Gothic" w:hAnsi="Century Gothic"/>
          <w:sz w:val="22"/>
          <w:szCs w:val="22"/>
        </w:rPr>
        <w:t>SHELL and CORE:</w:t>
      </w:r>
    </w:p>
    <w:p w14:paraId="4FC37835" w14:textId="54A658B6" w:rsidR="00A52FA5" w:rsidRPr="002679C1" w:rsidRDefault="00A52FA5" w:rsidP="00B447EE">
      <w:pPr>
        <w:spacing w:line="240" w:lineRule="auto"/>
        <w:rPr>
          <w:rFonts w:ascii="Century Gothic" w:hAnsi="Century Gothic"/>
          <w:sz w:val="22"/>
          <w:szCs w:val="22"/>
        </w:rPr>
      </w:pPr>
      <w:r w:rsidRPr="002679C1">
        <w:rPr>
          <w:rFonts w:ascii="Century Gothic" w:hAnsi="Century Gothic"/>
          <w:sz w:val="22"/>
          <w:szCs w:val="22"/>
        </w:rPr>
        <w:t>144 237 674 Eur bez DPH</w:t>
      </w:r>
      <w:r w:rsidR="00203BE1">
        <w:rPr>
          <w:rFonts w:ascii="Century Gothic" w:hAnsi="Century Gothic"/>
          <w:sz w:val="22"/>
          <w:szCs w:val="22"/>
        </w:rPr>
        <w:t xml:space="preserve"> </w:t>
      </w:r>
      <w:r w:rsidR="00203BE1" w:rsidRPr="00287442">
        <w:rPr>
          <w:rFonts w:ascii="Century Gothic" w:hAnsi="Century Gothic"/>
          <w:sz w:val="22"/>
          <w:szCs w:val="22"/>
        </w:rPr>
        <w:t>*</w:t>
      </w:r>
    </w:p>
    <w:p w14:paraId="7E2AD466" w14:textId="77777777" w:rsidR="00A52FA5" w:rsidRPr="002679C1" w:rsidRDefault="00A52FA5" w:rsidP="00B447EE">
      <w:pPr>
        <w:spacing w:line="240" w:lineRule="auto"/>
        <w:rPr>
          <w:rFonts w:ascii="Century Gothic" w:hAnsi="Century Gothic"/>
          <w:sz w:val="22"/>
          <w:szCs w:val="22"/>
        </w:rPr>
      </w:pPr>
      <w:r w:rsidRPr="002679C1">
        <w:rPr>
          <w:rFonts w:ascii="Century Gothic" w:hAnsi="Century Gothic"/>
          <w:sz w:val="22"/>
          <w:szCs w:val="22"/>
        </w:rPr>
        <w:t>FULL FIT OUT:</w:t>
      </w:r>
    </w:p>
    <w:p w14:paraId="4C2344CA" w14:textId="59B103AD" w:rsidR="00A52FA5" w:rsidRPr="002679C1" w:rsidRDefault="00A52FA5" w:rsidP="00B447EE">
      <w:pPr>
        <w:spacing w:line="240" w:lineRule="auto"/>
        <w:rPr>
          <w:rFonts w:ascii="Century Gothic" w:hAnsi="Century Gothic"/>
          <w:sz w:val="22"/>
          <w:szCs w:val="22"/>
        </w:rPr>
      </w:pPr>
      <w:r w:rsidRPr="002679C1">
        <w:rPr>
          <w:rFonts w:ascii="Century Gothic" w:hAnsi="Century Gothic"/>
          <w:sz w:val="22"/>
          <w:szCs w:val="22"/>
        </w:rPr>
        <w:t>211 548 680 Eur bez DPH</w:t>
      </w:r>
      <w:r w:rsidR="00203BE1" w:rsidRPr="00287442">
        <w:rPr>
          <w:rFonts w:ascii="Century Gothic" w:hAnsi="Century Gothic"/>
          <w:sz w:val="22"/>
          <w:szCs w:val="22"/>
        </w:rPr>
        <w:t>*</w:t>
      </w:r>
      <w:r w:rsidRPr="002679C1">
        <w:rPr>
          <w:rFonts w:ascii="Century Gothic" w:hAnsi="Century Gothic"/>
          <w:sz w:val="22"/>
          <w:szCs w:val="22"/>
        </w:rPr>
        <w:t xml:space="preserve"> (</w:t>
      </w:r>
      <w:r w:rsidR="00BC2F2C">
        <w:rPr>
          <w:rFonts w:ascii="Century Gothic" w:hAnsi="Century Gothic"/>
          <w:sz w:val="22"/>
          <w:szCs w:val="22"/>
        </w:rPr>
        <w:t>v</w:t>
      </w:r>
      <w:r w:rsidRPr="002679C1">
        <w:rPr>
          <w:rFonts w:ascii="Century Gothic" w:hAnsi="Century Gothic"/>
          <w:sz w:val="22"/>
          <w:szCs w:val="22"/>
        </w:rPr>
        <w:t>rátane medicínskeho vybavenia, ktoré tvorí cca 25 % ceny)</w:t>
      </w:r>
    </w:p>
    <w:p w14:paraId="0012DD6B" w14:textId="77777777" w:rsidR="00A52FA5" w:rsidRPr="002679C1" w:rsidRDefault="00A52FA5" w:rsidP="00B447EE">
      <w:pPr>
        <w:spacing w:line="240" w:lineRule="auto"/>
        <w:rPr>
          <w:rFonts w:ascii="Century Gothic" w:hAnsi="Century Gothic"/>
          <w:sz w:val="22"/>
          <w:szCs w:val="22"/>
        </w:rPr>
      </w:pPr>
      <w:r w:rsidRPr="002679C1">
        <w:rPr>
          <w:rFonts w:ascii="Century Gothic" w:hAnsi="Century Gothic"/>
          <w:sz w:val="22"/>
          <w:szCs w:val="22"/>
        </w:rPr>
        <w:t xml:space="preserve">z toho </w:t>
      </w:r>
    </w:p>
    <w:p w14:paraId="6EC4F1CA" w14:textId="77777777" w:rsidR="00A52FA5" w:rsidRPr="002679C1" w:rsidRDefault="00A52FA5" w:rsidP="007F681B">
      <w:pPr>
        <w:pStyle w:val="Odsekzoznamu"/>
        <w:numPr>
          <w:ilvl w:val="0"/>
          <w:numId w:val="56"/>
        </w:numPr>
        <w:spacing w:line="240" w:lineRule="auto"/>
        <w:rPr>
          <w:rFonts w:ascii="Century Gothic" w:hAnsi="Century Gothic"/>
          <w:sz w:val="22"/>
          <w:szCs w:val="22"/>
        </w:rPr>
      </w:pPr>
      <w:r w:rsidRPr="002679C1">
        <w:rPr>
          <w:rFonts w:ascii="Century Gothic" w:hAnsi="Century Gothic"/>
          <w:sz w:val="22"/>
          <w:szCs w:val="22"/>
        </w:rPr>
        <w:t>158 661 510 Eur bez DPH (Samotná stavba bez medicínskeho vybavenia)</w:t>
      </w:r>
    </w:p>
    <w:p w14:paraId="147CBAC3" w14:textId="6B073AAC" w:rsidR="00A52FA5" w:rsidRDefault="00A52FA5" w:rsidP="007F681B">
      <w:pPr>
        <w:pStyle w:val="Odsekzoznamu"/>
        <w:numPr>
          <w:ilvl w:val="0"/>
          <w:numId w:val="56"/>
        </w:numPr>
        <w:spacing w:line="240" w:lineRule="auto"/>
        <w:rPr>
          <w:rFonts w:ascii="Century Gothic" w:hAnsi="Century Gothic"/>
          <w:sz w:val="22"/>
          <w:szCs w:val="22"/>
        </w:rPr>
      </w:pPr>
      <w:r w:rsidRPr="002679C1">
        <w:rPr>
          <w:rFonts w:ascii="Century Gothic" w:hAnsi="Century Gothic"/>
          <w:sz w:val="22"/>
          <w:szCs w:val="22"/>
        </w:rPr>
        <w:t>52 887 170 Eur bez DPH (Medicínske vybavenie)</w:t>
      </w:r>
    </w:p>
    <w:p w14:paraId="57E957E5" w14:textId="77777777" w:rsidR="00203BE1" w:rsidRDefault="00203BE1" w:rsidP="00C67E68">
      <w:pPr>
        <w:spacing w:line="240" w:lineRule="auto"/>
        <w:rPr>
          <w:rFonts w:ascii="Century Gothic" w:hAnsi="Century Gothic"/>
          <w:sz w:val="22"/>
          <w:szCs w:val="22"/>
        </w:rPr>
      </w:pPr>
    </w:p>
    <w:p w14:paraId="616282F1" w14:textId="2133B667" w:rsidR="00203BE1" w:rsidRPr="00C67E68" w:rsidRDefault="00203BE1" w:rsidP="00C67E68">
      <w:pPr>
        <w:spacing w:line="240" w:lineRule="auto"/>
        <w:rPr>
          <w:rFonts w:ascii="Century Gothic" w:hAnsi="Century Gothic"/>
          <w:sz w:val="22"/>
          <w:szCs w:val="22"/>
        </w:rPr>
      </w:pPr>
      <w:r w:rsidRPr="00C67E68">
        <w:rPr>
          <w:rFonts w:ascii="Century Gothic" w:hAnsi="Century Gothic"/>
          <w:sz w:val="22"/>
          <w:szCs w:val="22"/>
        </w:rPr>
        <w:t xml:space="preserve">*ceny kalkulované podľa upravených </w:t>
      </w:r>
      <w:proofErr w:type="spellStart"/>
      <w:r w:rsidRPr="00C67E68">
        <w:rPr>
          <w:rFonts w:ascii="Century Gothic" w:hAnsi="Century Gothic"/>
          <w:sz w:val="22"/>
          <w:szCs w:val="22"/>
        </w:rPr>
        <w:t>benchmarkov</w:t>
      </w:r>
      <w:proofErr w:type="spellEnd"/>
      <w:r w:rsidRPr="00C67E68">
        <w:rPr>
          <w:rFonts w:ascii="Century Gothic" w:hAnsi="Century Gothic"/>
          <w:sz w:val="22"/>
          <w:szCs w:val="22"/>
        </w:rPr>
        <w:t xml:space="preserve"> na lôžko pre plán obnovy po aktualizácii</w:t>
      </w:r>
    </w:p>
    <w:p w14:paraId="10158D01" w14:textId="77777777" w:rsidR="00A52FA5" w:rsidRPr="002679C1" w:rsidRDefault="00A52FA5" w:rsidP="00B447EE">
      <w:pPr>
        <w:spacing w:line="240" w:lineRule="auto"/>
        <w:rPr>
          <w:rFonts w:ascii="Century Gothic" w:hAnsi="Century Gothic"/>
          <w:sz w:val="22"/>
          <w:szCs w:val="22"/>
        </w:rPr>
      </w:pPr>
    </w:p>
    <w:p w14:paraId="25CF21C0" w14:textId="24753DF0" w:rsidR="00A52FA5" w:rsidRPr="00947662" w:rsidRDefault="00A52FA5" w:rsidP="00B447EE">
      <w:pPr>
        <w:spacing w:line="240" w:lineRule="auto"/>
        <w:rPr>
          <w:rFonts w:ascii="Century Gothic" w:hAnsi="Century Gothic"/>
          <w:b/>
          <w:sz w:val="22"/>
          <w:szCs w:val="22"/>
        </w:rPr>
      </w:pPr>
      <w:r w:rsidRPr="00947662">
        <w:rPr>
          <w:rFonts w:ascii="Century Gothic" w:hAnsi="Century Gothic"/>
          <w:b/>
          <w:sz w:val="22"/>
          <w:szCs w:val="22"/>
        </w:rPr>
        <w:t xml:space="preserve">CENY KALKULOVANÉ </w:t>
      </w:r>
      <w:r w:rsidR="00203BE1" w:rsidRPr="00947662">
        <w:rPr>
          <w:rFonts w:ascii="Century Gothic" w:hAnsi="Century Gothic"/>
          <w:b/>
          <w:sz w:val="22"/>
          <w:szCs w:val="22"/>
        </w:rPr>
        <w:t>IN</w:t>
      </w:r>
      <w:r w:rsidR="00947662">
        <w:rPr>
          <w:rFonts w:ascii="Century Gothic" w:hAnsi="Century Gothic"/>
          <w:b/>
          <w:sz w:val="22"/>
          <w:szCs w:val="22"/>
        </w:rPr>
        <w:t>V</w:t>
      </w:r>
      <w:r w:rsidR="00203BE1" w:rsidRPr="00947662">
        <w:rPr>
          <w:rFonts w:ascii="Century Gothic" w:hAnsi="Century Gothic"/>
          <w:b/>
          <w:sz w:val="22"/>
          <w:szCs w:val="22"/>
        </w:rPr>
        <w:t>ESTOROM (</w:t>
      </w:r>
      <w:r w:rsidRPr="00947662">
        <w:rPr>
          <w:rFonts w:ascii="Century Gothic" w:hAnsi="Century Gothic"/>
          <w:b/>
          <w:sz w:val="22"/>
          <w:szCs w:val="22"/>
        </w:rPr>
        <w:t>NA ZÁKLADE HODNOTENÍ UHP</w:t>
      </w:r>
      <w:r w:rsidR="00203BE1" w:rsidRPr="00947662">
        <w:rPr>
          <w:rFonts w:ascii="Century Gothic" w:hAnsi="Century Gothic"/>
          <w:b/>
          <w:sz w:val="22"/>
          <w:szCs w:val="22"/>
        </w:rPr>
        <w:t>)</w:t>
      </w:r>
    </w:p>
    <w:p w14:paraId="607862EC" w14:textId="3045F532" w:rsidR="00A52FA5" w:rsidRPr="00947662" w:rsidRDefault="00947662" w:rsidP="00B447EE">
      <w:pPr>
        <w:spacing w:line="240" w:lineRule="auto"/>
        <w:rPr>
          <w:rFonts w:ascii="Century Gothic" w:hAnsi="Century Gothic"/>
          <w:sz w:val="22"/>
          <w:szCs w:val="22"/>
        </w:rPr>
      </w:pPr>
      <w:r w:rsidRPr="00947662">
        <w:rPr>
          <w:rFonts w:ascii="Century Gothic" w:hAnsi="Century Gothic"/>
          <w:sz w:val="22"/>
          <w:szCs w:val="22"/>
          <w:shd w:val="clear" w:color="auto" w:fill="FFFFFF"/>
        </w:rPr>
        <w:t xml:space="preserve">207 986 667 </w:t>
      </w:r>
      <w:r w:rsidR="00A52FA5" w:rsidRPr="00947662">
        <w:rPr>
          <w:rFonts w:ascii="Century Gothic" w:hAnsi="Century Gothic"/>
          <w:sz w:val="22"/>
          <w:szCs w:val="22"/>
        </w:rPr>
        <w:t>Eur bez DPH (</w:t>
      </w:r>
      <w:r w:rsidR="00BC2F2C" w:rsidRPr="00947662">
        <w:rPr>
          <w:rFonts w:ascii="Century Gothic" w:hAnsi="Century Gothic"/>
          <w:sz w:val="22"/>
          <w:szCs w:val="22"/>
        </w:rPr>
        <w:t>v</w:t>
      </w:r>
      <w:r w:rsidR="00A52FA5" w:rsidRPr="00947662">
        <w:rPr>
          <w:rFonts w:ascii="Century Gothic" w:hAnsi="Century Gothic"/>
          <w:sz w:val="22"/>
          <w:szCs w:val="22"/>
        </w:rPr>
        <w:t>rátane medicínskeho vybavenia, ktoré tvorí cca 25 % ceny)</w:t>
      </w:r>
    </w:p>
    <w:p w14:paraId="0577EA27" w14:textId="77777777" w:rsidR="00A52FA5" w:rsidRPr="00947662" w:rsidRDefault="00A52FA5" w:rsidP="00B447EE">
      <w:pPr>
        <w:spacing w:line="240" w:lineRule="auto"/>
        <w:rPr>
          <w:rFonts w:ascii="Century Gothic" w:hAnsi="Century Gothic"/>
          <w:sz w:val="22"/>
          <w:szCs w:val="22"/>
        </w:rPr>
      </w:pPr>
      <w:r w:rsidRPr="00947662">
        <w:rPr>
          <w:rFonts w:ascii="Century Gothic" w:hAnsi="Century Gothic"/>
          <w:sz w:val="22"/>
          <w:szCs w:val="22"/>
        </w:rPr>
        <w:t xml:space="preserve">z toho </w:t>
      </w:r>
    </w:p>
    <w:p w14:paraId="645E9BA7" w14:textId="229C2102" w:rsidR="00A52FA5" w:rsidRPr="00947662" w:rsidRDefault="00947662" w:rsidP="007F681B">
      <w:pPr>
        <w:pStyle w:val="Odsekzoznamu"/>
        <w:numPr>
          <w:ilvl w:val="0"/>
          <w:numId w:val="56"/>
        </w:numPr>
        <w:spacing w:line="240" w:lineRule="auto"/>
        <w:rPr>
          <w:rFonts w:ascii="Century Gothic" w:hAnsi="Century Gothic"/>
          <w:sz w:val="22"/>
          <w:szCs w:val="22"/>
        </w:rPr>
      </w:pPr>
      <w:r w:rsidRPr="00947662">
        <w:rPr>
          <w:rFonts w:ascii="Century Gothic" w:hAnsi="Century Gothic"/>
          <w:sz w:val="22"/>
          <w:szCs w:val="22"/>
        </w:rPr>
        <w:t>155</w:t>
      </w:r>
      <w:r w:rsidR="00203BE1" w:rsidRPr="00947662">
        <w:rPr>
          <w:rFonts w:ascii="Century Gothic" w:hAnsi="Century Gothic"/>
          <w:sz w:val="22"/>
          <w:szCs w:val="22"/>
        </w:rPr>
        <w:t xml:space="preserve"> </w:t>
      </w:r>
      <w:r w:rsidRPr="00947662">
        <w:rPr>
          <w:rFonts w:ascii="Century Gothic" w:hAnsi="Century Gothic"/>
          <w:sz w:val="22"/>
          <w:szCs w:val="22"/>
        </w:rPr>
        <w:t>990</w:t>
      </w:r>
      <w:r w:rsidR="00203BE1" w:rsidRPr="00947662">
        <w:rPr>
          <w:rFonts w:ascii="Century Gothic" w:hAnsi="Century Gothic"/>
          <w:sz w:val="22"/>
          <w:szCs w:val="22"/>
        </w:rPr>
        <w:t xml:space="preserve"> 000   </w:t>
      </w:r>
      <w:r w:rsidR="00A52FA5" w:rsidRPr="00947662">
        <w:rPr>
          <w:rFonts w:ascii="Century Gothic" w:hAnsi="Century Gothic"/>
          <w:sz w:val="22"/>
          <w:szCs w:val="22"/>
        </w:rPr>
        <w:t xml:space="preserve">Eur bez DPH (Samotná stavba bez medicínskeho vybavenia)  </w:t>
      </w:r>
    </w:p>
    <w:p w14:paraId="1C864C6F" w14:textId="635A2CD1" w:rsidR="00A52FA5" w:rsidRPr="00947662" w:rsidRDefault="00A52FA5" w:rsidP="007F681B">
      <w:pPr>
        <w:pStyle w:val="Odsekzoznamu"/>
        <w:numPr>
          <w:ilvl w:val="0"/>
          <w:numId w:val="56"/>
        </w:numPr>
        <w:spacing w:line="240" w:lineRule="auto"/>
        <w:rPr>
          <w:rFonts w:ascii="Century Gothic" w:hAnsi="Century Gothic"/>
          <w:sz w:val="22"/>
          <w:szCs w:val="22"/>
        </w:rPr>
      </w:pPr>
      <w:r w:rsidRPr="00947662">
        <w:rPr>
          <w:rFonts w:ascii="Century Gothic" w:hAnsi="Century Gothic"/>
          <w:sz w:val="22"/>
          <w:szCs w:val="22"/>
        </w:rPr>
        <w:t xml:space="preserve"> </w:t>
      </w:r>
      <w:r w:rsidR="00203BE1" w:rsidRPr="00947662">
        <w:rPr>
          <w:rFonts w:ascii="Century Gothic" w:hAnsi="Century Gothic"/>
          <w:sz w:val="22"/>
          <w:szCs w:val="22"/>
        </w:rPr>
        <w:t xml:space="preserve"> </w:t>
      </w:r>
      <w:r w:rsidR="00947662" w:rsidRPr="00947662">
        <w:rPr>
          <w:rFonts w:ascii="Century Gothic" w:hAnsi="Century Gothic"/>
          <w:sz w:val="22"/>
          <w:szCs w:val="22"/>
          <w:shd w:val="clear" w:color="auto" w:fill="FFFFFF"/>
        </w:rPr>
        <w:t>51 996 667</w:t>
      </w:r>
      <w:r w:rsidRPr="00947662">
        <w:rPr>
          <w:rFonts w:ascii="Century Gothic" w:hAnsi="Century Gothic"/>
          <w:sz w:val="22"/>
          <w:szCs w:val="22"/>
        </w:rPr>
        <w:t>Eur bez DPH (Medicínske vybavenie)</w:t>
      </w:r>
    </w:p>
    <w:p w14:paraId="28B477E4" w14:textId="77777777" w:rsidR="00DB4DD7" w:rsidRPr="00C242B5" w:rsidRDefault="00DB4DD7" w:rsidP="00C242B5">
      <w:pPr>
        <w:rPr>
          <w:rFonts w:ascii="Century Gothic" w:hAnsi="Century Gothic"/>
          <w:b/>
          <w:color w:val="4F81BD" w:themeColor="accent1"/>
          <w:sz w:val="22"/>
          <w:szCs w:val="22"/>
        </w:rPr>
      </w:pPr>
    </w:p>
    <w:p w14:paraId="18557215" w14:textId="59BC5EC3" w:rsidR="00F638EB" w:rsidRPr="00C242B5" w:rsidRDefault="00F058A1" w:rsidP="00C242B5">
      <w:pPr>
        <w:rPr>
          <w:rFonts w:ascii="Century Gothic" w:hAnsi="Century Gothic"/>
          <w:b/>
          <w:color w:val="4F81BD" w:themeColor="accent1"/>
          <w:sz w:val="22"/>
          <w:szCs w:val="22"/>
        </w:rPr>
      </w:pPr>
      <w:r w:rsidRPr="00C242B5">
        <w:rPr>
          <w:rFonts w:ascii="Century Gothic" w:hAnsi="Century Gothic"/>
          <w:b/>
          <w:color w:val="4F81BD" w:themeColor="accent1"/>
          <w:sz w:val="22"/>
          <w:szCs w:val="22"/>
        </w:rPr>
        <w:t>Základ</w:t>
      </w:r>
      <w:r w:rsidR="00BC2F2C" w:rsidRPr="00C242B5">
        <w:rPr>
          <w:rFonts w:ascii="Century Gothic" w:hAnsi="Century Gothic"/>
          <w:b/>
          <w:color w:val="4F81BD" w:themeColor="accent1"/>
          <w:sz w:val="22"/>
          <w:szCs w:val="22"/>
        </w:rPr>
        <w:t>né ekonomické ukazovatele</w:t>
      </w:r>
    </w:p>
    <w:p w14:paraId="0CCD5696" w14:textId="3FA916CC" w:rsidR="00F638EB" w:rsidRPr="002679C1" w:rsidRDefault="00F638EB" w:rsidP="00B447EE">
      <w:pPr>
        <w:spacing w:line="240" w:lineRule="auto"/>
        <w:rPr>
          <w:rFonts w:ascii="Century Gothic" w:hAnsi="Century Gothic"/>
          <w:sz w:val="22"/>
          <w:szCs w:val="22"/>
        </w:rPr>
      </w:pPr>
      <w:r w:rsidRPr="002679C1">
        <w:rPr>
          <w:rFonts w:ascii="Century Gothic" w:hAnsi="Century Gothic"/>
          <w:sz w:val="22"/>
          <w:szCs w:val="22"/>
        </w:rPr>
        <w:t>Pre potreby spracovania štúdie bol spracovaný Dopytový model zdravotnej starostlivosti s výhľadom na 30 rokov, ktorý určil základné medicínske nastavenie (kapacitný Medicínsky model) celej investície</w:t>
      </w:r>
    </w:p>
    <w:p w14:paraId="54FD4A9A" w14:textId="77777777" w:rsidR="00F638EB" w:rsidRPr="002679C1" w:rsidRDefault="00F638EB" w:rsidP="00B447EE">
      <w:pPr>
        <w:spacing w:line="240" w:lineRule="auto"/>
        <w:rPr>
          <w:rFonts w:ascii="Century Gothic" w:hAnsi="Century Gothic"/>
          <w:sz w:val="22"/>
          <w:szCs w:val="22"/>
        </w:rPr>
      </w:pPr>
    </w:p>
    <w:p w14:paraId="719D07C4" w14:textId="10EC2630" w:rsidR="00F638EB" w:rsidRPr="002679C1" w:rsidRDefault="00F638EB" w:rsidP="00B447EE">
      <w:pPr>
        <w:spacing w:line="240" w:lineRule="auto"/>
        <w:rPr>
          <w:rFonts w:ascii="Century Gothic" w:hAnsi="Century Gothic"/>
          <w:sz w:val="22"/>
          <w:szCs w:val="22"/>
        </w:rPr>
      </w:pPr>
      <w:r w:rsidRPr="002679C1">
        <w:rPr>
          <w:rFonts w:ascii="Century Gothic" w:hAnsi="Century Gothic"/>
          <w:sz w:val="22"/>
          <w:szCs w:val="22"/>
        </w:rPr>
        <w:t xml:space="preserve">Z pohľadu hodnotenia ekonomickej efektívnosti investície boli hodnotené tri investičné varianty v dvoch alternatívach, ktoré pre každý variant odlíšili ekonomické hodnotenie so započítaním resp. bez započítania podnikateľskej činnosti do samotného hodnotenia. </w:t>
      </w:r>
    </w:p>
    <w:p w14:paraId="4E81A80C" w14:textId="274A6F8E" w:rsidR="00F638EB" w:rsidRPr="002679C1" w:rsidRDefault="00F638EB" w:rsidP="00B447EE">
      <w:pPr>
        <w:spacing w:line="240" w:lineRule="auto"/>
        <w:rPr>
          <w:rFonts w:ascii="Century Gothic" w:hAnsi="Century Gothic"/>
          <w:sz w:val="22"/>
          <w:szCs w:val="22"/>
        </w:rPr>
      </w:pPr>
    </w:p>
    <w:p w14:paraId="6DA653AE" w14:textId="325AEA30" w:rsidR="00F638EB" w:rsidRPr="002679C1" w:rsidRDefault="00F638EB" w:rsidP="00B447EE">
      <w:pPr>
        <w:spacing w:line="240" w:lineRule="auto"/>
        <w:rPr>
          <w:rFonts w:ascii="Century Gothic" w:hAnsi="Century Gothic"/>
          <w:sz w:val="22"/>
          <w:szCs w:val="22"/>
        </w:rPr>
      </w:pPr>
      <w:r w:rsidRPr="002679C1">
        <w:rPr>
          <w:rFonts w:ascii="Century Gothic" w:hAnsi="Century Gothic"/>
          <w:sz w:val="22"/>
          <w:szCs w:val="22"/>
        </w:rPr>
        <w:t>Investičné varianty:</w:t>
      </w:r>
    </w:p>
    <w:p w14:paraId="64D6F90B" w14:textId="5BF74E44" w:rsidR="00F638EB" w:rsidRPr="002679C1" w:rsidRDefault="00F638EB" w:rsidP="007F681B">
      <w:pPr>
        <w:pStyle w:val="Odsekzoznamu"/>
        <w:numPr>
          <w:ilvl w:val="0"/>
          <w:numId w:val="55"/>
        </w:numPr>
        <w:spacing w:line="240" w:lineRule="auto"/>
        <w:rPr>
          <w:rFonts w:ascii="Century Gothic" w:hAnsi="Century Gothic"/>
          <w:sz w:val="22"/>
          <w:szCs w:val="22"/>
        </w:rPr>
      </w:pPr>
      <w:r w:rsidRPr="002679C1">
        <w:rPr>
          <w:rFonts w:ascii="Century Gothic" w:hAnsi="Century Gothic"/>
          <w:sz w:val="22"/>
          <w:szCs w:val="22"/>
        </w:rPr>
        <w:t xml:space="preserve">Variant 0 – základný variant bez zásadných investícií udržiavajúci status </w:t>
      </w:r>
      <w:proofErr w:type="spellStart"/>
      <w:r w:rsidRPr="002679C1">
        <w:rPr>
          <w:rFonts w:ascii="Century Gothic" w:hAnsi="Century Gothic"/>
          <w:sz w:val="22"/>
          <w:szCs w:val="22"/>
        </w:rPr>
        <w:t>quo</w:t>
      </w:r>
      <w:proofErr w:type="spellEnd"/>
      <w:r w:rsidRPr="002679C1">
        <w:rPr>
          <w:rFonts w:ascii="Century Gothic" w:hAnsi="Century Gothic"/>
          <w:sz w:val="22"/>
          <w:szCs w:val="22"/>
        </w:rPr>
        <w:t xml:space="preserve"> – realizácia nevyhnutých opráv a havarijných stavov</w:t>
      </w:r>
      <w:r w:rsidR="00BC2F2C">
        <w:rPr>
          <w:rFonts w:ascii="Century Gothic" w:hAnsi="Century Gothic"/>
          <w:sz w:val="22"/>
          <w:szCs w:val="22"/>
        </w:rPr>
        <w:t>.</w:t>
      </w:r>
    </w:p>
    <w:p w14:paraId="0E0E0A5D" w14:textId="48B826BF" w:rsidR="00F638EB" w:rsidRPr="002679C1" w:rsidRDefault="00F638EB" w:rsidP="007F681B">
      <w:pPr>
        <w:pStyle w:val="Odsekzoznamu"/>
        <w:numPr>
          <w:ilvl w:val="0"/>
          <w:numId w:val="55"/>
        </w:numPr>
        <w:spacing w:line="240" w:lineRule="auto"/>
        <w:rPr>
          <w:rFonts w:ascii="Century Gothic" w:hAnsi="Century Gothic"/>
          <w:sz w:val="22"/>
          <w:szCs w:val="22"/>
        </w:rPr>
      </w:pPr>
      <w:r w:rsidRPr="002679C1">
        <w:rPr>
          <w:rFonts w:ascii="Century Gothic" w:hAnsi="Century Gothic"/>
          <w:sz w:val="22"/>
          <w:szCs w:val="22"/>
        </w:rPr>
        <w:t>Variant Rekonštrukcia  - zásadná rekonštrukcia celého areálu s plochou cca</w:t>
      </w:r>
      <w:r w:rsidR="00BC2F2C">
        <w:rPr>
          <w:rFonts w:ascii="Century Gothic" w:hAnsi="Century Gothic"/>
          <w:sz w:val="22"/>
          <w:szCs w:val="22"/>
        </w:rPr>
        <w:t>.</w:t>
      </w:r>
      <w:r w:rsidRPr="002679C1">
        <w:rPr>
          <w:rFonts w:ascii="Century Gothic" w:hAnsi="Century Gothic"/>
          <w:sz w:val="22"/>
          <w:szCs w:val="22"/>
        </w:rPr>
        <w:t xml:space="preserve"> 65 000 m</w:t>
      </w:r>
      <w:r w:rsidRPr="002679C1">
        <w:rPr>
          <w:rFonts w:ascii="Century Gothic" w:hAnsi="Century Gothic"/>
          <w:sz w:val="22"/>
          <w:szCs w:val="22"/>
          <w:vertAlign w:val="superscript"/>
        </w:rPr>
        <w:t>2</w:t>
      </w:r>
      <w:r w:rsidR="00BC2F2C">
        <w:rPr>
          <w:rFonts w:ascii="Century Gothic" w:hAnsi="Century Gothic"/>
          <w:sz w:val="22"/>
          <w:szCs w:val="22"/>
        </w:rPr>
        <w:t>.</w:t>
      </w:r>
    </w:p>
    <w:p w14:paraId="55A3976A" w14:textId="704E77E5" w:rsidR="00F638EB" w:rsidRPr="002679C1" w:rsidRDefault="00F638EB" w:rsidP="007F681B">
      <w:pPr>
        <w:pStyle w:val="Odsekzoznamu"/>
        <w:numPr>
          <w:ilvl w:val="0"/>
          <w:numId w:val="55"/>
        </w:numPr>
        <w:spacing w:line="240" w:lineRule="auto"/>
        <w:rPr>
          <w:rFonts w:ascii="Century Gothic" w:hAnsi="Century Gothic"/>
          <w:sz w:val="22"/>
          <w:szCs w:val="22"/>
        </w:rPr>
      </w:pPr>
      <w:r w:rsidRPr="002679C1">
        <w:rPr>
          <w:rFonts w:ascii="Century Gothic" w:hAnsi="Century Gothic"/>
          <w:sz w:val="22"/>
          <w:szCs w:val="22"/>
        </w:rPr>
        <w:t>Variant Nový PUM – investícia do nového Pavilónu urgentnej medicíny, kde sa počíta so zachovaním časti prevádzky v existujúcich priestoroch. (ambulancie a vybrané zrekonštruované časti existujúceho areálu)</w:t>
      </w:r>
      <w:r w:rsidR="00BC2F2C">
        <w:rPr>
          <w:rFonts w:ascii="Century Gothic" w:hAnsi="Century Gothic"/>
          <w:sz w:val="22"/>
          <w:szCs w:val="22"/>
        </w:rPr>
        <w:t>.</w:t>
      </w:r>
      <w:r w:rsidRPr="002679C1">
        <w:rPr>
          <w:rFonts w:ascii="Century Gothic" w:hAnsi="Century Gothic"/>
          <w:sz w:val="22"/>
          <w:szCs w:val="22"/>
        </w:rPr>
        <w:t xml:space="preserve">  </w:t>
      </w:r>
    </w:p>
    <w:p w14:paraId="5652D564" w14:textId="77777777" w:rsidR="00D43498" w:rsidRDefault="00D43498" w:rsidP="00B447EE">
      <w:pPr>
        <w:spacing w:line="240" w:lineRule="auto"/>
        <w:rPr>
          <w:rFonts w:ascii="Century Gothic" w:hAnsi="Century Gothic"/>
          <w:sz w:val="22"/>
          <w:szCs w:val="22"/>
        </w:rPr>
      </w:pPr>
    </w:p>
    <w:p w14:paraId="7C3C342D" w14:textId="622591AF" w:rsidR="00126BBD" w:rsidRDefault="00126BBD" w:rsidP="00B447EE">
      <w:pPr>
        <w:spacing w:line="240" w:lineRule="auto"/>
        <w:rPr>
          <w:rFonts w:ascii="Century Gothic" w:hAnsi="Century Gothic"/>
          <w:sz w:val="22"/>
          <w:szCs w:val="22"/>
        </w:rPr>
      </w:pPr>
      <w:r w:rsidRPr="002679C1">
        <w:rPr>
          <w:rFonts w:ascii="Century Gothic" w:hAnsi="Century Gothic"/>
          <w:sz w:val="22"/>
          <w:szCs w:val="22"/>
        </w:rPr>
        <w:t xml:space="preserve">Následne bol spracovaný ekonomický model, ktorý zhodnotil ekonomickú efektívnosť jednotlivých variantov v oboch alternatívach pre potreby rozhodovacieho procesu. </w:t>
      </w:r>
    </w:p>
    <w:p w14:paraId="513DB520" w14:textId="75A6670D" w:rsidR="00554317" w:rsidRDefault="00554317" w:rsidP="00B447EE">
      <w:pPr>
        <w:spacing w:line="240" w:lineRule="auto"/>
        <w:rPr>
          <w:rFonts w:ascii="Century Gothic" w:hAnsi="Century Gothic"/>
          <w:sz w:val="22"/>
          <w:szCs w:val="22"/>
        </w:rPr>
      </w:pPr>
    </w:p>
    <w:p w14:paraId="710CE476" w14:textId="2DF09BD5" w:rsidR="0090786A" w:rsidRDefault="00554317" w:rsidP="00B447EE">
      <w:pPr>
        <w:pStyle w:val="Popis"/>
        <w:spacing w:before="0" w:after="0" w:line="240" w:lineRule="auto"/>
        <w:jc w:val="both"/>
        <w:rPr>
          <w:rFonts w:ascii="Century Gothic" w:hAnsi="Century Gothic" w:cstheme="minorHAnsi"/>
          <w:b w:val="0"/>
          <w:i/>
        </w:rPr>
      </w:pPr>
      <w:bookmarkStart w:id="36" w:name="_Toc145219902"/>
      <w:r w:rsidRPr="00554317">
        <w:rPr>
          <w:rFonts w:ascii="Century Gothic" w:hAnsi="Century Gothic" w:cstheme="minorHAnsi"/>
          <w:b w:val="0"/>
          <w:i/>
        </w:rPr>
        <w:t xml:space="preserve">Tabuľka </w:t>
      </w:r>
      <w:r w:rsidRPr="00554317">
        <w:rPr>
          <w:rFonts w:ascii="Century Gothic" w:hAnsi="Century Gothic" w:cstheme="minorHAnsi"/>
          <w:b w:val="0"/>
          <w:i/>
        </w:rPr>
        <w:fldChar w:fldCharType="begin"/>
      </w:r>
      <w:r w:rsidRPr="00554317">
        <w:rPr>
          <w:rFonts w:ascii="Century Gothic" w:hAnsi="Century Gothic" w:cstheme="minorHAnsi"/>
          <w:b w:val="0"/>
          <w:i/>
        </w:rPr>
        <w:instrText xml:space="preserve"> SEQ Tabuľka \* ARABIC </w:instrText>
      </w:r>
      <w:r w:rsidRPr="00554317">
        <w:rPr>
          <w:rFonts w:ascii="Century Gothic" w:hAnsi="Century Gothic" w:cstheme="minorHAnsi"/>
          <w:b w:val="0"/>
          <w:i/>
        </w:rPr>
        <w:fldChar w:fldCharType="separate"/>
      </w:r>
      <w:r w:rsidR="007D6A44">
        <w:rPr>
          <w:rFonts w:ascii="Century Gothic" w:hAnsi="Century Gothic" w:cstheme="minorHAnsi"/>
          <w:b w:val="0"/>
          <w:i/>
          <w:noProof/>
        </w:rPr>
        <w:t>1</w:t>
      </w:r>
      <w:r w:rsidRPr="00554317">
        <w:rPr>
          <w:rFonts w:ascii="Century Gothic" w:hAnsi="Century Gothic" w:cstheme="minorHAnsi"/>
          <w:b w:val="0"/>
          <w:i/>
        </w:rPr>
        <w:fldChar w:fldCharType="end"/>
      </w:r>
      <w:r w:rsidRPr="00554317">
        <w:rPr>
          <w:rFonts w:ascii="Century Gothic" w:hAnsi="Century Gothic" w:cstheme="minorHAnsi"/>
          <w:b w:val="0"/>
          <w:i/>
        </w:rPr>
        <w:t xml:space="preserve"> Ekonomický model Nového pavilónu urgentnej medicíny </w:t>
      </w:r>
      <w:proofErr w:type="spellStart"/>
      <w:r w:rsidRPr="00554317">
        <w:rPr>
          <w:rFonts w:ascii="Century Gothic" w:hAnsi="Century Gothic" w:cstheme="minorHAnsi"/>
          <w:b w:val="0"/>
          <w:i/>
        </w:rPr>
        <w:t>FNsP</w:t>
      </w:r>
      <w:proofErr w:type="spellEnd"/>
      <w:r w:rsidRPr="00554317">
        <w:rPr>
          <w:rFonts w:ascii="Century Gothic" w:hAnsi="Century Gothic" w:cstheme="minorHAnsi"/>
          <w:b w:val="0"/>
          <w:i/>
        </w:rPr>
        <w:t xml:space="preserve"> Žilina</w:t>
      </w:r>
      <w:bookmarkEnd w:id="36"/>
    </w:p>
    <w:tbl>
      <w:tblPr>
        <w:tblW w:w="9052" w:type="dxa"/>
        <w:tblCellMar>
          <w:left w:w="70" w:type="dxa"/>
          <w:right w:w="70" w:type="dxa"/>
        </w:tblCellMar>
        <w:tblLook w:val="04A0" w:firstRow="1" w:lastRow="0" w:firstColumn="1" w:lastColumn="0" w:noHBand="0" w:noVBand="1"/>
      </w:tblPr>
      <w:tblGrid>
        <w:gridCol w:w="3818"/>
        <w:gridCol w:w="2640"/>
        <w:gridCol w:w="2594"/>
      </w:tblGrid>
      <w:tr w:rsidR="00787A0E" w:rsidRPr="00C67E68" w14:paraId="6CC7FA0E" w14:textId="77777777" w:rsidTr="00C67E68">
        <w:trPr>
          <w:trHeight w:val="420"/>
        </w:trPr>
        <w:tc>
          <w:tcPr>
            <w:tcW w:w="3818"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52B3BBB7" w14:textId="77777777" w:rsidR="00787A0E" w:rsidRPr="00C67E68" w:rsidRDefault="00787A0E" w:rsidP="00787A0E">
            <w:pPr>
              <w:spacing w:line="240" w:lineRule="auto"/>
              <w:jc w:val="left"/>
              <w:rPr>
                <w:rFonts w:ascii="Arial Narrow" w:hAnsi="Arial Narrow" w:cs="Calibri"/>
                <w:b/>
                <w:bCs/>
                <w:color w:val="000000"/>
                <w:sz w:val="22"/>
                <w:szCs w:val="22"/>
              </w:rPr>
            </w:pPr>
            <w:r w:rsidRPr="00C67E68">
              <w:rPr>
                <w:rFonts w:ascii="Arial Narrow" w:hAnsi="Arial Narrow" w:cs="Calibri"/>
                <w:b/>
                <w:bCs/>
                <w:color w:val="000000"/>
                <w:sz w:val="22"/>
                <w:szCs w:val="22"/>
              </w:rPr>
              <w:t>VARIANT 0</w:t>
            </w:r>
          </w:p>
        </w:tc>
        <w:tc>
          <w:tcPr>
            <w:tcW w:w="2640" w:type="dxa"/>
            <w:tcBorders>
              <w:top w:val="single" w:sz="8" w:space="0" w:color="auto"/>
              <w:left w:val="nil"/>
              <w:bottom w:val="single" w:sz="4" w:space="0" w:color="auto"/>
              <w:right w:val="single" w:sz="4" w:space="0" w:color="auto"/>
            </w:tcBorders>
            <w:shd w:val="clear" w:color="000000" w:fill="FFF2CC"/>
            <w:noWrap/>
            <w:vAlign w:val="center"/>
            <w:hideMark/>
          </w:tcPr>
          <w:p w14:paraId="54353AF0"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IRR 2057</w:t>
            </w:r>
          </w:p>
        </w:tc>
        <w:tc>
          <w:tcPr>
            <w:tcW w:w="2594" w:type="dxa"/>
            <w:tcBorders>
              <w:top w:val="single" w:sz="8" w:space="0" w:color="auto"/>
              <w:left w:val="nil"/>
              <w:bottom w:val="single" w:sz="4" w:space="0" w:color="auto"/>
              <w:right w:val="single" w:sz="8" w:space="0" w:color="auto"/>
            </w:tcBorders>
            <w:shd w:val="clear" w:color="000000" w:fill="FFF2CC"/>
            <w:noWrap/>
            <w:vAlign w:val="center"/>
            <w:hideMark/>
          </w:tcPr>
          <w:p w14:paraId="1922F2C4"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ČSHOP</w:t>
            </w:r>
          </w:p>
        </w:tc>
      </w:tr>
      <w:tr w:rsidR="00787A0E" w:rsidRPr="00C67E68" w14:paraId="294C92BB" w14:textId="77777777" w:rsidTr="00C67E68">
        <w:trPr>
          <w:trHeight w:val="375"/>
        </w:trPr>
        <w:tc>
          <w:tcPr>
            <w:tcW w:w="3818" w:type="dxa"/>
            <w:tcBorders>
              <w:top w:val="nil"/>
              <w:left w:val="single" w:sz="8" w:space="0" w:color="auto"/>
              <w:bottom w:val="single" w:sz="4" w:space="0" w:color="auto"/>
              <w:right w:val="single" w:sz="8" w:space="0" w:color="auto"/>
            </w:tcBorders>
            <w:shd w:val="clear" w:color="auto" w:fill="auto"/>
            <w:noWrap/>
            <w:vAlign w:val="bottom"/>
            <w:hideMark/>
          </w:tcPr>
          <w:p w14:paraId="4ED0D569"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bez PČ</w:t>
            </w:r>
          </w:p>
        </w:tc>
        <w:tc>
          <w:tcPr>
            <w:tcW w:w="2640" w:type="dxa"/>
            <w:tcBorders>
              <w:top w:val="nil"/>
              <w:left w:val="nil"/>
              <w:bottom w:val="single" w:sz="4" w:space="0" w:color="auto"/>
              <w:right w:val="single" w:sz="4" w:space="0" w:color="auto"/>
            </w:tcBorders>
            <w:shd w:val="clear" w:color="auto" w:fill="auto"/>
            <w:noWrap/>
            <w:vAlign w:val="center"/>
            <w:hideMark/>
          </w:tcPr>
          <w:p w14:paraId="3C97ED65"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1,94%</w:t>
            </w:r>
          </w:p>
        </w:tc>
        <w:tc>
          <w:tcPr>
            <w:tcW w:w="2594" w:type="dxa"/>
            <w:tcBorders>
              <w:top w:val="nil"/>
              <w:left w:val="nil"/>
              <w:bottom w:val="single" w:sz="4" w:space="0" w:color="auto"/>
              <w:right w:val="single" w:sz="8" w:space="0" w:color="auto"/>
            </w:tcBorders>
            <w:shd w:val="clear" w:color="auto" w:fill="auto"/>
            <w:noWrap/>
            <w:vAlign w:val="center"/>
            <w:hideMark/>
          </w:tcPr>
          <w:p w14:paraId="2B7B03C6"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47 810 346,92   </w:t>
            </w:r>
          </w:p>
        </w:tc>
      </w:tr>
      <w:tr w:rsidR="00787A0E" w:rsidRPr="00C67E68" w14:paraId="25E5B2F5" w14:textId="77777777" w:rsidTr="00C67E68">
        <w:trPr>
          <w:trHeight w:val="390"/>
        </w:trPr>
        <w:tc>
          <w:tcPr>
            <w:tcW w:w="3818" w:type="dxa"/>
            <w:tcBorders>
              <w:top w:val="nil"/>
              <w:left w:val="single" w:sz="8" w:space="0" w:color="auto"/>
              <w:bottom w:val="single" w:sz="8" w:space="0" w:color="auto"/>
              <w:right w:val="single" w:sz="8" w:space="0" w:color="auto"/>
            </w:tcBorders>
            <w:shd w:val="clear" w:color="auto" w:fill="auto"/>
            <w:noWrap/>
            <w:vAlign w:val="bottom"/>
            <w:hideMark/>
          </w:tcPr>
          <w:p w14:paraId="79A5D491"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vrátane PČ</w:t>
            </w:r>
          </w:p>
        </w:tc>
        <w:tc>
          <w:tcPr>
            <w:tcW w:w="2640" w:type="dxa"/>
            <w:tcBorders>
              <w:top w:val="nil"/>
              <w:left w:val="nil"/>
              <w:bottom w:val="single" w:sz="8" w:space="0" w:color="auto"/>
              <w:right w:val="single" w:sz="4" w:space="0" w:color="auto"/>
            </w:tcBorders>
            <w:shd w:val="clear" w:color="auto" w:fill="auto"/>
            <w:noWrap/>
            <w:vAlign w:val="center"/>
            <w:hideMark/>
          </w:tcPr>
          <w:p w14:paraId="69D8A733"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3,05%</w:t>
            </w:r>
          </w:p>
        </w:tc>
        <w:tc>
          <w:tcPr>
            <w:tcW w:w="2594" w:type="dxa"/>
            <w:tcBorders>
              <w:top w:val="nil"/>
              <w:left w:val="nil"/>
              <w:bottom w:val="single" w:sz="8" w:space="0" w:color="auto"/>
              <w:right w:val="single" w:sz="8" w:space="0" w:color="auto"/>
            </w:tcBorders>
            <w:shd w:val="clear" w:color="auto" w:fill="auto"/>
            <w:noWrap/>
            <w:vAlign w:val="center"/>
            <w:hideMark/>
          </w:tcPr>
          <w:p w14:paraId="3793385A"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75 862 081,94   </w:t>
            </w:r>
          </w:p>
        </w:tc>
      </w:tr>
      <w:tr w:rsidR="00787A0E" w:rsidRPr="00C67E68" w14:paraId="53F8C1CE" w14:textId="77777777" w:rsidTr="00C67E68">
        <w:trPr>
          <w:trHeight w:val="420"/>
        </w:trPr>
        <w:tc>
          <w:tcPr>
            <w:tcW w:w="3818"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38DD7130" w14:textId="77777777" w:rsidR="00787A0E" w:rsidRPr="00C67E68" w:rsidRDefault="00787A0E" w:rsidP="00787A0E">
            <w:pPr>
              <w:spacing w:line="240" w:lineRule="auto"/>
              <w:jc w:val="left"/>
              <w:rPr>
                <w:rFonts w:ascii="Arial Narrow" w:hAnsi="Arial Narrow" w:cs="Calibri"/>
                <w:b/>
                <w:bCs/>
                <w:color w:val="000000"/>
                <w:sz w:val="22"/>
                <w:szCs w:val="22"/>
              </w:rPr>
            </w:pPr>
            <w:r w:rsidRPr="00C67E68">
              <w:rPr>
                <w:rFonts w:ascii="Arial Narrow" w:hAnsi="Arial Narrow" w:cs="Calibri"/>
                <w:b/>
                <w:bCs/>
                <w:color w:val="000000"/>
                <w:sz w:val="22"/>
                <w:szCs w:val="22"/>
              </w:rPr>
              <w:t xml:space="preserve">VARIANT Rekonštrukcia </w:t>
            </w:r>
          </w:p>
        </w:tc>
        <w:tc>
          <w:tcPr>
            <w:tcW w:w="2640" w:type="dxa"/>
            <w:tcBorders>
              <w:top w:val="single" w:sz="8" w:space="0" w:color="auto"/>
              <w:left w:val="nil"/>
              <w:bottom w:val="single" w:sz="4" w:space="0" w:color="auto"/>
              <w:right w:val="single" w:sz="4" w:space="0" w:color="auto"/>
            </w:tcBorders>
            <w:shd w:val="clear" w:color="000000" w:fill="FFF2CC"/>
            <w:noWrap/>
            <w:vAlign w:val="center"/>
            <w:hideMark/>
          </w:tcPr>
          <w:p w14:paraId="224C16C8"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IRR 2057</w:t>
            </w:r>
          </w:p>
        </w:tc>
        <w:tc>
          <w:tcPr>
            <w:tcW w:w="2594" w:type="dxa"/>
            <w:tcBorders>
              <w:top w:val="single" w:sz="8" w:space="0" w:color="auto"/>
              <w:left w:val="nil"/>
              <w:bottom w:val="single" w:sz="4" w:space="0" w:color="auto"/>
              <w:right w:val="single" w:sz="8" w:space="0" w:color="auto"/>
            </w:tcBorders>
            <w:shd w:val="clear" w:color="000000" w:fill="FFF2CC"/>
            <w:noWrap/>
            <w:vAlign w:val="center"/>
            <w:hideMark/>
          </w:tcPr>
          <w:p w14:paraId="5C12B00D"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ČSHOP</w:t>
            </w:r>
          </w:p>
        </w:tc>
      </w:tr>
      <w:tr w:rsidR="00787A0E" w:rsidRPr="00C67E68" w14:paraId="6C3F1416" w14:textId="77777777" w:rsidTr="00C67E68">
        <w:trPr>
          <w:trHeight w:val="375"/>
        </w:trPr>
        <w:tc>
          <w:tcPr>
            <w:tcW w:w="3818" w:type="dxa"/>
            <w:tcBorders>
              <w:top w:val="nil"/>
              <w:left w:val="single" w:sz="8" w:space="0" w:color="auto"/>
              <w:bottom w:val="single" w:sz="4" w:space="0" w:color="auto"/>
              <w:right w:val="single" w:sz="8" w:space="0" w:color="auto"/>
            </w:tcBorders>
            <w:shd w:val="clear" w:color="auto" w:fill="auto"/>
            <w:noWrap/>
            <w:vAlign w:val="bottom"/>
            <w:hideMark/>
          </w:tcPr>
          <w:p w14:paraId="092FE8EF"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bez PČ</w:t>
            </w:r>
          </w:p>
        </w:tc>
        <w:tc>
          <w:tcPr>
            <w:tcW w:w="2640" w:type="dxa"/>
            <w:tcBorders>
              <w:top w:val="nil"/>
              <w:left w:val="nil"/>
              <w:bottom w:val="single" w:sz="4" w:space="0" w:color="auto"/>
              <w:right w:val="single" w:sz="4" w:space="0" w:color="auto"/>
            </w:tcBorders>
            <w:shd w:val="clear" w:color="auto" w:fill="auto"/>
            <w:noWrap/>
            <w:vAlign w:val="center"/>
            <w:hideMark/>
          </w:tcPr>
          <w:p w14:paraId="0E07DE49"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1,77%</w:t>
            </w:r>
          </w:p>
        </w:tc>
        <w:tc>
          <w:tcPr>
            <w:tcW w:w="2594" w:type="dxa"/>
            <w:tcBorders>
              <w:top w:val="nil"/>
              <w:left w:val="nil"/>
              <w:bottom w:val="single" w:sz="4" w:space="0" w:color="auto"/>
              <w:right w:val="single" w:sz="8" w:space="0" w:color="auto"/>
            </w:tcBorders>
            <w:shd w:val="clear" w:color="auto" w:fill="auto"/>
            <w:noWrap/>
            <w:vAlign w:val="center"/>
            <w:hideMark/>
          </w:tcPr>
          <w:p w14:paraId="5EE7589B"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84 377 927,69   </w:t>
            </w:r>
          </w:p>
        </w:tc>
      </w:tr>
      <w:tr w:rsidR="00787A0E" w:rsidRPr="00C67E68" w14:paraId="4409B0D6" w14:textId="77777777" w:rsidTr="00C67E68">
        <w:trPr>
          <w:trHeight w:val="390"/>
        </w:trPr>
        <w:tc>
          <w:tcPr>
            <w:tcW w:w="3818" w:type="dxa"/>
            <w:tcBorders>
              <w:top w:val="nil"/>
              <w:left w:val="single" w:sz="8" w:space="0" w:color="auto"/>
              <w:bottom w:val="single" w:sz="8" w:space="0" w:color="auto"/>
              <w:right w:val="single" w:sz="8" w:space="0" w:color="auto"/>
            </w:tcBorders>
            <w:shd w:val="clear" w:color="auto" w:fill="auto"/>
            <w:noWrap/>
            <w:vAlign w:val="bottom"/>
            <w:hideMark/>
          </w:tcPr>
          <w:p w14:paraId="4AF291C5"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vrátane PČ</w:t>
            </w:r>
          </w:p>
        </w:tc>
        <w:tc>
          <w:tcPr>
            <w:tcW w:w="2640" w:type="dxa"/>
            <w:tcBorders>
              <w:top w:val="nil"/>
              <w:left w:val="nil"/>
              <w:bottom w:val="single" w:sz="8" w:space="0" w:color="auto"/>
              <w:right w:val="single" w:sz="4" w:space="0" w:color="auto"/>
            </w:tcBorders>
            <w:shd w:val="clear" w:color="auto" w:fill="auto"/>
            <w:noWrap/>
            <w:vAlign w:val="center"/>
            <w:hideMark/>
          </w:tcPr>
          <w:p w14:paraId="56CEFD1E"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2,32%</w:t>
            </w:r>
          </w:p>
        </w:tc>
        <w:tc>
          <w:tcPr>
            <w:tcW w:w="2594" w:type="dxa"/>
            <w:tcBorders>
              <w:top w:val="nil"/>
              <w:left w:val="nil"/>
              <w:bottom w:val="single" w:sz="8" w:space="0" w:color="auto"/>
              <w:right w:val="single" w:sz="8" w:space="0" w:color="auto"/>
            </w:tcBorders>
            <w:shd w:val="clear" w:color="auto" w:fill="auto"/>
            <w:noWrap/>
            <w:vAlign w:val="center"/>
            <w:hideMark/>
          </w:tcPr>
          <w:p w14:paraId="5DD15DD6"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112 429 662,71   </w:t>
            </w:r>
          </w:p>
        </w:tc>
      </w:tr>
      <w:tr w:rsidR="00787A0E" w:rsidRPr="00C67E68" w14:paraId="7C777C70" w14:textId="77777777" w:rsidTr="00C67E68">
        <w:trPr>
          <w:trHeight w:val="420"/>
        </w:trPr>
        <w:tc>
          <w:tcPr>
            <w:tcW w:w="3818"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69427DB2" w14:textId="77777777" w:rsidR="00787A0E" w:rsidRPr="00C67E68" w:rsidRDefault="00787A0E" w:rsidP="00787A0E">
            <w:pPr>
              <w:spacing w:line="240" w:lineRule="auto"/>
              <w:jc w:val="left"/>
              <w:rPr>
                <w:rFonts w:ascii="Arial Narrow" w:hAnsi="Arial Narrow" w:cs="Calibri"/>
                <w:b/>
                <w:bCs/>
                <w:color w:val="000000"/>
                <w:sz w:val="22"/>
                <w:szCs w:val="22"/>
              </w:rPr>
            </w:pPr>
            <w:r w:rsidRPr="00C67E68">
              <w:rPr>
                <w:rFonts w:ascii="Arial Narrow" w:hAnsi="Arial Narrow" w:cs="Calibri"/>
                <w:b/>
                <w:bCs/>
                <w:color w:val="000000"/>
                <w:sz w:val="22"/>
                <w:szCs w:val="22"/>
              </w:rPr>
              <w:t>VARIANT  Nový PUM</w:t>
            </w:r>
          </w:p>
        </w:tc>
        <w:tc>
          <w:tcPr>
            <w:tcW w:w="2640" w:type="dxa"/>
            <w:tcBorders>
              <w:top w:val="single" w:sz="8" w:space="0" w:color="auto"/>
              <w:left w:val="nil"/>
              <w:bottom w:val="single" w:sz="4" w:space="0" w:color="auto"/>
              <w:right w:val="single" w:sz="4" w:space="0" w:color="auto"/>
            </w:tcBorders>
            <w:shd w:val="clear" w:color="000000" w:fill="FFF2CC"/>
            <w:noWrap/>
            <w:vAlign w:val="center"/>
            <w:hideMark/>
          </w:tcPr>
          <w:p w14:paraId="36DD12F2"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IRR 2057</w:t>
            </w:r>
          </w:p>
        </w:tc>
        <w:tc>
          <w:tcPr>
            <w:tcW w:w="2594" w:type="dxa"/>
            <w:tcBorders>
              <w:top w:val="single" w:sz="8" w:space="0" w:color="auto"/>
              <w:left w:val="nil"/>
              <w:bottom w:val="single" w:sz="4" w:space="0" w:color="auto"/>
              <w:right w:val="single" w:sz="8" w:space="0" w:color="auto"/>
            </w:tcBorders>
            <w:shd w:val="clear" w:color="000000" w:fill="FFF2CC"/>
            <w:noWrap/>
            <w:vAlign w:val="center"/>
            <w:hideMark/>
          </w:tcPr>
          <w:p w14:paraId="5A2C9C5D"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ČSHOP</w:t>
            </w:r>
          </w:p>
        </w:tc>
      </w:tr>
      <w:tr w:rsidR="00787A0E" w:rsidRPr="00C67E68" w14:paraId="1BA1AECB" w14:textId="77777777" w:rsidTr="00C67E68">
        <w:trPr>
          <w:trHeight w:val="375"/>
        </w:trPr>
        <w:tc>
          <w:tcPr>
            <w:tcW w:w="3818" w:type="dxa"/>
            <w:tcBorders>
              <w:top w:val="nil"/>
              <w:left w:val="single" w:sz="8" w:space="0" w:color="auto"/>
              <w:bottom w:val="single" w:sz="4" w:space="0" w:color="auto"/>
              <w:right w:val="single" w:sz="8" w:space="0" w:color="auto"/>
            </w:tcBorders>
            <w:shd w:val="clear" w:color="auto" w:fill="auto"/>
            <w:noWrap/>
            <w:vAlign w:val="bottom"/>
            <w:hideMark/>
          </w:tcPr>
          <w:p w14:paraId="0EEDE108"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bez PČ</w:t>
            </w:r>
          </w:p>
        </w:tc>
        <w:tc>
          <w:tcPr>
            <w:tcW w:w="2640" w:type="dxa"/>
            <w:tcBorders>
              <w:top w:val="nil"/>
              <w:left w:val="nil"/>
              <w:bottom w:val="single" w:sz="4" w:space="0" w:color="auto"/>
              <w:right w:val="single" w:sz="4" w:space="0" w:color="auto"/>
            </w:tcBorders>
            <w:shd w:val="clear" w:color="auto" w:fill="auto"/>
            <w:noWrap/>
            <w:vAlign w:val="center"/>
            <w:hideMark/>
          </w:tcPr>
          <w:p w14:paraId="56DEAB9F"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2,61%</w:t>
            </w:r>
          </w:p>
        </w:tc>
        <w:tc>
          <w:tcPr>
            <w:tcW w:w="2594" w:type="dxa"/>
            <w:tcBorders>
              <w:top w:val="nil"/>
              <w:left w:val="nil"/>
              <w:bottom w:val="single" w:sz="4" w:space="0" w:color="auto"/>
              <w:right w:val="single" w:sz="8" w:space="0" w:color="auto"/>
            </w:tcBorders>
            <w:shd w:val="clear" w:color="auto" w:fill="auto"/>
            <w:noWrap/>
            <w:vAlign w:val="center"/>
            <w:hideMark/>
          </w:tcPr>
          <w:p w14:paraId="376AEA0C"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174 322 836,70   </w:t>
            </w:r>
          </w:p>
        </w:tc>
      </w:tr>
      <w:tr w:rsidR="00787A0E" w:rsidRPr="00C67E68" w14:paraId="69252DCE" w14:textId="77777777" w:rsidTr="00C67E68">
        <w:trPr>
          <w:trHeight w:val="390"/>
        </w:trPr>
        <w:tc>
          <w:tcPr>
            <w:tcW w:w="3818" w:type="dxa"/>
            <w:tcBorders>
              <w:top w:val="nil"/>
              <w:left w:val="single" w:sz="8" w:space="0" w:color="auto"/>
              <w:bottom w:val="single" w:sz="8" w:space="0" w:color="auto"/>
              <w:right w:val="single" w:sz="8" w:space="0" w:color="auto"/>
            </w:tcBorders>
            <w:shd w:val="clear" w:color="auto" w:fill="auto"/>
            <w:noWrap/>
            <w:vAlign w:val="bottom"/>
            <w:hideMark/>
          </w:tcPr>
          <w:p w14:paraId="24BB72D2"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vrátane PČ</w:t>
            </w:r>
          </w:p>
        </w:tc>
        <w:tc>
          <w:tcPr>
            <w:tcW w:w="2640" w:type="dxa"/>
            <w:tcBorders>
              <w:top w:val="nil"/>
              <w:left w:val="nil"/>
              <w:bottom w:val="single" w:sz="8" w:space="0" w:color="auto"/>
              <w:right w:val="single" w:sz="4" w:space="0" w:color="auto"/>
            </w:tcBorders>
            <w:shd w:val="clear" w:color="auto" w:fill="auto"/>
            <w:noWrap/>
            <w:vAlign w:val="center"/>
            <w:hideMark/>
          </w:tcPr>
          <w:p w14:paraId="4630AA4C"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3,00%</w:t>
            </w:r>
          </w:p>
        </w:tc>
        <w:tc>
          <w:tcPr>
            <w:tcW w:w="2594" w:type="dxa"/>
            <w:tcBorders>
              <w:top w:val="nil"/>
              <w:left w:val="nil"/>
              <w:bottom w:val="single" w:sz="8" w:space="0" w:color="auto"/>
              <w:right w:val="single" w:sz="8" w:space="0" w:color="auto"/>
            </w:tcBorders>
            <w:shd w:val="clear" w:color="auto" w:fill="auto"/>
            <w:noWrap/>
            <w:vAlign w:val="center"/>
            <w:hideMark/>
          </w:tcPr>
          <w:p w14:paraId="5401EE70"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202 374 571,73   </w:t>
            </w:r>
          </w:p>
        </w:tc>
      </w:tr>
    </w:tbl>
    <w:p w14:paraId="5545212F" w14:textId="17CBAD7D" w:rsidR="00554317" w:rsidRDefault="00294559" w:rsidP="00B447EE">
      <w:pPr>
        <w:pStyle w:val="Popis"/>
        <w:spacing w:before="0" w:after="0" w:line="240" w:lineRule="auto"/>
        <w:rPr>
          <w:rFonts w:ascii="Century Gothic" w:hAnsi="Century Gothic" w:cstheme="minorHAnsi"/>
          <w:b w:val="0"/>
          <w:i/>
          <w:sz w:val="18"/>
          <w:szCs w:val="18"/>
        </w:rPr>
      </w:pPr>
      <w:r w:rsidRPr="0090786A" w:rsidDel="00294559">
        <w:rPr>
          <w:rFonts w:ascii="Arial Narrow" w:hAnsi="Arial Narrow" w:cs="Calibri"/>
          <w:color w:val="000000"/>
          <w:sz w:val="22"/>
          <w:szCs w:val="22"/>
        </w:rPr>
        <w:t xml:space="preserve"> </w:t>
      </w:r>
      <w:r w:rsidR="00554317" w:rsidRPr="004B62AF">
        <w:rPr>
          <w:rFonts w:ascii="Century Gothic" w:hAnsi="Century Gothic" w:cstheme="minorHAnsi"/>
          <w:b w:val="0"/>
          <w:i/>
          <w:sz w:val="18"/>
          <w:szCs w:val="18"/>
        </w:rPr>
        <w:t xml:space="preserve">Zdroj: </w:t>
      </w:r>
      <w:r w:rsidR="00554317">
        <w:rPr>
          <w:rFonts w:ascii="Century Gothic" w:hAnsi="Century Gothic" w:cstheme="minorHAnsi"/>
          <w:b w:val="0"/>
          <w:i/>
          <w:sz w:val="18"/>
          <w:szCs w:val="18"/>
        </w:rPr>
        <w:t>vlastné spracovanie</w:t>
      </w:r>
    </w:p>
    <w:p w14:paraId="2693E3D2" w14:textId="77777777" w:rsidR="00294559" w:rsidRPr="00C67E68" w:rsidRDefault="00294559" w:rsidP="00C67E68">
      <w:pPr>
        <w:rPr>
          <w:b/>
        </w:rPr>
      </w:pPr>
    </w:p>
    <w:p w14:paraId="7FF6FCBB" w14:textId="3C8AF290" w:rsidR="00BC282A" w:rsidRDefault="00BC282A" w:rsidP="00B447EE">
      <w:pPr>
        <w:spacing w:line="240" w:lineRule="auto"/>
        <w:rPr>
          <w:rFonts w:ascii="Century Gothic" w:hAnsi="Century Gothic"/>
          <w:b/>
          <w:sz w:val="28"/>
          <w:szCs w:val="28"/>
        </w:rPr>
      </w:pPr>
      <w:r w:rsidRPr="002679C1">
        <w:rPr>
          <w:rFonts w:ascii="Century Gothic" w:hAnsi="Century Gothic" w:cs="Arial"/>
          <w:b/>
          <w:color w:val="3E3E3E"/>
          <w:sz w:val="22"/>
          <w:szCs w:val="22"/>
        </w:rPr>
        <w:t xml:space="preserve">Z uvedenej tabuľky vyplýva, že pri dodržaní predpokladov ekonomického modelu je investícia do nového pavilónu najefektívnejším variantom investície v rámci </w:t>
      </w:r>
      <w:proofErr w:type="spellStart"/>
      <w:r w:rsidRPr="002679C1">
        <w:rPr>
          <w:rFonts w:ascii="Century Gothic" w:hAnsi="Century Gothic" w:cs="Arial"/>
          <w:b/>
          <w:color w:val="3E3E3E"/>
          <w:sz w:val="22"/>
          <w:szCs w:val="22"/>
        </w:rPr>
        <w:t>FNsP</w:t>
      </w:r>
      <w:proofErr w:type="spellEnd"/>
      <w:r>
        <w:rPr>
          <w:rFonts w:ascii="Century Gothic" w:hAnsi="Century Gothic" w:cs="Arial"/>
          <w:b/>
          <w:color w:val="3E3E3E"/>
          <w:sz w:val="22"/>
          <w:szCs w:val="22"/>
        </w:rPr>
        <w:t xml:space="preserve"> Žilina. </w:t>
      </w:r>
      <w:r>
        <w:rPr>
          <w:rFonts w:ascii="Century Gothic" w:hAnsi="Century Gothic"/>
          <w:b/>
          <w:sz w:val="28"/>
          <w:szCs w:val="28"/>
        </w:rPr>
        <w:t xml:space="preserve">  </w:t>
      </w:r>
    </w:p>
    <w:p w14:paraId="1B3B7122" w14:textId="21AE0D83" w:rsidR="00554317" w:rsidRPr="00554317" w:rsidRDefault="00554317" w:rsidP="00B447EE">
      <w:pPr>
        <w:spacing w:line="240" w:lineRule="auto"/>
        <w:rPr>
          <w:rFonts w:ascii="Century Gothic" w:hAnsi="Century Gothic"/>
          <w:sz w:val="22"/>
          <w:szCs w:val="22"/>
        </w:rPr>
      </w:pPr>
      <w:r w:rsidRPr="00554317">
        <w:rPr>
          <w:rFonts w:ascii="Century Gothic" w:hAnsi="Century Gothic"/>
          <w:sz w:val="22"/>
          <w:szCs w:val="22"/>
        </w:rPr>
        <w:t xml:space="preserve">V porovnaní kľúčových parametrov, ktoré sa sledujú a vyhodnocujú v podobných pripravovaných projektoch vychádza </w:t>
      </w:r>
      <w:proofErr w:type="spellStart"/>
      <w:r>
        <w:rPr>
          <w:rFonts w:ascii="Century Gothic" w:hAnsi="Century Gothic"/>
          <w:sz w:val="22"/>
          <w:szCs w:val="22"/>
        </w:rPr>
        <w:t>FNsP</w:t>
      </w:r>
      <w:proofErr w:type="spellEnd"/>
      <w:r>
        <w:rPr>
          <w:rFonts w:ascii="Century Gothic" w:hAnsi="Century Gothic"/>
          <w:sz w:val="22"/>
          <w:szCs w:val="22"/>
        </w:rPr>
        <w:t xml:space="preserve"> Žilina</w:t>
      </w:r>
      <w:r w:rsidR="0020045B">
        <w:rPr>
          <w:rFonts w:ascii="Century Gothic" w:hAnsi="Century Gothic"/>
          <w:sz w:val="22"/>
          <w:szCs w:val="22"/>
        </w:rPr>
        <w:t xml:space="preserve"> ako efektívna,</w:t>
      </w:r>
      <w:r w:rsidRPr="00554317">
        <w:rPr>
          <w:rFonts w:ascii="Century Gothic" w:hAnsi="Century Gothic"/>
          <w:sz w:val="22"/>
          <w:szCs w:val="22"/>
        </w:rPr>
        <w:t xml:space="preserve"> resp. minimálne porovnateľná, čo považujeme za relevantný argument na realizáciu projektu.</w:t>
      </w:r>
    </w:p>
    <w:p w14:paraId="3AF48D35" w14:textId="4D81694D" w:rsidR="00261BC4" w:rsidRDefault="00261BC4" w:rsidP="00B447EE">
      <w:pPr>
        <w:pStyle w:val="Normlnywebov"/>
        <w:shd w:val="clear" w:color="auto" w:fill="FFFFFF"/>
        <w:spacing w:before="0" w:beforeAutospacing="0" w:after="0" w:afterAutospacing="0"/>
        <w:jc w:val="both"/>
        <w:rPr>
          <w:rFonts w:ascii="Century Gothic" w:hAnsi="Century Gothic" w:cs="Arial"/>
          <w:b/>
          <w:color w:val="3E3E3E"/>
          <w:sz w:val="22"/>
          <w:szCs w:val="22"/>
        </w:rPr>
      </w:pPr>
    </w:p>
    <w:p w14:paraId="76E78FA1" w14:textId="1F4DE486" w:rsidR="00554317" w:rsidRPr="00554317" w:rsidRDefault="00554317" w:rsidP="00B447EE">
      <w:pPr>
        <w:pStyle w:val="Popis"/>
        <w:spacing w:before="0" w:after="0" w:line="240" w:lineRule="auto"/>
        <w:jc w:val="both"/>
        <w:rPr>
          <w:rFonts w:ascii="Century Gothic" w:hAnsi="Century Gothic" w:cstheme="minorHAnsi"/>
          <w:b w:val="0"/>
          <w:i/>
        </w:rPr>
      </w:pPr>
      <w:bookmarkStart w:id="37" w:name="_Toc145219903"/>
      <w:r w:rsidRPr="00554317">
        <w:rPr>
          <w:rFonts w:ascii="Century Gothic" w:hAnsi="Century Gothic" w:cstheme="minorHAnsi"/>
          <w:b w:val="0"/>
          <w:i/>
        </w:rPr>
        <w:t xml:space="preserve">Tabuľka </w:t>
      </w:r>
      <w:r w:rsidRPr="00554317">
        <w:rPr>
          <w:rFonts w:ascii="Century Gothic" w:hAnsi="Century Gothic" w:cstheme="minorHAnsi"/>
          <w:b w:val="0"/>
          <w:i/>
        </w:rPr>
        <w:fldChar w:fldCharType="begin"/>
      </w:r>
      <w:r w:rsidRPr="00554317">
        <w:rPr>
          <w:rFonts w:ascii="Century Gothic" w:hAnsi="Century Gothic" w:cstheme="minorHAnsi"/>
          <w:b w:val="0"/>
          <w:i/>
        </w:rPr>
        <w:instrText xml:space="preserve"> SEQ Tabuľka \* ARABIC </w:instrText>
      </w:r>
      <w:r w:rsidRPr="00554317">
        <w:rPr>
          <w:rFonts w:ascii="Century Gothic" w:hAnsi="Century Gothic" w:cstheme="minorHAnsi"/>
          <w:b w:val="0"/>
          <w:i/>
        </w:rPr>
        <w:fldChar w:fldCharType="separate"/>
      </w:r>
      <w:r w:rsidR="007D6A44">
        <w:rPr>
          <w:rFonts w:ascii="Century Gothic" w:hAnsi="Century Gothic" w:cstheme="minorHAnsi"/>
          <w:b w:val="0"/>
          <w:i/>
          <w:noProof/>
        </w:rPr>
        <w:t>2</w:t>
      </w:r>
      <w:r w:rsidRPr="00554317">
        <w:rPr>
          <w:rFonts w:ascii="Century Gothic" w:hAnsi="Century Gothic" w:cstheme="minorHAnsi"/>
          <w:b w:val="0"/>
          <w:i/>
        </w:rPr>
        <w:fldChar w:fldCharType="end"/>
      </w:r>
      <w:r w:rsidRPr="00554317">
        <w:rPr>
          <w:rFonts w:ascii="Century Gothic" w:hAnsi="Century Gothic" w:cstheme="minorHAnsi"/>
          <w:b w:val="0"/>
          <w:i/>
        </w:rPr>
        <w:t xml:space="preserve"> Porovnanie kľúčových parametrov </w:t>
      </w:r>
      <w:proofErr w:type="spellStart"/>
      <w:r w:rsidRPr="00554317">
        <w:rPr>
          <w:rFonts w:ascii="Century Gothic" w:hAnsi="Century Gothic" w:cstheme="minorHAnsi"/>
          <w:b w:val="0"/>
          <w:i/>
        </w:rPr>
        <w:t>FNsP</w:t>
      </w:r>
      <w:proofErr w:type="spellEnd"/>
      <w:r w:rsidRPr="00554317">
        <w:rPr>
          <w:rFonts w:ascii="Century Gothic" w:hAnsi="Century Gothic" w:cstheme="minorHAnsi"/>
          <w:b w:val="0"/>
          <w:i/>
        </w:rPr>
        <w:t xml:space="preserve"> Žilina</w:t>
      </w:r>
      <w:bookmarkEnd w:id="37"/>
    </w:p>
    <w:tbl>
      <w:tblPr>
        <w:tblW w:w="9634" w:type="dxa"/>
        <w:jc w:val="center"/>
        <w:tblCellMar>
          <w:left w:w="70" w:type="dxa"/>
          <w:right w:w="70" w:type="dxa"/>
        </w:tblCellMar>
        <w:tblLook w:val="04A0" w:firstRow="1" w:lastRow="0" w:firstColumn="1" w:lastColumn="0" w:noHBand="0" w:noVBand="1"/>
      </w:tblPr>
      <w:tblGrid>
        <w:gridCol w:w="3681"/>
        <w:gridCol w:w="899"/>
        <w:gridCol w:w="1140"/>
        <w:gridCol w:w="960"/>
        <w:gridCol w:w="1679"/>
        <w:gridCol w:w="1275"/>
      </w:tblGrid>
      <w:tr w:rsidR="00554317" w:rsidRPr="00554317" w14:paraId="315F036D" w14:textId="77777777" w:rsidTr="00FD3570">
        <w:trPr>
          <w:trHeight w:val="540"/>
          <w:jc w:val="center"/>
        </w:trPr>
        <w:tc>
          <w:tcPr>
            <w:tcW w:w="368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762A9B07" w14:textId="77777777" w:rsidR="00554317" w:rsidRPr="00554317" w:rsidRDefault="00554317" w:rsidP="00B447EE">
            <w:pPr>
              <w:spacing w:line="240" w:lineRule="auto"/>
              <w:jc w:val="left"/>
              <w:rPr>
                <w:rFonts w:ascii="Arial Narrow" w:hAnsi="Arial Narrow" w:cs="Calibri"/>
                <w:b/>
                <w:bCs/>
                <w:i/>
                <w:iCs/>
                <w:sz w:val="22"/>
                <w:szCs w:val="22"/>
              </w:rPr>
            </w:pPr>
            <w:r w:rsidRPr="00554317">
              <w:rPr>
                <w:rFonts w:ascii="Arial Narrow" w:hAnsi="Arial Narrow" w:cs="Calibri"/>
                <w:b/>
                <w:bCs/>
                <w:i/>
                <w:iCs/>
                <w:sz w:val="22"/>
                <w:szCs w:val="22"/>
              </w:rPr>
              <w:t>Ukazovateľ</w:t>
            </w:r>
          </w:p>
        </w:tc>
        <w:tc>
          <w:tcPr>
            <w:tcW w:w="899"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14:paraId="5B8A4E42" w14:textId="77777777" w:rsidR="00554317" w:rsidRPr="00554317" w:rsidRDefault="00554317" w:rsidP="00B447EE">
            <w:pPr>
              <w:spacing w:line="240" w:lineRule="auto"/>
              <w:jc w:val="center"/>
              <w:rPr>
                <w:rFonts w:ascii="Arial Narrow" w:hAnsi="Arial Narrow" w:cs="Calibri"/>
                <w:b/>
                <w:bCs/>
                <w:sz w:val="22"/>
                <w:szCs w:val="22"/>
              </w:rPr>
            </w:pPr>
            <w:r w:rsidRPr="00554317">
              <w:rPr>
                <w:rFonts w:ascii="Arial Narrow" w:hAnsi="Arial Narrow" w:cs="Calibri"/>
                <w:b/>
                <w:bCs/>
                <w:sz w:val="22"/>
                <w:szCs w:val="22"/>
              </w:rPr>
              <w:t>m</w:t>
            </w:r>
            <w:r w:rsidRPr="00554317">
              <w:rPr>
                <w:rFonts w:ascii="Arial Narrow" w:hAnsi="Arial Narrow" w:cs="Calibri"/>
                <w:b/>
                <w:bCs/>
                <w:sz w:val="22"/>
                <w:szCs w:val="22"/>
                <w:vertAlign w:val="superscript"/>
              </w:rPr>
              <w:t>2</w:t>
            </w:r>
          </w:p>
        </w:tc>
        <w:tc>
          <w:tcPr>
            <w:tcW w:w="1140"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14:paraId="63E91769" w14:textId="77777777" w:rsidR="00554317" w:rsidRPr="00554317" w:rsidRDefault="00554317" w:rsidP="00B447EE">
            <w:pPr>
              <w:spacing w:line="240" w:lineRule="auto"/>
              <w:jc w:val="center"/>
              <w:rPr>
                <w:rFonts w:ascii="Arial Narrow" w:hAnsi="Arial Narrow" w:cs="Calibri"/>
                <w:b/>
                <w:bCs/>
                <w:sz w:val="22"/>
                <w:szCs w:val="22"/>
              </w:rPr>
            </w:pPr>
            <w:r w:rsidRPr="00554317">
              <w:rPr>
                <w:rFonts w:ascii="Arial Narrow" w:hAnsi="Arial Narrow" w:cs="Calibri"/>
                <w:b/>
                <w:bCs/>
                <w:sz w:val="22"/>
                <w:szCs w:val="22"/>
              </w:rPr>
              <w:t>počet lôžok</w:t>
            </w:r>
          </w:p>
        </w:tc>
        <w:tc>
          <w:tcPr>
            <w:tcW w:w="960"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14:paraId="00340465" w14:textId="77777777" w:rsidR="00554317" w:rsidRPr="00554317" w:rsidRDefault="00554317" w:rsidP="00B447EE">
            <w:pPr>
              <w:spacing w:line="240" w:lineRule="auto"/>
              <w:jc w:val="center"/>
              <w:rPr>
                <w:rFonts w:ascii="Arial Narrow" w:hAnsi="Arial Narrow" w:cs="Calibri"/>
                <w:b/>
                <w:bCs/>
                <w:sz w:val="22"/>
                <w:szCs w:val="22"/>
              </w:rPr>
            </w:pPr>
            <w:r w:rsidRPr="00554317">
              <w:rPr>
                <w:rFonts w:ascii="Arial Narrow" w:hAnsi="Arial Narrow" w:cs="Calibri"/>
                <w:b/>
                <w:bCs/>
                <w:sz w:val="22"/>
                <w:szCs w:val="22"/>
              </w:rPr>
              <w:t>m</w:t>
            </w:r>
            <w:r w:rsidRPr="00554317">
              <w:rPr>
                <w:rFonts w:ascii="Arial Narrow" w:hAnsi="Arial Narrow" w:cs="Calibri"/>
                <w:b/>
                <w:bCs/>
                <w:sz w:val="22"/>
                <w:szCs w:val="22"/>
                <w:vertAlign w:val="superscript"/>
              </w:rPr>
              <w:t>2</w:t>
            </w:r>
            <w:r w:rsidRPr="00554317">
              <w:rPr>
                <w:rFonts w:ascii="Arial Narrow" w:hAnsi="Arial Narrow" w:cs="Calibri"/>
                <w:b/>
                <w:bCs/>
                <w:sz w:val="22"/>
                <w:szCs w:val="22"/>
              </w:rPr>
              <w:t>/lôžko</w:t>
            </w:r>
          </w:p>
        </w:tc>
        <w:tc>
          <w:tcPr>
            <w:tcW w:w="1679"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14:paraId="669943B9" w14:textId="77777777" w:rsidR="00554317" w:rsidRPr="00554317" w:rsidRDefault="00554317" w:rsidP="00B447EE">
            <w:pPr>
              <w:spacing w:line="240" w:lineRule="auto"/>
              <w:jc w:val="center"/>
              <w:rPr>
                <w:rFonts w:ascii="Arial Narrow" w:hAnsi="Arial Narrow" w:cs="Calibri"/>
                <w:b/>
                <w:bCs/>
                <w:sz w:val="22"/>
                <w:szCs w:val="22"/>
              </w:rPr>
            </w:pPr>
            <w:r w:rsidRPr="00554317">
              <w:rPr>
                <w:rFonts w:ascii="Arial Narrow" w:hAnsi="Arial Narrow" w:cs="Calibri"/>
                <w:b/>
                <w:bCs/>
                <w:sz w:val="22"/>
                <w:szCs w:val="22"/>
              </w:rPr>
              <w:t>Investičné náklady bez DPH</w:t>
            </w:r>
          </w:p>
        </w:tc>
        <w:tc>
          <w:tcPr>
            <w:tcW w:w="1275"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14:paraId="20C7F06B" w14:textId="77777777" w:rsidR="00554317" w:rsidRPr="00554317" w:rsidRDefault="00554317" w:rsidP="00B447EE">
            <w:pPr>
              <w:spacing w:line="240" w:lineRule="auto"/>
              <w:jc w:val="center"/>
              <w:rPr>
                <w:rFonts w:ascii="Arial Narrow" w:hAnsi="Arial Narrow" w:cs="Calibri"/>
                <w:b/>
                <w:bCs/>
                <w:sz w:val="22"/>
                <w:szCs w:val="22"/>
              </w:rPr>
            </w:pPr>
            <w:r w:rsidRPr="00554317">
              <w:rPr>
                <w:rFonts w:ascii="Arial Narrow" w:hAnsi="Arial Narrow" w:cs="Calibri"/>
                <w:b/>
                <w:bCs/>
                <w:sz w:val="22"/>
                <w:szCs w:val="22"/>
              </w:rPr>
              <w:t>Eur/lôžko bez DPH</w:t>
            </w:r>
          </w:p>
        </w:tc>
      </w:tr>
      <w:tr w:rsidR="00554317" w:rsidRPr="00554317" w14:paraId="6E051405" w14:textId="77777777" w:rsidTr="00FD357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5133C2C" w14:textId="77777777" w:rsidR="00554317" w:rsidRPr="00554317" w:rsidRDefault="00554317" w:rsidP="00B447EE">
            <w:pPr>
              <w:spacing w:line="240" w:lineRule="auto"/>
              <w:jc w:val="left"/>
              <w:rPr>
                <w:rFonts w:ascii="Arial Narrow" w:hAnsi="Arial Narrow" w:cs="Calibri"/>
                <w:b/>
                <w:bCs/>
                <w:sz w:val="22"/>
                <w:szCs w:val="22"/>
              </w:rPr>
            </w:pPr>
            <w:r w:rsidRPr="00554317">
              <w:rPr>
                <w:rFonts w:ascii="Arial Narrow" w:hAnsi="Arial Narrow" w:cs="Calibri"/>
                <w:b/>
                <w:bCs/>
                <w:sz w:val="22"/>
                <w:szCs w:val="22"/>
              </w:rPr>
              <w:t>UNM Martin</w:t>
            </w:r>
          </w:p>
        </w:tc>
        <w:tc>
          <w:tcPr>
            <w:tcW w:w="899" w:type="dxa"/>
            <w:tcBorders>
              <w:top w:val="nil"/>
              <w:left w:val="nil"/>
              <w:bottom w:val="single" w:sz="4" w:space="0" w:color="auto"/>
              <w:right w:val="single" w:sz="4" w:space="0" w:color="auto"/>
            </w:tcBorders>
            <w:shd w:val="clear" w:color="auto" w:fill="auto"/>
            <w:noWrap/>
            <w:vAlign w:val="bottom"/>
            <w:hideMark/>
          </w:tcPr>
          <w:p w14:paraId="6DF83A13"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126 803</w:t>
            </w:r>
          </w:p>
        </w:tc>
        <w:tc>
          <w:tcPr>
            <w:tcW w:w="1140" w:type="dxa"/>
            <w:tcBorders>
              <w:top w:val="nil"/>
              <w:left w:val="nil"/>
              <w:bottom w:val="single" w:sz="4" w:space="0" w:color="auto"/>
              <w:right w:val="single" w:sz="4" w:space="0" w:color="auto"/>
            </w:tcBorders>
            <w:shd w:val="clear" w:color="auto" w:fill="auto"/>
            <w:noWrap/>
            <w:vAlign w:val="bottom"/>
            <w:hideMark/>
          </w:tcPr>
          <w:p w14:paraId="66D8DFCA"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660</w:t>
            </w:r>
          </w:p>
        </w:tc>
        <w:tc>
          <w:tcPr>
            <w:tcW w:w="960" w:type="dxa"/>
            <w:tcBorders>
              <w:top w:val="nil"/>
              <w:left w:val="nil"/>
              <w:bottom w:val="single" w:sz="4" w:space="0" w:color="auto"/>
              <w:right w:val="single" w:sz="4" w:space="0" w:color="auto"/>
            </w:tcBorders>
            <w:shd w:val="clear" w:color="auto" w:fill="auto"/>
            <w:noWrap/>
            <w:vAlign w:val="bottom"/>
            <w:hideMark/>
          </w:tcPr>
          <w:p w14:paraId="290E3003"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192</w:t>
            </w:r>
          </w:p>
        </w:tc>
        <w:tc>
          <w:tcPr>
            <w:tcW w:w="1679" w:type="dxa"/>
            <w:tcBorders>
              <w:top w:val="nil"/>
              <w:left w:val="nil"/>
              <w:bottom w:val="single" w:sz="4" w:space="0" w:color="auto"/>
              <w:right w:val="single" w:sz="4" w:space="0" w:color="auto"/>
            </w:tcBorders>
            <w:shd w:val="clear" w:color="auto" w:fill="auto"/>
            <w:noWrap/>
            <w:vAlign w:val="bottom"/>
            <w:hideMark/>
          </w:tcPr>
          <w:p w14:paraId="20549E96"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338 214 723</w:t>
            </w:r>
          </w:p>
        </w:tc>
        <w:tc>
          <w:tcPr>
            <w:tcW w:w="1275" w:type="dxa"/>
            <w:tcBorders>
              <w:top w:val="nil"/>
              <w:left w:val="nil"/>
              <w:bottom w:val="single" w:sz="4" w:space="0" w:color="auto"/>
              <w:right w:val="single" w:sz="4" w:space="0" w:color="auto"/>
            </w:tcBorders>
            <w:shd w:val="clear" w:color="auto" w:fill="auto"/>
            <w:noWrap/>
            <w:vAlign w:val="bottom"/>
            <w:hideMark/>
          </w:tcPr>
          <w:p w14:paraId="69549C82"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512 447</w:t>
            </w:r>
          </w:p>
        </w:tc>
      </w:tr>
      <w:tr w:rsidR="00554317" w:rsidRPr="00554317" w14:paraId="2411AB54" w14:textId="77777777" w:rsidTr="00FD357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3DDFA21" w14:textId="44E2FE3C" w:rsidR="00554317" w:rsidRPr="00554317" w:rsidRDefault="00554317" w:rsidP="00B447EE">
            <w:pPr>
              <w:spacing w:line="240" w:lineRule="auto"/>
              <w:jc w:val="left"/>
              <w:rPr>
                <w:rFonts w:ascii="Arial Narrow" w:hAnsi="Arial Narrow" w:cs="Calibri"/>
                <w:b/>
                <w:bCs/>
                <w:sz w:val="22"/>
                <w:szCs w:val="22"/>
              </w:rPr>
            </w:pPr>
            <w:proofErr w:type="spellStart"/>
            <w:r w:rsidRPr="00554317">
              <w:rPr>
                <w:rFonts w:ascii="Arial Narrow" w:hAnsi="Arial Narrow" w:cs="Calibri"/>
                <w:b/>
                <w:bCs/>
                <w:sz w:val="22"/>
                <w:szCs w:val="22"/>
              </w:rPr>
              <w:t>FNsP</w:t>
            </w:r>
            <w:proofErr w:type="spellEnd"/>
            <w:r w:rsidRPr="00554317">
              <w:rPr>
                <w:rFonts w:ascii="Arial Narrow" w:hAnsi="Arial Narrow" w:cs="Calibri"/>
                <w:b/>
                <w:bCs/>
                <w:sz w:val="22"/>
                <w:szCs w:val="22"/>
              </w:rPr>
              <w:t xml:space="preserve"> Banská Bystrica </w:t>
            </w:r>
            <w:r>
              <w:rPr>
                <w:rFonts w:ascii="Arial Narrow" w:hAnsi="Arial Narrow" w:cs="Calibri"/>
                <w:sz w:val="22"/>
                <w:szCs w:val="22"/>
              </w:rPr>
              <w:t>(max.</w:t>
            </w:r>
            <w:r w:rsidRPr="00554317">
              <w:rPr>
                <w:rFonts w:ascii="Arial Narrow" w:hAnsi="Arial Narrow" w:cs="Calibri"/>
                <w:sz w:val="22"/>
                <w:szCs w:val="22"/>
              </w:rPr>
              <w:t xml:space="preserve"> kapacita)</w:t>
            </w:r>
          </w:p>
        </w:tc>
        <w:tc>
          <w:tcPr>
            <w:tcW w:w="899" w:type="dxa"/>
            <w:tcBorders>
              <w:top w:val="nil"/>
              <w:left w:val="nil"/>
              <w:bottom w:val="single" w:sz="4" w:space="0" w:color="auto"/>
              <w:right w:val="single" w:sz="4" w:space="0" w:color="auto"/>
            </w:tcBorders>
            <w:shd w:val="clear" w:color="auto" w:fill="auto"/>
            <w:noWrap/>
            <w:vAlign w:val="bottom"/>
            <w:hideMark/>
          </w:tcPr>
          <w:p w14:paraId="05D196A3"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120 623</w:t>
            </w:r>
          </w:p>
        </w:tc>
        <w:tc>
          <w:tcPr>
            <w:tcW w:w="1140" w:type="dxa"/>
            <w:tcBorders>
              <w:top w:val="nil"/>
              <w:left w:val="nil"/>
              <w:bottom w:val="single" w:sz="4" w:space="0" w:color="auto"/>
              <w:right w:val="single" w:sz="4" w:space="0" w:color="auto"/>
            </w:tcBorders>
            <w:shd w:val="clear" w:color="auto" w:fill="auto"/>
            <w:noWrap/>
            <w:vAlign w:val="bottom"/>
            <w:hideMark/>
          </w:tcPr>
          <w:p w14:paraId="548CAC1A"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802</w:t>
            </w:r>
          </w:p>
        </w:tc>
        <w:tc>
          <w:tcPr>
            <w:tcW w:w="960" w:type="dxa"/>
            <w:tcBorders>
              <w:top w:val="nil"/>
              <w:left w:val="nil"/>
              <w:bottom w:val="single" w:sz="4" w:space="0" w:color="auto"/>
              <w:right w:val="single" w:sz="4" w:space="0" w:color="auto"/>
            </w:tcBorders>
            <w:shd w:val="clear" w:color="auto" w:fill="auto"/>
            <w:noWrap/>
            <w:vAlign w:val="bottom"/>
            <w:hideMark/>
          </w:tcPr>
          <w:p w14:paraId="33B346D3"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150</w:t>
            </w:r>
          </w:p>
        </w:tc>
        <w:tc>
          <w:tcPr>
            <w:tcW w:w="1679" w:type="dxa"/>
            <w:tcBorders>
              <w:top w:val="nil"/>
              <w:left w:val="nil"/>
              <w:bottom w:val="single" w:sz="4" w:space="0" w:color="auto"/>
              <w:right w:val="single" w:sz="4" w:space="0" w:color="auto"/>
            </w:tcBorders>
            <w:shd w:val="clear" w:color="auto" w:fill="auto"/>
            <w:noWrap/>
            <w:vAlign w:val="bottom"/>
            <w:hideMark/>
          </w:tcPr>
          <w:p w14:paraId="7FB0DD46"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394 100 000</w:t>
            </w:r>
          </w:p>
        </w:tc>
        <w:tc>
          <w:tcPr>
            <w:tcW w:w="1275" w:type="dxa"/>
            <w:tcBorders>
              <w:top w:val="nil"/>
              <w:left w:val="nil"/>
              <w:bottom w:val="single" w:sz="4" w:space="0" w:color="auto"/>
              <w:right w:val="single" w:sz="4" w:space="0" w:color="auto"/>
            </w:tcBorders>
            <w:shd w:val="clear" w:color="auto" w:fill="auto"/>
            <w:noWrap/>
            <w:vAlign w:val="bottom"/>
            <w:hideMark/>
          </w:tcPr>
          <w:p w14:paraId="3F25B15A"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491 397</w:t>
            </w:r>
          </w:p>
        </w:tc>
      </w:tr>
      <w:tr w:rsidR="00554317" w:rsidRPr="00554317" w14:paraId="74B81EA5" w14:textId="77777777" w:rsidTr="00FD357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4E682FE" w14:textId="43150004" w:rsidR="00554317" w:rsidRPr="00554317" w:rsidRDefault="00554317" w:rsidP="00B447EE">
            <w:pPr>
              <w:spacing w:line="240" w:lineRule="auto"/>
              <w:jc w:val="left"/>
              <w:rPr>
                <w:rFonts w:ascii="Arial Narrow" w:hAnsi="Arial Narrow" w:cs="Calibri"/>
                <w:b/>
                <w:bCs/>
                <w:sz w:val="22"/>
                <w:szCs w:val="22"/>
              </w:rPr>
            </w:pPr>
            <w:r w:rsidRPr="00554317">
              <w:rPr>
                <w:rFonts w:ascii="Arial Narrow" w:hAnsi="Arial Narrow" w:cs="Calibri"/>
                <w:b/>
                <w:bCs/>
                <w:sz w:val="22"/>
                <w:szCs w:val="22"/>
              </w:rPr>
              <w:t xml:space="preserve">FN Trnava </w:t>
            </w:r>
            <w:r>
              <w:rPr>
                <w:rFonts w:ascii="Arial Narrow" w:hAnsi="Arial Narrow" w:cs="Calibri"/>
                <w:sz w:val="22"/>
                <w:szCs w:val="22"/>
              </w:rPr>
              <w:t xml:space="preserve"> (max. </w:t>
            </w:r>
            <w:r w:rsidRPr="00554317">
              <w:rPr>
                <w:rFonts w:ascii="Arial Narrow" w:hAnsi="Arial Narrow" w:cs="Calibri"/>
                <w:sz w:val="22"/>
                <w:szCs w:val="22"/>
              </w:rPr>
              <w:t>kapacita)</w:t>
            </w:r>
          </w:p>
        </w:tc>
        <w:tc>
          <w:tcPr>
            <w:tcW w:w="899" w:type="dxa"/>
            <w:tcBorders>
              <w:top w:val="nil"/>
              <w:left w:val="nil"/>
              <w:bottom w:val="single" w:sz="4" w:space="0" w:color="auto"/>
              <w:right w:val="single" w:sz="4" w:space="0" w:color="auto"/>
            </w:tcBorders>
            <w:shd w:val="clear" w:color="auto" w:fill="auto"/>
            <w:noWrap/>
            <w:vAlign w:val="bottom"/>
            <w:hideMark/>
          </w:tcPr>
          <w:p w14:paraId="2A3C1D12"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78 026</w:t>
            </w:r>
          </w:p>
        </w:tc>
        <w:tc>
          <w:tcPr>
            <w:tcW w:w="1140" w:type="dxa"/>
            <w:tcBorders>
              <w:top w:val="nil"/>
              <w:left w:val="nil"/>
              <w:bottom w:val="single" w:sz="4" w:space="0" w:color="auto"/>
              <w:right w:val="single" w:sz="4" w:space="0" w:color="auto"/>
            </w:tcBorders>
            <w:shd w:val="clear" w:color="auto" w:fill="auto"/>
            <w:noWrap/>
            <w:vAlign w:val="bottom"/>
            <w:hideMark/>
          </w:tcPr>
          <w:p w14:paraId="5F340A5D"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628</w:t>
            </w:r>
          </w:p>
        </w:tc>
        <w:tc>
          <w:tcPr>
            <w:tcW w:w="960" w:type="dxa"/>
            <w:tcBorders>
              <w:top w:val="nil"/>
              <w:left w:val="nil"/>
              <w:bottom w:val="single" w:sz="4" w:space="0" w:color="auto"/>
              <w:right w:val="single" w:sz="4" w:space="0" w:color="auto"/>
            </w:tcBorders>
            <w:shd w:val="clear" w:color="auto" w:fill="auto"/>
            <w:noWrap/>
            <w:vAlign w:val="bottom"/>
            <w:hideMark/>
          </w:tcPr>
          <w:p w14:paraId="6A7E6EEB"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124</w:t>
            </w:r>
          </w:p>
        </w:tc>
        <w:tc>
          <w:tcPr>
            <w:tcW w:w="1679" w:type="dxa"/>
            <w:tcBorders>
              <w:top w:val="nil"/>
              <w:left w:val="nil"/>
              <w:bottom w:val="single" w:sz="4" w:space="0" w:color="auto"/>
              <w:right w:val="single" w:sz="4" w:space="0" w:color="auto"/>
            </w:tcBorders>
            <w:shd w:val="clear" w:color="auto" w:fill="auto"/>
            <w:noWrap/>
            <w:vAlign w:val="bottom"/>
            <w:hideMark/>
          </w:tcPr>
          <w:p w14:paraId="0F72251C"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382 000 000</w:t>
            </w:r>
          </w:p>
        </w:tc>
        <w:tc>
          <w:tcPr>
            <w:tcW w:w="1275" w:type="dxa"/>
            <w:tcBorders>
              <w:top w:val="nil"/>
              <w:left w:val="nil"/>
              <w:bottom w:val="single" w:sz="4" w:space="0" w:color="auto"/>
              <w:right w:val="single" w:sz="4" w:space="0" w:color="auto"/>
            </w:tcBorders>
            <w:shd w:val="clear" w:color="auto" w:fill="auto"/>
            <w:noWrap/>
            <w:vAlign w:val="bottom"/>
            <w:hideMark/>
          </w:tcPr>
          <w:p w14:paraId="290660B1"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608 280</w:t>
            </w:r>
          </w:p>
        </w:tc>
      </w:tr>
      <w:tr w:rsidR="00554317" w:rsidRPr="00554317" w14:paraId="56DFDEA3" w14:textId="77777777" w:rsidTr="00FD357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67C908F" w14:textId="77777777" w:rsidR="00554317" w:rsidRPr="00554317" w:rsidRDefault="00554317" w:rsidP="00B447EE">
            <w:pPr>
              <w:spacing w:line="240" w:lineRule="auto"/>
              <w:jc w:val="left"/>
              <w:rPr>
                <w:rFonts w:ascii="Arial Narrow" w:hAnsi="Arial Narrow" w:cs="Calibri"/>
                <w:b/>
                <w:bCs/>
                <w:sz w:val="22"/>
                <w:szCs w:val="22"/>
              </w:rPr>
            </w:pPr>
            <w:r w:rsidRPr="00554317">
              <w:rPr>
                <w:rFonts w:ascii="Arial Narrow" w:hAnsi="Arial Narrow" w:cs="Calibri"/>
                <w:b/>
                <w:bCs/>
                <w:sz w:val="22"/>
                <w:szCs w:val="22"/>
              </w:rPr>
              <w:t>SGH Prešov</w:t>
            </w:r>
          </w:p>
        </w:tc>
        <w:tc>
          <w:tcPr>
            <w:tcW w:w="899" w:type="dxa"/>
            <w:tcBorders>
              <w:top w:val="nil"/>
              <w:left w:val="nil"/>
              <w:bottom w:val="single" w:sz="4" w:space="0" w:color="auto"/>
              <w:right w:val="single" w:sz="4" w:space="0" w:color="auto"/>
            </w:tcBorders>
            <w:shd w:val="clear" w:color="auto" w:fill="auto"/>
            <w:noWrap/>
            <w:vAlign w:val="bottom"/>
            <w:hideMark/>
          </w:tcPr>
          <w:p w14:paraId="03C29818"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134 773</w:t>
            </w:r>
          </w:p>
        </w:tc>
        <w:tc>
          <w:tcPr>
            <w:tcW w:w="1140" w:type="dxa"/>
            <w:tcBorders>
              <w:top w:val="nil"/>
              <w:left w:val="nil"/>
              <w:bottom w:val="single" w:sz="4" w:space="0" w:color="auto"/>
              <w:right w:val="single" w:sz="4" w:space="0" w:color="auto"/>
            </w:tcBorders>
            <w:shd w:val="clear" w:color="auto" w:fill="auto"/>
            <w:noWrap/>
            <w:vAlign w:val="bottom"/>
            <w:hideMark/>
          </w:tcPr>
          <w:p w14:paraId="5B517189"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942</w:t>
            </w:r>
          </w:p>
        </w:tc>
        <w:tc>
          <w:tcPr>
            <w:tcW w:w="960" w:type="dxa"/>
            <w:tcBorders>
              <w:top w:val="nil"/>
              <w:left w:val="nil"/>
              <w:bottom w:val="single" w:sz="4" w:space="0" w:color="auto"/>
              <w:right w:val="single" w:sz="4" w:space="0" w:color="auto"/>
            </w:tcBorders>
            <w:shd w:val="clear" w:color="auto" w:fill="auto"/>
            <w:noWrap/>
            <w:vAlign w:val="bottom"/>
            <w:hideMark/>
          </w:tcPr>
          <w:p w14:paraId="5E7D8409"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143</w:t>
            </w:r>
          </w:p>
        </w:tc>
        <w:tc>
          <w:tcPr>
            <w:tcW w:w="1679" w:type="dxa"/>
            <w:tcBorders>
              <w:top w:val="nil"/>
              <w:left w:val="nil"/>
              <w:bottom w:val="single" w:sz="4" w:space="0" w:color="auto"/>
              <w:right w:val="single" w:sz="4" w:space="0" w:color="auto"/>
            </w:tcBorders>
            <w:shd w:val="clear" w:color="auto" w:fill="auto"/>
            <w:noWrap/>
            <w:vAlign w:val="bottom"/>
            <w:hideMark/>
          </w:tcPr>
          <w:p w14:paraId="103F435C"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409 711 619</w:t>
            </w:r>
          </w:p>
        </w:tc>
        <w:tc>
          <w:tcPr>
            <w:tcW w:w="1275" w:type="dxa"/>
            <w:tcBorders>
              <w:top w:val="nil"/>
              <w:left w:val="nil"/>
              <w:bottom w:val="single" w:sz="4" w:space="0" w:color="auto"/>
              <w:right w:val="single" w:sz="4" w:space="0" w:color="auto"/>
            </w:tcBorders>
            <w:shd w:val="clear" w:color="auto" w:fill="auto"/>
            <w:noWrap/>
            <w:vAlign w:val="bottom"/>
            <w:hideMark/>
          </w:tcPr>
          <w:p w14:paraId="6607DE16"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434 938</w:t>
            </w:r>
          </w:p>
        </w:tc>
      </w:tr>
      <w:tr w:rsidR="00B447EE" w:rsidRPr="00554317" w14:paraId="2A140C73" w14:textId="77777777" w:rsidTr="00FD3570">
        <w:trPr>
          <w:trHeight w:val="300"/>
          <w:jc w:val="center"/>
        </w:trPr>
        <w:tc>
          <w:tcPr>
            <w:tcW w:w="3681"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6CFB97" w14:textId="77777777" w:rsidR="00554317" w:rsidRPr="00554317" w:rsidRDefault="00554317" w:rsidP="00B447EE">
            <w:pPr>
              <w:spacing w:line="240" w:lineRule="auto"/>
              <w:jc w:val="left"/>
              <w:rPr>
                <w:rFonts w:ascii="Arial Narrow" w:hAnsi="Arial Narrow" w:cs="Calibri"/>
                <w:b/>
                <w:bCs/>
                <w:sz w:val="22"/>
                <w:szCs w:val="22"/>
              </w:rPr>
            </w:pPr>
            <w:proofErr w:type="spellStart"/>
            <w:r w:rsidRPr="00554317">
              <w:rPr>
                <w:rFonts w:ascii="Arial Narrow" w:hAnsi="Arial Narrow" w:cs="Calibri"/>
                <w:b/>
                <w:bCs/>
                <w:sz w:val="22"/>
                <w:szCs w:val="22"/>
              </w:rPr>
              <w:t>FNsP</w:t>
            </w:r>
            <w:proofErr w:type="spellEnd"/>
            <w:r w:rsidRPr="00554317">
              <w:rPr>
                <w:rFonts w:ascii="Arial Narrow" w:hAnsi="Arial Narrow" w:cs="Calibri"/>
                <w:b/>
                <w:bCs/>
                <w:sz w:val="22"/>
                <w:szCs w:val="22"/>
              </w:rPr>
              <w:t xml:space="preserve"> Žilina</w:t>
            </w:r>
          </w:p>
        </w:tc>
        <w:tc>
          <w:tcPr>
            <w:tcW w:w="899"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20FCAAAC"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55 000</w:t>
            </w:r>
          </w:p>
        </w:tc>
        <w:tc>
          <w:tcPr>
            <w:tcW w:w="1140"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182C41A8"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343</w:t>
            </w:r>
          </w:p>
        </w:tc>
        <w:tc>
          <w:tcPr>
            <w:tcW w:w="960"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74DF9435" w14:textId="77777777" w:rsidR="00554317" w:rsidRPr="00554317" w:rsidRDefault="00554317" w:rsidP="00B447EE">
            <w:pPr>
              <w:spacing w:line="240" w:lineRule="auto"/>
              <w:jc w:val="center"/>
              <w:rPr>
                <w:rFonts w:ascii="Arial Narrow" w:hAnsi="Arial Narrow" w:cs="Calibri"/>
                <w:sz w:val="22"/>
                <w:szCs w:val="22"/>
              </w:rPr>
            </w:pPr>
            <w:r w:rsidRPr="00554317">
              <w:rPr>
                <w:rFonts w:ascii="Arial Narrow" w:hAnsi="Arial Narrow" w:cs="Calibri"/>
                <w:sz w:val="22"/>
                <w:szCs w:val="22"/>
              </w:rPr>
              <w:t>160</w:t>
            </w:r>
          </w:p>
        </w:tc>
        <w:tc>
          <w:tcPr>
            <w:tcW w:w="1679"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4045AEB7" w14:textId="2F5C1D39" w:rsidR="00554317" w:rsidRPr="00554317" w:rsidRDefault="00294559" w:rsidP="00BE0658">
            <w:pPr>
              <w:spacing w:line="240" w:lineRule="auto"/>
              <w:jc w:val="center"/>
              <w:rPr>
                <w:rFonts w:ascii="Arial Narrow" w:hAnsi="Arial Narrow" w:cs="Calibri"/>
                <w:sz w:val="22"/>
                <w:szCs w:val="22"/>
              </w:rPr>
            </w:pPr>
            <w:r>
              <w:rPr>
                <w:rFonts w:ascii="Arial Narrow" w:hAnsi="Arial Narrow" w:cs="Calibri"/>
                <w:sz w:val="22"/>
                <w:szCs w:val="22"/>
              </w:rPr>
              <w:t>207 986 666</w:t>
            </w:r>
            <w:r w:rsidRPr="00294559">
              <w:rPr>
                <w:rFonts w:ascii="Arial Narrow" w:hAnsi="Arial Narrow" w:cs="Calibri"/>
                <w:sz w:val="22"/>
                <w:szCs w:val="22"/>
              </w:rPr>
              <w:t xml:space="preserve">   </w:t>
            </w:r>
          </w:p>
        </w:tc>
        <w:tc>
          <w:tcPr>
            <w:tcW w:w="1275"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4C4C66E4" w14:textId="6DFA3963" w:rsidR="00554317" w:rsidRPr="00554317" w:rsidRDefault="00554317">
            <w:pPr>
              <w:spacing w:line="240" w:lineRule="auto"/>
              <w:jc w:val="center"/>
              <w:rPr>
                <w:rFonts w:ascii="Arial Narrow" w:hAnsi="Arial Narrow" w:cs="Calibri"/>
                <w:sz w:val="22"/>
                <w:szCs w:val="22"/>
              </w:rPr>
            </w:pPr>
            <w:r w:rsidRPr="00554317">
              <w:rPr>
                <w:rFonts w:ascii="Arial Narrow" w:hAnsi="Arial Narrow" w:cs="Calibri"/>
                <w:sz w:val="22"/>
                <w:szCs w:val="22"/>
              </w:rPr>
              <w:t>6</w:t>
            </w:r>
            <w:r w:rsidR="00BE0658">
              <w:rPr>
                <w:rFonts w:ascii="Arial Narrow" w:hAnsi="Arial Narrow" w:cs="Calibri"/>
                <w:sz w:val="22"/>
                <w:szCs w:val="22"/>
              </w:rPr>
              <w:t>0</w:t>
            </w:r>
            <w:r w:rsidR="00294559">
              <w:rPr>
                <w:rFonts w:ascii="Arial Narrow" w:hAnsi="Arial Narrow" w:cs="Calibri"/>
                <w:sz w:val="22"/>
                <w:szCs w:val="22"/>
              </w:rPr>
              <w:t>6</w:t>
            </w:r>
            <w:r w:rsidR="00BE0658">
              <w:rPr>
                <w:rFonts w:ascii="Arial Narrow" w:hAnsi="Arial Narrow" w:cs="Calibri"/>
                <w:sz w:val="22"/>
                <w:szCs w:val="22"/>
              </w:rPr>
              <w:t xml:space="preserve"> </w:t>
            </w:r>
            <w:r w:rsidR="00294559">
              <w:rPr>
                <w:rFonts w:ascii="Arial Narrow" w:hAnsi="Arial Narrow" w:cs="Calibri"/>
                <w:sz w:val="22"/>
                <w:szCs w:val="22"/>
              </w:rPr>
              <w:t>3</w:t>
            </w:r>
            <w:r w:rsidR="00BE0658">
              <w:rPr>
                <w:rFonts w:ascii="Arial Narrow" w:hAnsi="Arial Narrow" w:cs="Calibri"/>
                <w:sz w:val="22"/>
                <w:szCs w:val="22"/>
              </w:rPr>
              <w:t>75</w:t>
            </w:r>
          </w:p>
        </w:tc>
      </w:tr>
    </w:tbl>
    <w:p w14:paraId="5CBEC303" w14:textId="77777777" w:rsidR="00554317" w:rsidRPr="004B62AF" w:rsidRDefault="00554317" w:rsidP="00B447EE">
      <w:pPr>
        <w:pStyle w:val="Popis"/>
        <w:spacing w:before="0" w:after="0" w:line="240" w:lineRule="auto"/>
        <w:rPr>
          <w:rFonts w:ascii="Century Gothic" w:hAnsi="Century Gothic" w:cstheme="minorHAnsi"/>
          <w:b w:val="0"/>
          <w:i/>
          <w:sz w:val="18"/>
          <w:szCs w:val="18"/>
        </w:rPr>
      </w:pPr>
      <w:r w:rsidRPr="004B62AF">
        <w:rPr>
          <w:rFonts w:ascii="Century Gothic" w:hAnsi="Century Gothic" w:cstheme="minorHAnsi"/>
          <w:b w:val="0"/>
          <w:i/>
          <w:sz w:val="18"/>
          <w:szCs w:val="18"/>
        </w:rPr>
        <w:t xml:space="preserve">Zdroj: </w:t>
      </w:r>
      <w:r>
        <w:rPr>
          <w:rFonts w:ascii="Century Gothic" w:hAnsi="Century Gothic" w:cstheme="minorHAnsi"/>
          <w:b w:val="0"/>
          <w:i/>
          <w:sz w:val="18"/>
          <w:szCs w:val="18"/>
        </w:rPr>
        <w:t>vlastné spracovanie</w:t>
      </w:r>
    </w:p>
    <w:p w14:paraId="7EBEEFB3" w14:textId="77981C7F" w:rsidR="00554317" w:rsidRDefault="00554317" w:rsidP="00B447EE">
      <w:pPr>
        <w:pStyle w:val="Normlnywebov"/>
        <w:shd w:val="clear" w:color="auto" w:fill="FFFFFF"/>
        <w:spacing w:before="0" w:beforeAutospacing="0" w:after="0" w:afterAutospacing="0"/>
        <w:jc w:val="both"/>
        <w:rPr>
          <w:rFonts w:ascii="Century Gothic" w:hAnsi="Century Gothic" w:cs="Arial"/>
          <w:b/>
          <w:color w:val="3E3E3E"/>
          <w:sz w:val="22"/>
          <w:szCs w:val="22"/>
        </w:rPr>
      </w:pPr>
    </w:p>
    <w:p w14:paraId="6FF15E66" w14:textId="77777777" w:rsidR="00553C24" w:rsidRDefault="00553C24" w:rsidP="00B447EE">
      <w:pPr>
        <w:pStyle w:val="Normlnywebov"/>
        <w:shd w:val="clear" w:color="auto" w:fill="FFFFFF"/>
        <w:spacing w:before="0" w:beforeAutospacing="0" w:after="0" w:afterAutospacing="0"/>
        <w:jc w:val="both"/>
        <w:rPr>
          <w:rFonts w:ascii="Century Gothic" w:hAnsi="Century Gothic"/>
          <w:sz w:val="22"/>
          <w:szCs w:val="22"/>
        </w:rPr>
      </w:pPr>
      <w:r w:rsidRPr="00554317">
        <w:rPr>
          <w:rFonts w:ascii="Century Gothic" w:hAnsi="Century Gothic"/>
          <w:sz w:val="22"/>
          <w:szCs w:val="22"/>
        </w:rPr>
        <w:t>V</w:t>
      </w:r>
      <w:r>
        <w:rPr>
          <w:rFonts w:ascii="Century Gothic" w:hAnsi="Century Gothic"/>
          <w:sz w:val="22"/>
          <w:szCs w:val="22"/>
        </w:rPr>
        <w:t xml:space="preserve"> tomto </w:t>
      </w:r>
      <w:r w:rsidRPr="00554317">
        <w:rPr>
          <w:rFonts w:ascii="Century Gothic" w:hAnsi="Century Gothic"/>
          <w:sz w:val="22"/>
          <w:szCs w:val="22"/>
        </w:rPr>
        <w:t>porovnaní kľúčových parametrov</w:t>
      </w:r>
      <w:r>
        <w:rPr>
          <w:rFonts w:ascii="Century Gothic" w:hAnsi="Century Gothic"/>
          <w:sz w:val="22"/>
          <w:szCs w:val="22"/>
        </w:rPr>
        <w:t xml:space="preserve"> je nutné zobrať do úvahy hlavne pri parametri Eur/lôžko, že ostatné hodnotené  projekty sú v podstate novou kompletnou nemocnicou a nášmu žilinskému projektu zhoršujú tento ukazovateľ z dôvodu, že PUM buduje centrálne operačné sály a centrálne JIS pre lôžkovú kapacitu celého areálu </w:t>
      </w:r>
      <w:proofErr w:type="spellStart"/>
      <w:r>
        <w:rPr>
          <w:rFonts w:ascii="Century Gothic" w:hAnsi="Century Gothic"/>
          <w:sz w:val="22"/>
          <w:szCs w:val="22"/>
        </w:rPr>
        <w:t>t.j</w:t>
      </w:r>
      <w:proofErr w:type="spellEnd"/>
      <w:r>
        <w:rPr>
          <w:rFonts w:ascii="Century Gothic" w:hAnsi="Century Gothic"/>
          <w:sz w:val="22"/>
          <w:szCs w:val="22"/>
        </w:rPr>
        <w:t xml:space="preserve">. lôžkový fond celého areálu. </w:t>
      </w:r>
    </w:p>
    <w:p w14:paraId="1D35E063" w14:textId="77777777" w:rsidR="00553C24" w:rsidRDefault="00553C24" w:rsidP="00B447EE">
      <w:pPr>
        <w:pStyle w:val="Normlnywebov"/>
        <w:shd w:val="clear" w:color="auto" w:fill="FFFFFF"/>
        <w:spacing w:before="0" w:beforeAutospacing="0" w:after="0" w:afterAutospacing="0"/>
        <w:jc w:val="both"/>
        <w:rPr>
          <w:rFonts w:ascii="Century Gothic" w:hAnsi="Century Gothic"/>
          <w:sz w:val="22"/>
          <w:szCs w:val="22"/>
        </w:rPr>
      </w:pPr>
    </w:p>
    <w:p w14:paraId="7A180D75" w14:textId="77777777" w:rsidR="00553C24" w:rsidRDefault="00553C24" w:rsidP="00B447EE">
      <w:pPr>
        <w:pStyle w:val="Normlnywebov"/>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Bez ohľadu na konkrétne hodnoty jednotlivých parametrov je jasné, že projekt výstavby Pavilónu urgentnej medicíny je z pohľadu poskytovania zdravotnej starostlivosti relevantnou a efektívnou investíciou minimálne porovnateľnou vo všetkých ukazovateľoch s inými pripravovanými investíciami a vzhľadom na stav prípravy a rizikovosť viacerých pripravovaných projektov by bolo nelogické predložený projekt zastaviť pre vyhlásením VO. </w:t>
      </w:r>
    </w:p>
    <w:p w14:paraId="0A2F3862" w14:textId="77777777" w:rsidR="00553C24" w:rsidRDefault="00553C24" w:rsidP="00B447EE">
      <w:pPr>
        <w:pStyle w:val="Normlnywebov"/>
        <w:shd w:val="clear" w:color="auto" w:fill="FFFFFF"/>
        <w:spacing w:before="0" w:beforeAutospacing="0" w:after="0" w:afterAutospacing="0"/>
        <w:jc w:val="both"/>
        <w:rPr>
          <w:rFonts w:ascii="Century Gothic" w:hAnsi="Century Gothic"/>
          <w:sz w:val="22"/>
          <w:szCs w:val="22"/>
        </w:rPr>
      </w:pPr>
    </w:p>
    <w:p w14:paraId="20242485" w14:textId="5E96E672" w:rsidR="00553C24" w:rsidRDefault="00553C24" w:rsidP="00B447EE">
      <w:pPr>
        <w:pStyle w:val="Normlnywebov"/>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lastRenderedPageBreak/>
        <w:t>Zdrhnutie stavu investičnej pripravenosti:</w:t>
      </w:r>
    </w:p>
    <w:p w14:paraId="5E138259" w14:textId="008FF2F7" w:rsidR="00553C24" w:rsidRDefault="00553C24" w:rsidP="00C67E68">
      <w:pPr>
        <w:pStyle w:val="Normlnywebov"/>
        <w:numPr>
          <w:ilvl w:val="0"/>
          <w:numId w:val="76"/>
        </w:numPr>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Dokumentácia na územné rozhodnutie – hotová</w:t>
      </w:r>
    </w:p>
    <w:p w14:paraId="2A72D95C" w14:textId="627E3C3A" w:rsidR="00553C24" w:rsidRDefault="00553C24" w:rsidP="00C67E68">
      <w:pPr>
        <w:pStyle w:val="Normlnywebov"/>
        <w:numPr>
          <w:ilvl w:val="0"/>
          <w:numId w:val="76"/>
        </w:numPr>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Územný plán mesta  - upravený pre potreby výstavby PUM ako verejnoprospešnej stavby, čo výrazne uľahčí celý proces</w:t>
      </w:r>
    </w:p>
    <w:p w14:paraId="3F32C976" w14:textId="62D6FC6E" w:rsidR="00553C24" w:rsidRDefault="00553C24" w:rsidP="00C67E68">
      <w:pPr>
        <w:pStyle w:val="Normlnywebov"/>
        <w:numPr>
          <w:ilvl w:val="0"/>
          <w:numId w:val="76"/>
        </w:numPr>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EIA – očakávané </w:t>
      </w:r>
      <w:r w:rsidR="00D46D91">
        <w:rPr>
          <w:rFonts w:ascii="Century Gothic" w:hAnsi="Century Gothic"/>
          <w:sz w:val="22"/>
          <w:szCs w:val="22"/>
        </w:rPr>
        <w:t xml:space="preserve">právoplatné </w:t>
      </w:r>
      <w:r>
        <w:rPr>
          <w:rFonts w:ascii="Century Gothic" w:hAnsi="Century Gothic"/>
          <w:sz w:val="22"/>
          <w:szCs w:val="22"/>
        </w:rPr>
        <w:t>rozhodnutie 09/2023</w:t>
      </w:r>
    </w:p>
    <w:p w14:paraId="72B29081" w14:textId="3B1E71FF" w:rsidR="00553C24" w:rsidRDefault="0078729B" w:rsidP="00C67E68">
      <w:pPr>
        <w:pStyle w:val="Normlnywebov"/>
        <w:numPr>
          <w:ilvl w:val="0"/>
          <w:numId w:val="76"/>
        </w:numPr>
        <w:shd w:val="clear" w:color="auto" w:fill="FFFFFF"/>
        <w:spacing w:before="0" w:beforeAutospacing="0" w:after="0" w:afterAutospacing="0"/>
        <w:jc w:val="both"/>
        <w:rPr>
          <w:rFonts w:ascii="Century Gothic" w:hAnsi="Century Gothic"/>
          <w:sz w:val="22"/>
          <w:szCs w:val="22"/>
        </w:rPr>
      </w:pPr>
      <w:proofErr w:type="spellStart"/>
      <w:r>
        <w:rPr>
          <w:rFonts w:ascii="Century Gothic" w:hAnsi="Century Gothic"/>
          <w:sz w:val="22"/>
          <w:szCs w:val="22"/>
        </w:rPr>
        <w:t>Vysúťažený</w:t>
      </w:r>
      <w:proofErr w:type="spellEnd"/>
      <w:r>
        <w:rPr>
          <w:rFonts w:ascii="Century Gothic" w:hAnsi="Century Gothic"/>
          <w:sz w:val="22"/>
          <w:szCs w:val="22"/>
        </w:rPr>
        <w:t xml:space="preserve"> realizátor verejného obstarávania na dodávateľa stavby</w:t>
      </w:r>
    </w:p>
    <w:p w14:paraId="1A0821D3" w14:textId="2DC9990C" w:rsidR="0078729B" w:rsidRDefault="0078729B" w:rsidP="00C67E68">
      <w:pPr>
        <w:pStyle w:val="Normlnywebov"/>
        <w:numPr>
          <w:ilvl w:val="0"/>
          <w:numId w:val="76"/>
        </w:numPr>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Prípravné trhové konzultácie realizované</w:t>
      </w:r>
    </w:p>
    <w:p w14:paraId="66122BDB" w14:textId="51664221" w:rsidR="0078729B" w:rsidRDefault="0078729B" w:rsidP="00C67E68">
      <w:pPr>
        <w:pStyle w:val="Normlnywebov"/>
        <w:numPr>
          <w:ilvl w:val="0"/>
          <w:numId w:val="76"/>
        </w:numPr>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Dokumentácia stavebného zámeru verejnej práce pred dokončením 09/2023</w:t>
      </w:r>
    </w:p>
    <w:p w14:paraId="6BA9132B" w14:textId="77777777" w:rsidR="00787A0E" w:rsidRPr="00C67E68" w:rsidRDefault="0078729B" w:rsidP="00C67E68">
      <w:pPr>
        <w:pStyle w:val="Normlnywebov"/>
        <w:numPr>
          <w:ilvl w:val="0"/>
          <w:numId w:val="76"/>
        </w:numPr>
        <w:shd w:val="clear" w:color="auto" w:fill="FFFFFF"/>
        <w:spacing w:before="0" w:beforeAutospacing="0" w:after="0" w:afterAutospacing="0"/>
        <w:jc w:val="both"/>
        <w:rPr>
          <w:rFonts w:ascii="Century Gothic" w:hAnsi="Century Gothic"/>
          <w:b/>
          <w:sz w:val="28"/>
          <w:szCs w:val="28"/>
        </w:rPr>
      </w:pPr>
      <w:r w:rsidRPr="00D46D91">
        <w:rPr>
          <w:rFonts w:ascii="Century Gothic" w:hAnsi="Century Gothic"/>
          <w:sz w:val="22"/>
          <w:szCs w:val="22"/>
        </w:rPr>
        <w:t>Podklady VO v príprave – ihneď do realizácii štátnej expertízy bude VO vyhlásené</w:t>
      </w:r>
      <w:r w:rsidR="00553C24" w:rsidRPr="00D46D91">
        <w:rPr>
          <w:rFonts w:ascii="Century Gothic" w:hAnsi="Century Gothic"/>
          <w:sz w:val="22"/>
          <w:szCs w:val="22"/>
        </w:rPr>
        <w:t xml:space="preserve">  </w:t>
      </w:r>
    </w:p>
    <w:p w14:paraId="569D05CF" w14:textId="77777777" w:rsidR="00787A0E" w:rsidRDefault="00787A0E">
      <w:pPr>
        <w:pStyle w:val="Normlnywebov"/>
        <w:shd w:val="clear" w:color="auto" w:fill="FFFFFF"/>
        <w:spacing w:before="0" w:beforeAutospacing="0" w:after="0" w:afterAutospacing="0"/>
        <w:jc w:val="both"/>
        <w:rPr>
          <w:rFonts w:ascii="Century Gothic" w:hAnsi="Century Gothic"/>
          <w:sz w:val="22"/>
          <w:szCs w:val="22"/>
        </w:rPr>
      </w:pPr>
    </w:p>
    <w:p w14:paraId="398F75E3" w14:textId="6AE100BE" w:rsidR="007B7154" w:rsidRPr="00D46D91" w:rsidRDefault="00787A0E">
      <w:pPr>
        <w:pStyle w:val="Normlnywebov"/>
        <w:shd w:val="clear" w:color="auto" w:fill="FFFFFF"/>
        <w:spacing w:before="0" w:beforeAutospacing="0" w:after="0" w:afterAutospacing="0"/>
        <w:jc w:val="both"/>
        <w:rPr>
          <w:rFonts w:ascii="Century Gothic" w:hAnsi="Century Gothic"/>
          <w:b/>
          <w:sz w:val="28"/>
          <w:szCs w:val="28"/>
        </w:rPr>
      </w:pPr>
      <w:r>
        <w:rPr>
          <w:rFonts w:ascii="Century Gothic" w:hAnsi="Century Gothic"/>
          <w:sz w:val="22"/>
          <w:szCs w:val="22"/>
        </w:rPr>
        <w:t>Podrobnejší prehľad realizovaných činností a výstupov v rámci projektov a predprojektovej prípravy je v kapitole 13.4.</w:t>
      </w:r>
      <w:r w:rsidR="007B7154" w:rsidRPr="00D46D91">
        <w:rPr>
          <w:rFonts w:ascii="Century Gothic" w:hAnsi="Century Gothic"/>
          <w:b/>
          <w:sz w:val="28"/>
          <w:szCs w:val="28"/>
        </w:rPr>
        <w:br w:type="page"/>
      </w:r>
    </w:p>
    <w:p w14:paraId="4FAA57BC" w14:textId="13DE9DD4" w:rsidR="007B7154" w:rsidRPr="002679C1" w:rsidRDefault="007B7154" w:rsidP="007B7154">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38" w:name="_Toc145219945"/>
      <w:r w:rsidRPr="002679C1">
        <w:rPr>
          <w:rFonts w:ascii="Century Gothic" w:hAnsi="Century Gothic" w:cs="Calibri Light"/>
          <w:b w:val="0"/>
          <w:bCs w:val="0"/>
          <w:sz w:val="32"/>
          <w:szCs w:val="32"/>
          <w:lang w:eastAsia="en-US"/>
        </w:rPr>
        <w:lastRenderedPageBreak/>
        <w:t xml:space="preserve">História nemocnice v Žiline </w:t>
      </w:r>
      <w:r w:rsidR="00D9475F">
        <w:rPr>
          <w:rFonts w:ascii="Century Gothic" w:hAnsi="Century Gothic" w:cs="Calibri Light"/>
          <w:b w:val="0"/>
          <w:bCs w:val="0"/>
          <w:sz w:val="32"/>
          <w:szCs w:val="32"/>
          <w:lang w:eastAsia="en-US"/>
        </w:rPr>
        <w:t>a historické súvislosti</w:t>
      </w:r>
      <w:bookmarkEnd w:id="38"/>
    </w:p>
    <w:p w14:paraId="54F4B212" w14:textId="77777777" w:rsidR="007B7154" w:rsidRDefault="007B7154" w:rsidP="007B7154">
      <w:pPr>
        <w:pStyle w:val="Normlnywebov"/>
        <w:shd w:val="clear" w:color="auto" w:fill="FFFFFF"/>
        <w:spacing w:before="0" w:beforeAutospacing="0" w:after="0" w:afterAutospacing="0"/>
        <w:jc w:val="both"/>
        <w:rPr>
          <w:rStyle w:val="Siln"/>
          <w:rFonts w:ascii="Century Gothic" w:hAnsi="Century Gothic" w:cs="Arial"/>
          <w:color w:val="3E3E3E"/>
          <w:sz w:val="22"/>
          <w:szCs w:val="22"/>
        </w:rPr>
      </w:pPr>
    </w:p>
    <w:p w14:paraId="672463A4" w14:textId="77777777" w:rsidR="007B7154" w:rsidRPr="007B7154" w:rsidRDefault="007B7154" w:rsidP="007B7154">
      <w:pPr>
        <w:pStyle w:val="Normlnywebov"/>
        <w:shd w:val="clear" w:color="auto" w:fill="FFFFFF"/>
        <w:spacing w:before="0" w:beforeAutospacing="0" w:after="0" w:afterAutospacing="0"/>
        <w:jc w:val="both"/>
        <w:rPr>
          <w:rFonts w:ascii="Century Gothic" w:hAnsi="Century Gothic" w:cs="Arial"/>
          <w:color w:val="3E3E3E"/>
          <w:sz w:val="22"/>
          <w:szCs w:val="22"/>
        </w:rPr>
      </w:pPr>
      <w:r w:rsidRPr="007B7154">
        <w:rPr>
          <w:rStyle w:val="Siln"/>
          <w:rFonts w:ascii="Century Gothic" w:hAnsi="Century Gothic" w:cs="Arial"/>
          <w:color w:val="3E3E3E"/>
          <w:sz w:val="22"/>
          <w:szCs w:val="22"/>
        </w:rPr>
        <w:t>Fakultná nemocnica s poliklinikou v Žiline (</w:t>
      </w:r>
      <w:r w:rsidRPr="00347B48">
        <w:rPr>
          <w:rStyle w:val="Siln"/>
          <w:rFonts w:ascii="Century Gothic" w:hAnsi="Century Gothic" w:cs="Arial"/>
          <w:b w:val="0"/>
          <w:color w:val="3E3E3E"/>
          <w:sz w:val="22"/>
          <w:szCs w:val="22"/>
        </w:rPr>
        <w:t>ďalej tiež</w:t>
      </w:r>
      <w:r w:rsidRPr="007B7154">
        <w:rPr>
          <w:rStyle w:val="Siln"/>
          <w:rFonts w:ascii="Century Gothic" w:hAnsi="Century Gothic" w:cs="Arial"/>
          <w:color w:val="3E3E3E"/>
          <w:sz w:val="22"/>
          <w:szCs w:val="22"/>
        </w:rPr>
        <w:t xml:space="preserve"> </w:t>
      </w:r>
      <w:proofErr w:type="spellStart"/>
      <w:r w:rsidRPr="007B7154">
        <w:rPr>
          <w:rStyle w:val="Siln"/>
          <w:rFonts w:ascii="Century Gothic" w:hAnsi="Century Gothic" w:cs="Arial"/>
          <w:color w:val="3E3E3E"/>
          <w:sz w:val="22"/>
          <w:szCs w:val="22"/>
        </w:rPr>
        <w:t>FNsP</w:t>
      </w:r>
      <w:proofErr w:type="spellEnd"/>
      <w:r w:rsidRPr="007B7154">
        <w:rPr>
          <w:rStyle w:val="Siln"/>
          <w:rFonts w:ascii="Century Gothic" w:hAnsi="Century Gothic" w:cs="Arial"/>
          <w:color w:val="3E3E3E"/>
          <w:sz w:val="22"/>
          <w:szCs w:val="22"/>
        </w:rPr>
        <w:t xml:space="preserve"> Žilina)</w:t>
      </w:r>
      <w:r w:rsidRPr="007B7154">
        <w:rPr>
          <w:rFonts w:ascii="Century Gothic" w:hAnsi="Century Gothic" w:cs="Arial"/>
          <w:color w:val="3E3E3E"/>
          <w:sz w:val="22"/>
          <w:szCs w:val="22"/>
        </w:rPr>
        <w:t> je štátna nemocnica v zriaďovateľskej pôsobnosti Ministerstva zdravotníctva Slovenskej republiky. Je</w:t>
      </w:r>
      <w:r w:rsidRPr="007B7154">
        <w:rPr>
          <w:rStyle w:val="Siln"/>
          <w:rFonts w:ascii="Century Gothic" w:hAnsi="Century Gothic" w:cs="Arial"/>
          <w:color w:val="3E3E3E"/>
          <w:sz w:val="22"/>
          <w:szCs w:val="22"/>
        </w:rPr>
        <w:t> tretia najväčšia fakultná nemocnica na Slovensku</w:t>
      </w:r>
      <w:r w:rsidRPr="007B7154">
        <w:rPr>
          <w:rFonts w:ascii="Century Gothic" w:hAnsi="Century Gothic" w:cs="Arial"/>
          <w:b/>
          <w:color w:val="3E3E3E"/>
          <w:sz w:val="22"/>
          <w:szCs w:val="22"/>
        </w:rPr>
        <w:t>.</w:t>
      </w:r>
      <w:r w:rsidRPr="007B7154">
        <w:rPr>
          <w:rFonts w:ascii="Century Gothic" w:hAnsi="Century Gothic" w:cs="Arial"/>
          <w:color w:val="3E3E3E"/>
          <w:sz w:val="22"/>
          <w:szCs w:val="22"/>
        </w:rPr>
        <w:t xml:space="preserve"> Zdravotnícke zariadenie prešlo v poslednom období radikálnymi zmenami, modernizáciami a naďalej pokračuje v rozvoji kvality a dostupnosti špičkových odborností s dlhodobou tradíciou.</w:t>
      </w:r>
    </w:p>
    <w:p w14:paraId="7A0F871B" w14:textId="77777777" w:rsidR="007B7154" w:rsidRPr="007B7154" w:rsidRDefault="007B7154" w:rsidP="007B7154">
      <w:pPr>
        <w:pStyle w:val="Normlnywebov"/>
        <w:shd w:val="clear" w:color="auto" w:fill="FFFFFF"/>
        <w:spacing w:before="0" w:beforeAutospacing="0" w:after="0" w:afterAutospacing="0"/>
        <w:jc w:val="both"/>
        <w:rPr>
          <w:rFonts w:ascii="Century Gothic" w:hAnsi="Century Gothic" w:cs="Arial"/>
          <w:color w:val="3E3E3E"/>
          <w:sz w:val="22"/>
          <w:szCs w:val="22"/>
        </w:rPr>
      </w:pPr>
      <w:r w:rsidRPr="007B7154">
        <w:rPr>
          <w:rFonts w:ascii="Century Gothic" w:hAnsi="Century Gothic" w:cs="Arial"/>
          <w:color w:val="3E3E3E"/>
          <w:sz w:val="22"/>
          <w:szCs w:val="22"/>
        </w:rPr>
        <w:t xml:space="preserve">Poslaním </w:t>
      </w:r>
      <w:proofErr w:type="spellStart"/>
      <w:r w:rsidRPr="007B7154">
        <w:rPr>
          <w:rFonts w:ascii="Century Gothic" w:hAnsi="Century Gothic" w:cs="Arial"/>
          <w:color w:val="3E3E3E"/>
          <w:sz w:val="22"/>
          <w:szCs w:val="22"/>
        </w:rPr>
        <w:t>FNsP</w:t>
      </w:r>
      <w:proofErr w:type="spellEnd"/>
      <w:r w:rsidRPr="007B7154">
        <w:rPr>
          <w:rFonts w:ascii="Century Gothic" w:hAnsi="Century Gothic" w:cs="Arial"/>
          <w:color w:val="3E3E3E"/>
          <w:sz w:val="22"/>
          <w:szCs w:val="22"/>
        </w:rPr>
        <w:t xml:space="preserve"> Žilina je prostredníctvom odborného tímu pracovníkov a modernej zdravotníckej techniky poskytovať kvalitnú zdravotnú starostlivosť a komplex služieb v bezpečnom prostredí pre spokojnosť klientov a zamestnancov.</w:t>
      </w:r>
    </w:p>
    <w:p w14:paraId="40BF12AA" w14:textId="77777777" w:rsidR="007B7154" w:rsidRPr="007B7154" w:rsidRDefault="007B7154" w:rsidP="007B7154">
      <w:pPr>
        <w:pStyle w:val="Normlnywebov"/>
        <w:shd w:val="clear" w:color="auto" w:fill="FFFFFF"/>
        <w:spacing w:before="0" w:beforeAutospacing="0" w:after="0" w:afterAutospacing="0"/>
        <w:jc w:val="both"/>
        <w:rPr>
          <w:rFonts w:ascii="Century Gothic" w:hAnsi="Century Gothic" w:cs="Arial"/>
          <w:color w:val="3E3E3E"/>
          <w:sz w:val="22"/>
          <w:szCs w:val="22"/>
        </w:rPr>
      </w:pPr>
    </w:p>
    <w:p w14:paraId="7D3BE756" w14:textId="77777777" w:rsidR="007B7154" w:rsidRPr="007B7154" w:rsidRDefault="007B7154" w:rsidP="007B7154">
      <w:pPr>
        <w:pStyle w:val="Normlnywebov"/>
        <w:shd w:val="clear" w:color="auto" w:fill="FFFFFF"/>
        <w:spacing w:before="0" w:beforeAutospacing="0" w:after="0" w:afterAutospacing="0"/>
        <w:jc w:val="both"/>
        <w:rPr>
          <w:rFonts w:ascii="Century Gothic" w:hAnsi="Century Gothic" w:cs="Arial"/>
          <w:color w:val="3E3E3E"/>
          <w:sz w:val="22"/>
          <w:szCs w:val="22"/>
        </w:rPr>
      </w:pPr>
      <w:proofErr w:type="spellStart"/>
      <w:r w:rsidRPr="007B7154">
        <w:rPr>
          <w:rFonts w:ascii="Century Gothic" w:hAnsi="Century Gothic" w:cs="Arial"/>
          <w:color w:val="3E3E3E"/>
          <w:sz w:val="22"/>
          <w:szCs w:val="22"/>
        </w:rPr>
        <w:t>FNsP</w:t>
      </w:r>
      <w:proofErr w:type="spellEnd"/>
      <w:r w:rsidRPr="007B7154">
        <w:rPr>
          <w:rFonts w:ascii="Century Gothic" w:hAnsi="Century Gothic" w:cs="Arial"/>
          <w:color w:val="3E3E3E"/>
          <w:sz w:val="22"/>
          <w:szCs w:val="22"/>
        </w:rPr>
        <w:t xml:space="preserve"> Žilina zabezpečuje zdravotnú starostlivosť pre </w:t>
      </w:r>
      <w:r w:rsidRPr="007B7154">
        <w:rPr>
          <w:rStyle w:val="Siln"/>
          <w:rFonts w:ascii="Century Gothic" w:hAnsi="Century Gothic" w:cs="Arial"/>
          <w:color w:val="3E3E3E"/>
          <w:sz w:val="22"/>
          <w:szCs w:val="22"/>
        </w:rPr>
        <w:t xml:space="preserve">spádovú oblasť 250 000 obyvateľov </w:t>
      </w:r>
      <w:r w:rsidRPr="007B7154">
        <w:rPr>
          <w:rFonts w:ascii="Century Gothic" w:hAnsi="Century Gothic" w:cs="Arial"/>
          <w:color w:val="3E3E3E"/>
          <w:sz w:val="22"/>
          <w:szCs w:val="22"/>
        </w:rPr>
        <w:t>a to primárne pre okresy Žilina, Bytča a Kysucké Nové Mesto. V nemocnici pracuje</w:t>
      </w:r>
      <w:r w:rsidRPr="007B7154">
        <w:rPr>
          <w:rFonts w:ascii="Century Gothic" w:hAnsi="Century Gothic" w:cs="Arial"/>
          <w:b/>
          <w:color w:val="3E3E3E"/>
          <w:sz w:val="22"/>
          <w:szCs w:val="22"/>
        </w:rPr>
        <w:t> </w:t>
      </w:r>
      <w:r w:rsidRPr="00347B48">
        <w:rPr>
          <w:rStyle w:val="Siln"/>
          <w:rFonts w:ascii="Century Gothic" w:hAnsi="Century Gothic" w:cs="Arial"/>
          <w:b w:val="0"/>
          <w:color w:val="3E3E3E"/>
          <w:sz w:val="22"/>
          <w:szCs w:val="22"/>
        </w:rPr>
        <w:t>viac ako</w:t>
      </w:r>
      <w:r w:rsidRPr="007B7154">
        <w:rPr>
          <w:rStyle w:val="Siln"/>
          <w:rFonts w:ascii="Century Gothic" w:hAnsi="Century Gothic" w:cs="Arial"/>
          <w:color w:val="3E3E3E"/>
          <w:sz w:val="22"/>
          <w:szCs w:val="22"/>
        </w:rPr>
        <w:t xml:space="preserve"> 1900 zdravotníckych a nezdravotníckych zamestnancov</w:t>
      </w:r>
      <w:r w:rsidRPr="007B7154">
        <w:rPr>
          <w:rFonts w:ascii="Century Gothic" w:hAnsi="Century Gothic" w:cs="Arial"/>
          <w:color w:val="3E3E3E"/>
          <w:sz w:val="22"/>
          <w:szCs w:val="22"/>
        </w:rPr>
        <w:t> pôsobiacich v rámci 33 zdravotníckych lôžkových alebo ambulantných oddelení, nemocničnej lekárne vrátane troch verejných výdajní a 17 nezdravotníckych oddelení a referátov.</w:t>
      </w:r>
    </w:p>
    <w:p w14:paraId="7E26B770" w14:textId="77777777" w:rsidR="007B7154" w:rsidRPr="007B7154" w:rsidRDefault="007B7154" w:rsidP="007B7154">
      <w:pPr>
        <w:pStyle w:val="Normlnywebov"/>
        <w:shd w:val="clear" w:color="auto" w:fill="FFFFFF"/>
        <w:spacing w:before="0" w:beforeAutospacing="0" w:after="0" w:afterAutospacing="0"/>
        <w:jc w:val="both"/>
        <w:rPr>
          <w:rFonts w:ascii="Century Gothic" w:hAnsi="Century Gothic" w:cs="Arial"/>
          <w:color w:val="3E3E3E"/>
          <w:sz w:val="22"/>
          <w:szCs w:val="22"/>
        </w:rPr>
      </w:pPr>
    </w:p>
    <w:p w14:paraId="6DB6DB60" w14:textId="2B53DDB9" w:rsidR="007B7154" w:rsidRDefault="007B7154" w:rsidP="009B6A13">
      <w:pPr>
        <w:pStyle w:val="Normlnywebov"/>
        <w:shd w:val="clear" w:color="auto" w:fill="FFFFFF"/>
        <w:spacing w:before="0" w:beforeAutospacing="0" w:after="0" w:afterAutospacing="0"/>
        <w:jc w:val="both"/>
        <w:rPr>
          <w:rFonts w:ascii="Century Gothic" w:hAnsi="Century Gothic" w:cs="Arial"/>
          <w:color w:val="3E3E3E"/>
          <w:sz w:val="22"/>
          <w:szCs w:val="22"/>
        </w:rPr>
      </w:pPr>
      <w:r w:rsidRPr="007B7154">
        <w:rPr>
          <w:rFonts w:ascii="Century Gothic" w:hAnsi="Century Gothic" w:cs="Arial"/>
          <w:color w:val="3E3E3E"/>
          <w:sz w:val="22"/>
          <w:szCs w:val="22"/>
        </w:rPr>
        <w:t>Fakultná nemocnica s poliklinikou Žilina je právnická osoba, ktorá bola zriadená Zriaďovacou listinou Ministerstva zdravotníctva SR zo dňa 9.12.1991 číslo: 3724/1991-A/XIV-1 v znení Rozhodnutia o zmene zriaďovacej listiny zo dňa 18.9</w:t>
      </w:r>
      <w:r w:rsidR="00347B48">
        <w:rPr>
          <w:rFonts w:ascii="Century Gothic" w:hAnsi="Century Gothic" w:cs="Arial"/>
          <w:color w:val="3E3E3E"/>
          <w:sz w:val="22"/>
          <w:szCs w:val="22"/>
        </w:rPr>
        <w:t>.2009 s účinnosťou od 1.10.2009</w:t>
      </w:r>
      <w:r w:rsidRPr="007B7154">
        <w:rPr>
          <w:rFonts w:ascii="Century Gothic" w:hAnsi="Century Gothic" w:cs="Arial"/>
          <w:color w:val="3E3E3E"/>
          <w:sz w:val="22"/>
          <w:szCs w:val="22"/>
        </w:rPr>
        <w:t xml:space="preserve"> ako štátna príspevková organizácia so samostatnou právnou subjektivitou.</w:t>
      </w:r>
    </w:p>
    <w:p w14:paraId="428A40FE" w14:textId="62206DBE" w:rsidR="009B6A13" w:rsidRDefault="009B6A13" w:rsidP="009B6A13">
      <w:pPr>
        <w:pStyle w:val="Normlnywebov"/>
        <w:shd w:val="clear" w:color="auto" w:fill="FFFFFF"/>
        <w:spacing w:before="0" w:beforeAutospacing="0" w:after="0" w:afterAutospacing="0"/>
        <w:jc w:val="both"/>
        <w:rPr>
          <w:rFonts w:ascii="Century Gothic" w:hAnsi="Century Gothic" w:cs="Arial"/>
          <w:color w:val="3E3E3E"/>
          <w:sz w:val="22"/>
          <w:szCs w:val="22"/>
        </w:rPr>
      </w:pPr>
    </w:p>
    <w:p w14:paraId="111F0ABC" w14:textId="55659D7A" w:rsidR="009B6A13" w:rsidRPr="009B6A13" w:rsidRDefault="009B6A13" w:rsidP="009B6A13">
      <w:pPr>
        <w:pStyle w:val="Normlnywebov"/>
        <w:shd w:val="clear" w:color="auto" w:fill="FFFFFF"/>
        <w:spacing w:before="0" w:beforeAutospacing="0" w:after="0" w:afterAutospacing="0"/>
        <w:jc w:val="both"/>
        <w:rPr>
          <w:rFonts w:ascii="Century Gothic" w:hAnsi="Century Gothic" w:cs="Arial"/>
          <w:b/>
          <w:color w:val="3E3E3E"/>
          <w:sz w:val="22"/>
          <w:szCs w:val="22"/>
        </w:rPr>
      </w:pPr>
      <w:r w:rsidRPr="009B6A13">
        <w:rPr>
          <w:rFonts w:ascii="Century Gothic" w:hAnsi="Century Gothic" w:cs="Arial"/>
          <w:b/>
          <w:color w:val="3E3E3E"/>
          <w:sz w:val="22"/>
          <w:szCs w:val="22"/>
        </w:rPr>
        <w:t xml:space="preserve">História nemocnice </w:t>
      </w:r>
    </w:p>
    <w:p w14:paraId="3657264A" w14:textId="77777777" w:rsidR="009B6A13" w:rsidRPr="009B6A13" w:rsidRDefault="009B6A13" w:rsidP="009B6A13">
      <w:pPr>
        <w:pStyle w:val="Normlnywebov"/>
        <w:shd w:val="clear" w:color="auto" w:fill="FFFFFF"/>
        <w:spacing w:before="0" w:beforeAutospacing="0" w:after="0" w:afterAutospacing="0"/>
        <w:jc w:val="both"/>
        <w:rPr>
          <w:rFonts w:ascii="Century Gothic" w:hAnsi="Century Gothic" w:cs="Arial"/>
          <w:color w:val="3E3E3E"/>
          <w:sz w:val="22"/>
          <w:szCs w:val="22"/>
        </w:rPr>
      </w:pPr>
    </w:p>
    <w:p w14:paraId="1B0AE079" w14:textId="77777777"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Žilina patrí medzi najvýznamnejšie mestá Slovenska. Strategická poloha mesta predurčila jeho význam i históriu. Prvá zmienka v historických dokumentoch o meste Žilina je z roku 1312. Prvé záznamy o žilinskom špitáli siahajú do 15. storočia.</w:t>
      </w:r>
      <w:r w:rsidRPr="007B7154">
        <w:rPr>
          <w:rFonts w:ascii="Century Gothic" w:hAnsi="Century Gothic" w:cs="Arial"/>
          <w:color w:val="3E3E3E"/>
          <w:sz w:val="22"/>
          <w:szCs w:val="22"/>
        </w:rPr>
        <w:br/>
      </w:r>
      <w:r w:rsidRPr="007B7154">
        <w:rPr>
          <w:rFonts w:ascii="Century Gothic" w:hAnsi="Century Gothic" w:cs="Arial"/>
          <w:color w:val="3E3E3E"/>
          <w:sz w:val="22"/>
          <w:szCs w:val="22"/>
        </w:rPr>
        <w:br/>
        <w:t>História nemocnice je dlhá, vždy mala dôležitú a pozitívnu úlohu v dejinách mesta a regiónu. Prvé dokumentované správy o žilinskej nemocnici z 15. storočia sú uvedené v "</w:t>
      </w:r>
      <w:proofErr w:type="spellStart"/>
      <w:r w:rsidRPr="007B7154">
        <w:rPr>
          <w:rFonts w:ascii="Century Gothic" w:hAnsi="Century Gothic" w:cs="Arial"/>
          <w:color w:val="3E3E3E"/>
          <w:sz w:val="22"/>
          <w:szCs w:val="22"/>
        </w:rPr>
        <w:t>Historia</w:t>
      </w:r>
      <w:proofErr w:type="spellEnd"/>
      <w:r w:rsidRPr="007B7154">
        <w:rPr>
          <w:rFonts w:ascii="Century Gothic" w:hAnsi="Century Gothic" w:cs="Arial"/>
          <w:color w:val="3E3E3E"/>
          <w:sz w:val="22"/>
          <w:szCs w:val="22"/>
        </w:rPr>
        <w:t xml:space="preserve"> </w:t>
      </w:r>
      <w:proofErr w:type="spellStart"/>
      <w:r w:rsidRPr="007B7154">
        <w:rPr>
          <w:rFonts w:ascii="Century Gothic" w:hAnsi="Century Gothic" w:cs="Arial"/>
          <w:color w:val="3E3E3E"/>
          <w:sz w:val="22"/>
          <w:szCs w:val="22"/>
        </w:rPr>
        <w:t>Civitatis</w:t>
      </w:r>
      <w:proofErr w:type="spellEnd"/>
      <w:r w:rsidRPr="007B7154">
        <w:rPr>
          <w:rFonts w:ascii="Century Gothic" w:hAnsi="Century Gothic" w:cs="Arial"/>
          <w:color w:val="3E3E3E"/>
          <w:sz w:val="22"/>
          <w:szCs w:val="22"/>
        </w:rPr>
        <w:t xml:space="preserve"> </w:t>
      </w:r>
      <w:proofErr w:type="spellStart"/>
      <w:r w:rsidRPr="007B7154">
        <w:rPr>
          <w:rFonts w:ascii="Century Gothic" w:hAnsi="Century Gothic" w:cs="Arial"/>
          <w:color w:val="3E3E3E"/>
          <w:sz w:val="22"/>
          <w:szCs w:val="22"/>
        </w:rPr>
        <w:t>Solna</w:t>
      </w:r>
      <w:proofErr w:type="spellEnd"/>
      <w:r w:rsidRPr="007B7154">
        <w:rPr>
          <w:rFonts w:ascii="Century Gothic" w:hAnsi="Century Gothic" w:cs="Arial"/>
          <w:color w:val="3E3E3E"/>
          <w:sz w:val="22"/>
          <w:szCs w:val="22"/>
        </w:rPr>
        <w:t>". V roku 1841 postavili mestský špitál z občianskych zbierok.</w:t>
      </w:r>
    </w:p>
    <w:p w14:paraId="0B523955" w14:textId="77777777"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 </w:t>
      </w:r>
    </w:p>
    <w:p w14:paraId="6C6E2E45" w14:textId="0A3F7CD4"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 xml:space="preserve">Novodobé dejiny nemocnice v Žiline sa začali písať r.1913, keď rakúsko-uhorská vláda dala súhlas na vybudovanie Uhorskej kráľovskej štátnej očnej nemocnice. Postavili ju v priebehu neuveriteľného jedného roka (v súčasnosti je v tejto budove očné a </w:t>
      </w:r>
      <w:proofErr w:type="spellStart"/>
      <w:r w:rsidRPr="007B7154">
        <w:rPr>
          <w:rFonts w:ascii="Century Gothic" w:hAnsi="Century Gothic" w:cs="Arial"/>
          <w:color w:val="3E3E3E"/>
          <w:sz w:val="22"/>
          <w:szCs w:val="22"/>
        </w:rPr>
        <w:t>otorinolaryngologické</w:t>
      </w:r>
      <w:proofErr w:type="spellEnd"/>
      <w:r w:rsidRPr="007B7154">
        <w:rPr>
          <w:rFonts w:ascii="Century Gothic" w:hAnsi="Century Gothic" w:cs="Arial"/>
          <w:color w:val="3E3E3E"/>
          <w:sz w:val="22"/>
          <w:szCs w:val="22"/>
        </w:rPr>
        <w:t xml:space="preserve"> oddelenie). Pri jej zrode a budovaní, takmer 40 rokov stál žilinský rodák MUDr. Vojtech </w:t>
      </w:r>
      <w:proofErr w:type="spellStart"/>
      <w:r w:rsidRPr="007B7154">
        <w:rPr>
          <w:rFonts w:ascii="Century Gothic" w:hAnsi="Century Gothic" w:cs="Arial"/>
          <w:color w:val="3E3E3E"/>
          <w:sz w:val="22"/>
          <w:szCs w:val="22"/>
        </w:rPr>
        <w:t>Spanyol</w:t>
      </w:r>
      <w:proofErr w:type="spellEnd"/>
      <w:r w:rsidRPr="007B7154">
        <w:rPr>
          <w:rFonts w:ascii="Century Gothic" w:hAnsi="Century Gothic" w:cs="Arial"/>
          <w:color w:val="3E3E3E"/>
          <w:sz w:val="22"/>
          <w:szCs w:val="22"/>
        </w:rPr>
        <w:t xml:space="preserve"> ako riaditeľ a zároveň 48 rokov pôsobil vo funkcii primára očného oddelenia. Ďalšou historickou budovou je kaštieľ v Bytčici, v ktorom </w:t>
      </w:r>
      <w:r w:rsidR="00CD6EDB">
        <w:rPr>
          <w:rFonts w:ascii="Century Gothic" w:hAnsi="Century Gothic" w:cs="Arial"/>
          <w:color w:val="3E3E3E"/>
          <w:sz w:val="22"/>
          <w:szCs w:val="22"/>
        </w:rPr>
        <w:t>bola</w:t>
      </w:r>
      <w:r w:rsidRPr="007B7154">
        <w:rPr>
          <w:rFonts w:ascii="Century Gothic" w:hAnsi="Century Gothic" w:cs="Arial"/>
          <w:color w:val="3E3E3E"/>
          <w:sz w:val="22"/>
          <w:szCs w:val="22"/>
        </w:rPr>
        <w:t xml:space="preserve"> umiestnená časť psychiatrického oddelenia a pre nemocnicu začal slúžiť v roku 1920 ako detská nemocnica. V 30-tých rokoch sa vybudovali chirurgicko-pôrodnícky pavilón, budova prosektúry, infekčný pavilón a hospodárska budova. V povojnových rokoch novo vzniknuté oddelenia (interné, neurologické, tuberkulózy a ďalšie) umiestnili v súkromných vilách v blízkosti nemocnice. V 50-tych rokoch nastal najväčší rozvoj nových oddelení, keď niektoré z nich boli medzi prvými v republike. Súčasný areál sa vybudoval v 60-tych a 70-tych rokoch a oddelenia sa presťahovali do účelových priestorov.</w:t>
      </w:r>
    </w:p>
    <w:p w14:paraId="59F1F657" w14:textId="77777777"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  </w:t>
      </w:r>
    </w:p>
    <w:p w14:paraId="32844963" w14:textId="070ED2DF"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 xml:space="preserve">V 80-tych rokoch boli vybudované pavilóny pre patologicko-anatomické oddelenie, rádioterapeutické a onkologické oddelenie a liečebňa pre dlhodobo chorých. </w:t>
      </w:r>
      <w:proofErr w:type="spellStart"/>
      <w:r w:rsidR="00347B48">
        <w:rPr>
          <w:rFonts w:ascii="Century Gothic" w:hAnsi="Century Gothic" w:cs="Arial"/>
          <w:color w:val="3E3E3E"/>
          <w:sz w:val="22"/>
          <w:szCs w:val="22"/>
        </w:rPr>
        <w:t>FNsP</w:t>
      </w:r>
      <w:proofErr w:type="spellEnd"/>
      <w:r w:rsidR="00347B48">
        <w:rPr>
          <w:rFonts w:ascii="Century Gothic" w:hAnsi="Century Gothic" w:cs="Arial"/>
          <w:color w:val="3E3E3E"/>
          <w:sz w:val="22"/>
          <w:szCs w:val="22"/>
        </w:rPr>
        <w:t xml:space="preserve"> </w:t>
      </w:r>
      <w:r w:rsidR="00347B48">
        <w:rPr>
          <w:rFonts w:ascii="Century Gothic" w:hAnsi="Century Gothic" w:cs="Arial"/>
          <w:color w:val="3E3E3E"/>
          <w:sz w:val="22"/>
          <w:szCs w:val="22"/>
        </w:rPr>
        <w:lastRenderedPageBreak/>
        <w:t>Žilina</w:t>
      </w:r>
      <w:r w:rsidRPr="007B7154">
        <w:rPr>
          <w:rFonts w:ascii="Century Gothic" w:hAnsi="Century Gothic" w:cs="Arial"/>
          <w:color w:val="3E3E3E"/>
          <w:sz w:val="22"/>
          <w:szCs w:val="22"/>
        </w:rPr>
        <w:t xml:space="preserve"> vždy patrila a aj teraz patrí k významným zdravotníckym zariadeniam na Slovensku. Každá etapa budovania nemocnice bola charakterizovaná a ovplyvňovaná dobou a reagovala na spoločenské pomery a potreby. Reformy zdravotnej starostlivosti sa začali aj v žilinskej nemocnici po zásadných politických a ekonomických zmenách v roku 1989.</w:t>
      </w:r>
    </w:p>
    <w:p w14:paraId="18003661" w14:textId="77777777"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br/>
        <w:t xml:space="preserve">V plnom rozsahu bola odštátnená lekárenská služba, v podmienkach nemocnice v jej spádovej oblasti bola odštátnená primárna starostlivosť a následne odborná ambulantná starostlivosť. V zložitej a mnohokrát komplikovanej dobe môžeme dokumentovať kvalitatívny rast a rozvoj, o čom svedčia nové oddelenia - neurochirurgia, detská ortopédia, súdne lekárstvo, klinická farmakológia, nové vysoko špecializované ambulancie - chronická bolesť, neinvazívne metódy, </w:t>
      </w:r>
      <w:proofErr w:type="spellStart"/>
      <w:r w:rsidRPr="007B7154">
        <w:rPr>
          <w:rFonts w:ascii="Century Gothic" w:hAnsi="Century Gothic" w:cs="Arial"/>
          <w:color w:val="3E3E3E"/>
          <w:sz w:val="22"/>
          <w:szCs w:val="22"/>
        </w:rPr>
        <w:t>urogynekológia</w:t>
      </w:r>
      <w:proofErr w:type="spellEnd"/>
      <w:r w:rsidRPr="007B7154">
        <w:rPr>
          <w:rFonts w:ascii="Century Gothic" w:hAnsi="Century Gothic" w:cs="Arial"/>
          <w:color w:val="3E3E3E"/>
          <w:sz w:val="22"/>
          <w:szCs w:val="22"/>
        </w:rPr>
        <w:t xml:space="preserve">, </w:t>
      </w:r>
      <w:proofErr w:type="spellStart"/>
      <w:r w:rsidRPr="007B7154">
        <w:rPr>
          <w:rFonts w:ascii="Century Gothic" w:hAnsi="Century Gothic" w:cs="Arial"/>
          <w:color w:val="3E3E3E"/>
          <w:sz w:val="22"/>
          <w:szCs w:val="22"/>
        </w:rPr>
        <w:t>osteológia</w:t>
      </w:r>
      <w:proofErr w:type="spellEnd"/>
      <w:r w:rsidRPr="007B7154">
        <w:rPr>
          <w:rFonts w:ascii="Century Gothic" w:hAnsi="Century Gothic" w:cs="Arial"/>
          <w:color w:val="3E3E3E"/>
          <w:sz w:val="22"/>
          <w:szCs w:val="22"/>
        </w:rPr>
        <w:t xml:space="preserve"> atď. Desiatky nových liečebných postupov, vyšetrovacích metód‚ ktoré boli zabezpečené novou modernou technikou a technológiou.</w:t>
      </w:r>
    </w:p>
    <w:p w14:paraId="5B32F1CA" w14:textId="00F36B28"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br/>
      </w:r>
      <w:proofErr w:type="spellStart"/>
      <w:r w:rsidR="00347B48">
        <w:rPr>
          <w:rFonts w:ascii="Century Gothic" w:hAnsi="Century Gothic" w:cs="Arial"/>
          <w:color w:val="3E3E3E"/>
          <w:sz w:val="22"/>
          <w:szCs w:val="22"/>
        </w:rPr>
        <w:t>FNsP</w:t>
      </w:r>
      <w:proofErr w:type="spellEnd"/>
      <w:r w:rsidR="00347B48">
        <w:rPr>
          <w:rFonts w:ascii="Century Gothic" w:hAnsi="Century Gothic" w:cs="Arial"/>
          <w:color w:val="3E3E3E"/>
          <w:sz w:val="22"/>
          <w:szCs w:val="22"/>
        </w:rPr>
        <w:t xml:space="preserve"> zachytila</w:t>
      </w:r>
      <w:r w:rsidRPr="007B7154">
        <w:rPr>
          <w:rFonts w:ascii="Century Gothic" w:hAnsi="Century Gothic" w:cs="Arial"/>
          <w:color w:val="3E3E3E"/>
          <w:sz w:val="22"/>
          <w:szCs w:val="22"/>
        </w:rPr>
        <w:t xml:space="preserve"> moderný trend neinvazívnych vyšetrovacích metód, špičkovú úroveň v intenzívnej starostlivosti pri kritických stavoch na jednotkách intenzívnej starostlivosti a na oddelení anestézie a intenzívnej medicíny. Výsledkami liečby</w:t>
      </w:r>
      <w:r w:rsidR="00347B48">
        <w:rPr>
          <w:rFonts w:ascii="Century Gothic" w:hAnsi="Century Gothic" w:cs="Arial"/>
          <w:color w:val="3E3E3E"/>
          <w:sz w:val="22"/>
          <w:szCs w:val="22"/>
        </w:rPr>
        <w:t xml:space="preserve"> onkologických ochorení sa môže nemocnica</w:t>
      </w:r>
      <w:r w:rsidRPr="007B7154">
        <w:rPr>
          <w:rFonts w:ascii="Century Gothic" w:hAnsi="Century Gothic" w:cs="Arial"/>
          <w:color w:val="3E3E3E"/>
          <w:sz w:val="22"/>
          <w:szCs w:val="22"/>
        </w:rPr>
        <w:t xml:space="preserve"> porovnávať s významnými pracoviskami nielen v Slovenskej republike. Úspechmi v chirurgických disciplínach, či už výkony v očnom lekárstve, krčnom lekárstve, urológii, ortopédii, gynekológii, či vlas</w:t>
      </w:r>
      <w:r w:rsidR="00347B48">
        <w:rPr>
          <w:rFonts w:ascii="Century Gothic" w:hAnsi="Century Gothic" w:cs="Arial"/>
          <w:color w:val="3E3E3E"/>
          <w:sz w:val="22"/>
          <w:szCs w:val="22"/>
        </w:rPr>
        <w:t xml:space="preserve">tnej chirurgii sleduje </w:t>
      </w:r>
      <w:proofErr w:type="spellStart"/>
      <w:r w:rsidR="00347B48">
        <w:rPr>
          <w:rFonts w:ascii="Century Gothic" w:hAnsi="Century Gothic" w:cs="Arial"/>
          <w:color w:val="3E3E3E"/>
          <w:sz w:val="22"/>
          <w:szCs w:val="22"/>
        </w:rPr>
        <w:t>FNsP</w:t>
      </w:r>
      <w:proofErr w:type="spellEnd"/>
      <w:r w:rsidR="00347B48">
        <w:rPr>
          <w:rFonts w:ascii="Century Gothic" w:hAnsi="Century Gothic" w:cs="Arial"/>
          <w:color w:val="3E3E3E"/>
          <w:sz w:val="22"/>
          <w:szCs w:val="22"/>
        </w:rPr>
        <w:t xml:space="preserve"> Žilina</w:t>
      </w:r>
      <w:r w:rsidRPr="007B7154">
        <w:rPr>
          <w:rFonts w:ascii="Century Gothic" w:hAnsi="Century Gothic" w:cs="Arial"/>
          <w:color w:val="3E3E3E"/>
          <w:sz w:val="22"/>
          <w:szCs w:val="22"/>
        </w:rPr>
        <w:t xml:space="preserve"> prinajmenšom európsky štandard. Úroveň </w:t>
      </w:r>
      <w:proofErr w:type="spellStart"/>
      <w:r w:rsidRPr="007B7154">
        <w:rPr>
          <w:rFonts w:ascii="Century Gothic" w:hAnsi="Century Gothic" w:cs="Arial"/>
          <w:color w:val="3E3E3E"/>
          <w:sz w:val="22"/>
          <w:szCs w:val="22"/>
        </w:rPr>
        <w:t>paraklinických</w:t>
      </w:r>
      <w:proofErr w:type="spellEnd"/>
      <w:r w:rsidRPr="007B7154">
        <w:rPr>
          <w:rFonts w:ascii="Century Gothic" w:hAnsi="Century Gothic" w:cs="Arial"/>
          <w:color w:val="3E3E3E"/>
          <w:sz w:val="22"/>
          <w:szCs w:val="22"/>
        </w:rPr>
        <w:t xml:space="preserve"> odborov v poslednom období tiež prekonáva búrlivý rozvoj a v súčinnosti s obrovským technologickým rastom dokumentuje nutné investície do prístrojovej techniky. V roku 1997 </w:t>
      </w:r>
      <w:r w:rsidR="00347B48">
        <w:rPr>
          <w:rFonts w:ascii="Century Gothic" w:hAnsi="Century Gothic" w:cs="Arial"/>
          <w:color w:val="3E3E3E"/>
          <w:sz w:val="22"/>
          <w:szCs w:val="22"/>
        </w:rPr>
        <w:t>sa začal</w:t>
      </w:r>
      <w:r w:rsidRPr="007B7154">
        <w:rPr>
          <w:rFonts w:ascii="Century Gothic" w:hAnsi="Century Gothic" w:cs="Arial"/>
          <w:color w:val="3E3E3E"/>
          <w:sz w:val="22"/>
          <w:szCs w:val="22"/>
        </w:rPr>
        <w:t xml:space="preserve"> budovať nemocničný informačný systém. Od zrodu nemocnice sa významne podieľa na jej existencii, modernom rozvoji nielen štát - rezort, ale aj mesto Žilina.</w:t>
      </w:r>
      <w:r w:rsidR="00554317">
        <w:rPr>
          <w:rFonts w:ascii="Century Gothic" w:hAnsi="Century Gothic" w:cs="Arial"/>
          <w:color w:val="3E3E3E"/>
          <w:sz w:val="22"/>
          <w:szCs w:val="22"/>
        </w:rPr>
        <w:t xml:space="preserve"> </w:t>
      </w:r>
    </w:p>
    <w:p w14:paraId="50AD1D55" w14:textId="77777777" w:rsidR="00841DDF" w:rsidRDefault="00841DDF" w:rsidP="00841DDF">
      <w:pPr>
        <w:spacing w:line="240" w:lineRule="auto"/>
        <w:rPr>
          <w:rFonts w:ascii="Century Gothic" w:hAnsi="Century Gothic" w:cstheme="minorHAnsi"/>
          <w:sz w:val="22"/>
          <w:szCs w:val="22"/>
          <w:highlight w:val="cyan"/>
        </w:rPr>
      </w:pPr>
    </w:p>
    <w:p w14:paraId="54FD948D" w14:textId="77777777" w:rsidR="00841DDF" w:rsidRDefault="00841DDF">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29AFF7A1" w14:textId="42B280A2" w:rsidR="007B7154" w:rsidRPr="002679C1" w:rsidRDefault="007B7154" w:rsidP="007B7154">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39" w:name="_Toc145219946"/>
      <w:r w:rsidRPr="002679C1">
        <w:rPr>
          <w:rFonts w:ascii="Century Gothic" w:hAnsi="Century Gothic" w:cs="Calibri Light"/>
          <w:b w:val="0"/>
          <w:bCs w:val="0"/>
          <w:sz w:val="32"/>
          <w:szCs w:val="32"/>
          <w:lang w:eastAsia="en-US"/>
        </w:rPr>
        <w:lastRenderedPageBreak/>
        <w:t>Geografická lokalizácia – spád</w:t>
      </w:r>
      <w:bookmarkEnd w:id="39"/>
      <w:r w:rsidRPr="002679C1">
        <w:rPr>
          <w:rFonts w:ascii="Century Gothic" w:hAnsi="Century Gothic" w:cs="Calibri Light"/>
          <w:b w:val="0"/>
          <w:bCs w:val="0"/>
          <w:sz w:val="32"/>
          <w:szCs w:val="32"/>
          <w:lang w:eastAsia="en-US"/>
        </w:rPr>
        <w:t xml:space="preserve"> </w:t>
      </w:r>
    </w:p>
    <w:p w14:paraId="5EBB9CC0" w14:textId="77777777" w:rsidR="007B7154" w:rsidRDefault="007B7154" w:rsidP="007B7154">
      <w:pPr>
        <w:pStyle w:val="Odsekzoznamu"/>
        <w:spacing w:line="240" w:lineRule="auto"/>
        <w:ind w:left="360"/>
        <w:rPr>
          <w:rFonts w:ascii="Century Gothic" w:hAnsi="Century Gothic"/>
          <w:b/>
          <w:sz w:val="28"/>
          <w:szCs w:val="28"/>
        </w:rPr>
      </w:pPr>
    </w:p>
    <w:p w14:paraId="5E79539B" w14:textId="77777777" w:rsidR="007B7154" w:rsidRPr="00C72254" w:rsidRDefault="007B7154" w:rsidP="007B7154">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40" w:name="_Toc145219947"/>
      <w:r w:rsidRPr="00C72254">
        <w:rPr>
          <w:rFonts w:ascii="Century Gothic" w:hAnsi="Century Gothic" w:cs="Calibri Light"/>
          <w:b w:val="0"/>
          <w:bCs w:val="0"/>
          <w:color w:val="365F91" w:themeColor="accent1" w:themeShade="BF"/>
          <w:lang w:eastAsia="en-US"/>
        </w:rPr>
        <w:t>Žilinský samosprávny kraj</w:t>
      </w:r>
      <w:bookmarkEnd w:id="40"/>
      <w:r w:rsidRPr="00C72254">
        <w:rPr>
          <w:rFonts w:ascii="Century Gothic" w:hAnsi="Century Gothic" w:cs="Calibri Light"/>
          <w:b w:val="0"/>
          <w:bCs w:val="0"/>
          <w:color w:val="365F91" w:themeColor="accent1" w:themeShade="BF"/>
          <w:lang w:eastAsia="en-US"/>
        </w:rPr>
        <w:t xml:space="preserve"> </w:t>
      </w:r>
    </w:p>
    <w:p w14:paraId="6F8943B0" w14:textId="77777777" w:rsidR="007B7154" w:rsidRPr="00172C77" w:rsidRDefault="007B7154" w:rsidP="007B7154">
      <w:pPr>
        <w:spacing w:line="240" w:lineRule="auto"/>
        <w:rPr>
          <w:rFonts w:ascii="Century Gothic" w:hAnsi="Century Gothic"/>
        </w:rPr>
      </w:pPr>
    </w:p>
    <w:p w14:paraId="7FF6A3BB" w14:textId="77777777" w:rsidR="007B7154" w:rsidRPr="007B7154" w:rsidRDefault="007B7154" w:rsidP="007B7154">
      <w:pPr>
        <w:shd w:val="clear" w:color="auto" w:fill="FFFFFF"/>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Žilinský kraj sa rozkladá v severozápadnej časti Slovenska. Rozlohou 6 808,5 km</w:t>
      </w:r>
      <w:r w:rsidRPr="007B7154">
        <w:rPr>
          <w:rFonts w:ascii="Century Gothic" w:hAnsi="Century Gothic" w:cs="Arial"/>
          <w:color w:val="3E3E3E"/>
          <w:sz w:val="22"/>
          <w:szCs w:val="22"/>
          <w:vertAlign w:val="superscript"/>
        </w:rPr>
        <w:t>2 </w:t>
      </w:r>
      <w:r w:rsidRPr="007B7154">
        <w:rPr>
          <w:rFonts w:ascii="Century Gothic" w:hAnsi="Century Gothic" w:cs="Arial"/>
          <w:color w:val="3E3E3E"/>
          <w:sz w:val="22"/>
          <w:szCs w:val="22"/>
        </w:rPr>
        <w:t>zaberá 13,9 % rozlohy štátu a je tretím najväčším krajom Slovenskej republiky. Severozápadná hranica je súčasne štátnou hranicou s Českou republikou a na severe hraničí s Poľskom. Kraj má spoločné hranice s tromi ďalšími krajmi Slovenska - Trenčianskym, Banskobystrickým a Prešovským. Kraj patrí medzi významné hospodárske regióny s rozvinutým priemyslom poskytujúcim dostatok pracovných príležitostí. V roku 2020 mal 49,4 % ekonomicky aktívnych obyvateľov a miera ekonomickej aktivity dosiahla 58,7 %. Do roku 2019 miera zamestnanosti 20 až 64 ročných dlhodobo mierne rástla a miera nezamestnanosti výraznejšie klesala.</w:t>
      </w:r>
    </w:p>
    <w:p w14:paraId="33F4333F" w14:textId="77777777" w:rsidR="007B7154" w:rsidRPr="007B7154" w:rsidRDefault="007B7154" w:rsidP="007B7154">
      <w:pPr>
        <w:spacing w:line="240" w:lineRule="auto"/>
        <w:rPr>
          <w:rFonts w:ascii="Century Gothic" w:hAnsi="Century Gothic" w:cs="Arial"/>
          <w:color w:val="3E3E3E"/>
          <w:sz w:val="22"/>
          <w:szCs w:val="22"/>
        </w:rPr>
      </w:pPr>
    </w:p>
    <w:p w14:paraId="3A5ECA89" w14:textId="77777777" w:rsidR="007B7154" w:rsidRPr="007B7154" w:rsidRDefault="007B7154" w:rsidP="007B7154">
      <w:pPr>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Počet obyvateľov Žilinského kraja k 31. 12. 2021 dosiahol 689 525 a jeho podiel na slovenskej populácii tvoril 12,7 %. Hustota obyvateľstva na 1 km</w:t>
      </w:r>
      <w:r w:rsidRPr="007B7154">
        <w:rPr>
          <w:rFonts w:ascii="Century Gothic" w:hAnsi="Century Gothic" w:cs="Arial"/>
          <w:color w:val="3E3E3E"/>
          <w:sz w:val="22"/>
          <w:szCs w:val="22"/>
          <w:vertAlign w:val="superscript"/>
        </w:rPr>
        <w:t>2 </w:t>
      </w:r>
      <w:r w:rsidRPr="007B7154">
        <w:rPr>
          <w:rFonts w:ascii="Century Gothic" w:hAnsi="Century Gothic" w:cs="Arial"/>
          <w:color w:val="3E3E3E"/>
          <w:sz w:val="22"/>
          <w:szCs w:val="22"/>
        </w:rPr>
        <w:t>bola 102 obyvateľov. Najhustejšie osídleným okresom bol okres Žilina s priemerom 194 obyvateľov na km</w:t>
      </w:r>
      <w:r w:rsidRPr="007B7154">
        <w:rPr>
          <w:rFonts w:ascii="Century Gothic" w:hAnsi="Century Gothic" w:cs="Arial"/>
          <w:color w:val="3E3E3E"/>
          <w:sz w:val="22"/>
          <w:szCs w:val="22"/>
          <w:vertAlign w:val="superscript"/>
        </w:rPr>
        <w:t>2 </w:t>
      </w:r>
      <w:r w:rsidRPr="007B7154">
        <w:rPr>
          <w:rFonts w:ascii="Century Gothic" w:hAnsi="Century Gothic" w:cs="Arial"/>
          <w:color w:val="3E3E3E"/>
          <w:sz w:val="22"/>
          <w:szCs w:val="22"/>
        </w:rPr>
        <w:t>pred Kysuckým Novým Mestom s priemerom 189 obyvateľov na km</w:t>
      </w:r>
      <w:r w:rsidRPr="007B7154">
        <w:rPr>
          <w:rFonts w:ascii="Century Gothic" w:hAnsi="Century Gothic" w:cs="Arial"/>
          <w:color w:val="3E3E3E"/>
          <w:sz w:val="22"/>
          <w:szCs w:val="22"/>
          <w:vertAlign w:val="superscript"/>
        </w:rPr>
        <w:t>2</w:t>
      </w:r>
      <w:r w:rsidRPr="007B7154">
        <w:rPr>
          <w:rFonts w:ascii="Century Gothic" w:hAnsi="Century Gothic" w:cs="Arial"/>
          <w:color w:val="3E3E3E"/>
          <w:sz w:val="22"/>
          <w:szCs w:val="22"/>
        </w:rPr>
        <w:t>.</w:t>
      </w:r>
    </w:p>
    <w:p w14:paraId="618CAAA8" w14:textId="77777777" w:rsidR="007B7154" w:rsidRDefault="007B7154" w:rsidP="007B7154">
      <w:pPr>
        <w:spacing w:line="240" w:lineRule="auto"/>
        <w:rPr>
          <w:rFonts w:ascii="Century Gothic" w:hAnsi="Century Gothic" w:cs="Arial"/>
          <w:color w:val="3E3E3E"/>
        </w:rPr>
      </w:pPr>
    </w:p>
    <w:p w14:paraId="6C7BD468" w14:textId="1F540F82" w:rsidR="007B7154" w:rsidRDefault="00B45ABE" w:rsidP="007B7154">
      <w:pPr>
        <w:pStyle w:val="Popis"/>
        <w:keepNext/>
        <w:spacing w:before="0" w:after="0" w:line="240" w:lineRule="auto"/>
        <w:rPr>
          <w:rFonts w:ascii="Century Gothic" w:hAnsi="Century Gothic" w:cstheme="minorHAnsi"/>
          <w:b w:val="0"/>
          <w:i/>
        </w:rPr>
      </w:pPr>
      <w:bookmarkStart w:id="41" w:name="_Toc145219853"/>
      <w:r>
        <w:rPr>
          <w:rFonts w:ascii="Century Gothic" w:hAnsi="Century Gothic" w:cstheme="minorHAnsi"/>
          <w:b w:val="0"/>
          <w:i/>
        </w:rPr>
        <w:t>Obrázok</w:t>
      </w:r>
      <w:r w:rsidR="007B7154" w:rsidRPr="001E4BE3">
        <w:rPr>
          <w:rFonts w:ascii="Century Gothic" w:hAnsi="Century Gothic" w:cstheme="minorHAnsi"/>
          <w:b w:val="0"/>
          <w:i/>
        </w:rPr>
        <w:t xml:space="preserve"> </w:t>
      </w:r>
      <w:r>
        <w:rPr>
          <w:rFonts w:ascii="Century Gothic" w:hAnsi="Century Gothic" w:cstheme="minorHAnsi"/>
          <w:b w:val="0"/>
          <w:i/>
        </w:rPr>
        <w:fldChar w:fldCharType="begin"/>
      </w:r>
      <w:r>
        <w:rPr>
          <w:rFonts w:ascii="Century Gothic" w:hAnsi="Century Gothic" w:cstheme="minorHAnsi"/>
          <w:b w:val="0"/>
          <w:i/>
        </w:rPr>
        <w:instrText xml:space="preserve"> SEQ Obrázok \* ARABIC </w:instrText>
      </w:r>
      <w:r>
        <w:rPr>
          <w:rFonts w:ascii="Century Gothic" w:hAnsi="Century Gothic" w:cstheme="minorHAnsi"/>
          <w:b w:val="0"/>
          <w:i/>
        </w:rPr>
        <w:fldChar w:fldCharType="separate"/>
      </w:r>
      <w:r w:rsidR="007D6A44">
        <w:rPr>
          <w:rFonts w:ascii="Century Gothic" w:hAnsi="Century Gothic" w:cstheme="minorHAnsi"/>
          <w:b w:val="0"/>
          <w:i/>
          <w:noProof/>
        </w:rPr>
        <w:t>1</w:t>
      </w:r>
      <w:r>
        <w:rPr>
          <w:rFonts w:ascii="Century Gothic" w:hAnsi="Century Gothic" w:cstheme="minorHAnsi"/>
          <w:b w:val="0"/>
          <w:i/>
        </w:rPr>
        <w:fldChar w:fldCharType="end"/>
      </w:r>
      <w:r w:rsidR="007B7154" w:rsidRPr="001E4BE3">
        <w:rPr>
          <w:rFonts w:ascii="Century Gothic" w:hAnsi="Century Gothic" w:cstheme="minorHAnsi"/>
          <w:b w:val="0"/>
          <w:i/>
        </w:rPr>
        <w:t xml:space="preserve"> </w:t>
      </w:r>
      <w:r w:rsidR="007B7154" w:rsidRPr="004B62AF">
        <w:rPr>
          <w:rFonts w:ascii="Century Gothic" w:hAnsi="Century Gothic" w:cstheme="minorHAnsi"/>
          <w:b w:val="0"/>
          <w:i/>
        </w:rPr>
        <w:t>Hustota obyvateľstva v </w:t>
      </w:r>
      <w:r w:rsidR="007B7154">
        <w:rPr>
          <w:rFonts w:ascii="Century Gothic" w:hAnsi="Century Gothic" w:cstheme="minorHAnsi"/>
          <w:b w:val="0"/>
          <w:i/>
        </w:rPr>
        <w:t>Žilinskom</w:t>
      </w:r>
      <w:r w:rsidR="007B7154" w:rsidRPr="004B62AF">
        <w:rPr>
          <w:rFonts w:ascii="Century Gothic" w:hAnsi="Century Gothic" w:cstheme="minorHAnsi"/>
          <w:b w:val="0"/>
          <w:i/>
        </w:rPr>
        <w:t xml:space="preserve"> kraji</w:t>
      </w:r>
      <w:bookmarkEnd w:id="41"/>
    </w:p>
    <w:p w14:paraId="15AE05CC" w14:textId="49E20305" w:rsidR="00061F90" w:rsidRDefault="00061F90" w:rsidP="007B7154">
      <w:pPr>
        <w:spacing w:line="240" w:lineRule="auto"/>
        <w:rPr>
          <w:rFonts w:ascii="Century Gothic" w:hAnsi="Century Gothic" w:cs="Arial"/>
          <w:color w:val="3E3E3E"/>
        </w:rPr>
      </w:pPr>
      <w:r>
        <w:rPr>
          <w:rFonts w:ascii="Century Gothic" w:hAnsi="Century Gothic" w:cs="Arial"/>
          <w:noProof/>
          <w:color w:val="3E3E3E"/>
        </w:rPr>
        <w:drawing>
          <wp:inline distT="0" distB="0" distL="0" distR="0" wp14:anchorId="3BB2BB65" wp14:editId="14C7A3C2">
            <wp:extent cx="5743575" cy="3019425"/>
            <wp:effectExtent l="0" t="0" r="9525"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575" cy="3019425"/>
                    </a:xfrm>
                    <a:prstGeom prst="rect">
                      <a:avLst/>
                    </a:prstGeom>
                    <a:noFill/>
                    <a:ln>
                      <a:noFill/>
                    </a:ln>
                  </pic:spPr>
                </pic:pic>
              </a:graphicData>
            </a:graphic>
          </wp:inline>
        </w:drawing>
      </w:r>
    </w:p>
    <w:p w14:paraId="760E9A1F" w14:textId="01A5C69F" w:rsidR="007B7154" w:rsidRPr="004B62AF" w:rsidRDefault="007B7154" w:rsidP="007B7154">
      <w:pPr>
        <w:pStyle w:val="Popis"/>
        <w:spacing w:before="0" w:after="0" w:line="240" w:lineRule="auto"/>
        <w:rPr>
          <w:rFonts w:ascii="Century Gothic" w:hAnsi="Century Gothic" w:cstheme="minorHAnsi"/>
          <w:b w:val="0"/>
          <w:i/>
          <w:sz w:val="18"/>
          <w:szCs w:val="18"/>
        </w:rPr>
      </w:pPr>
      <w:r w:rsidRPr="004B62AF">
        <w:rPr>
          <w:rFonts w:ascii="Century Gothic" w:hAnsi="Century Gothic" w:cstheme="minorHAnsi"/>
          <w:b w:val="0"/>
          <w:i/>
          <w:sz w:val="18"/>
          <w:szCs w:val="18"/>
        </w:rPr>
        <w:t xml:space="preserve">Zdroj: </w:t>
      </w:r>
      <w:r w:rsidR="00061F90">
        <w:rPr>
          <w:rFonts w:ascii="Century Gothic" w:hAnsi="Century Gothic" w:cstheme="minorHAnsi"/>
          <w:b w:val="0"/>
          <w:i/>
          <w:sz w:val="18"/>
          <w:szCs w:val="18"/>
        </w:rPr>
        <w:t>Žilinský kraj v číslach 2020</w:t>
      </w:r>
    </w:p>
    <w:p w14:paraId="293B9F2F" w14:textId="77777777" w:rsidR="007B7154" w:rsidRPr="00E25BD4" w:rsidRDefault="007B7154" w:rsidP="007B7154">
      <w:pPr>
        <w:spacing w:line="240" w:lineRule="auto"/>
        <w:rPr>
          <w:rFonts w:ascii="Century Gothic" w:hAnsi="Century Gothic" w:cs="Arial"/>
          <w:color w:val="3E3E3E"/>
        </w:rPr>
      </w:pPr>
    </w:p>
    <w:p w14:paraId="6F5694BB" w14:textId="247A9CEB" w:rsidR="007B7154" w:rsidRPr="007B7154" w:rsidRDefault="007B7154" w:rsidP="007B7154">
      <w:pPr>
        <w:spacing w:line="240" w:lineRule="auto"/>
        <w:rPr>
          <w:rFonts w:ascii="Arial" w:hAnsi="Arial" w:cs="Arial"/>
          <w:color w:val="333333"/>
          <w:sz w:val="22"/>
          <w:szCs w:val="22"/>
        </w:rPr>
      </w:pPr>
      <w:r w:rsidRPr="007B7154">
        <w:rPr>
          <w:rFonts w:ascii="Century Gothic" w:hAnsi="Century Gothic" w:cs="Arial"/>
          <w:color w:val="3E3E3E"/>
          <w:sz w:val="22"/>
          <w:szCs w:val="22"/>
        </w:rPr>
        <w:t>V Žilinskom kraji sa v roku 2020 živonarodilo 7 247 detí a zomrelo 7 342 osôb. Demografický vývoj z posledných piatich rokoch</w:t>
      </w:r>
      <w:r w:rsidR="00347B48">
        <w:rPr>
          <w:rFonts w:ascii="Century Gothic" w:hAnsi="Century Gothic" w:cs="Arial"/>
          <w:color w:val="3E3E3E"/>
          <w:sz w:val="22"/>
          <w:szCs w:val="22"/>
        </w:rPr>
        <w:t>,</w:t>
      </w:r>
      <w:r w:rsidRPr="007B7154">
        <w:rPr>
          <w:rFonts w:ascii="Century Gothic" w:hAnsi="Century Gothic" w:cs="Arial"/>
          <w:color w:val="3E3E3E"/>
          <w:sz w:val="22"/>
          <w:szCs w:val="22"/>
        </w:rPr>
        <w:t xml:space="preserve"> charakterizovaný nevýrazným zrýchľovaním reprodukcie obyvateľstva, sa zvrátil a prišlo k prirodzenému úbytku obyvateľstva. Kraj tradične strácal obyvateľov aj sťahovaním, vysťahovalo sa o 278 osôb viac ako sa prisťahovalo. Podiel obyvateľstva v poproduktívnom veku (65 rokov a viac) prvý raz prevýšil podiel obyvateľstva predproduktívneho veku (0 – 14 roční) o 0,4 percentuálnych</w:t>
      </w:r>
      <w:r>
        <w:rPr>
          <w:rFonts w:ascii="Century Gothic" w:hAnsi="Century Gothic" w:cs="Arial"/>
          <w:color w:val="3E3E3E"/>
        </w:rPr>
        <w:t xml:space="preserve"> </w:t>
      </w:r>
      <w:r w:rsidRPr="007B7154">
        <w:rPr>
          <w:rFonts w:ascii="Century Gothic" w:hAnsi="Century Gothic" w:cs="Arial"/>
          <w:color w:val="3E3E3E"/>
          <w:sz w:val="22"/>
          <w:szCs w:val="22"/>
        </w:rPr>
        <w:t>bodov. Prišlo k procesu demografického starnutia obyvateľov kraja,  index starnutia predstavoval hodnotu 102,5. Produktívna populácia (15 – 64) tvorila 67,9 % a od roku 2015 sa jej podiel každoročne znižoval. Priemerný vek obyvateľov dosiahol 40,8 roka.</w:t>
      </w:r>
      <w:r w:rsidRPr="007B7154">
        <w:rPr>
          <w:rFonts w:ascii="Arial" w:hAnsi="Arial" w:cs="Arial"/>
          <w:color w:val="333333"/>
          <w:sz w:val="22"/>
          <w:szCs w:val="22"/>
        </w:rPr>
        <w:t> </w:t>
      </w:r>
    </w:p>
    <w:p w14:paraId="6794AEC9" w14:textId="77777777" w:rsidR="007B7154" w:rsidRPr="007B7154" w:rsidRDefault="007B7154" w:rsidP="007B7154">
      <w:pPr>
        <w:spacing w:line="240" w:lineRule="auto"/>
        <w:rPr>
          <w:rFonts w:ascii="Arial" w:hAnsi="Arial" w:cs="Arial"/>
          <w:color w:val="333333"/>
          <w:sz w:val="22"/>
          <w:szCs w:val="22"/>
        </w:rPr>
      </w:pPr>
    </w:p>
    <w:p w14:paraId="0198000F" w14:textId="77777777" w:rsidR="007B7154" w:rsidRPr="007B7154" w:rsidRDefault="007B7154" w:rsidP="007B7154">
      <w:pPr>
        <w:pStyle w:val="Normlnywebov"/>
        <w:spacing w:before="0" w:beforeAutospacing="0" w:after="0" w:afterAutospacing="0"/>
        <w:jc w:val="both"/>
        <w:rPr>
          <w:rFonts w:ascii="Century Gothic" w:hAnsi="Century Gothic" w:cs="Arial"/>
          <w:color w:val="3E3E3E"/>
          <w:sz w:val="22"/>
          <w:szCs w:val="22"/>
        </w:rPr>
      </w:pPr>
      <w:r w:rsidRPr="007B7154">
        <w:rPr>
          <w:rFonts w:ascii="Century Gothic" w:hAnsi="Century Gothic" w:cs="Arial"/>
          <w:color w:val="3E3E3E"/>
          <w:sz w:val="22"/>
          <w:szCs w:val="22"/>
        </w:rPr>
        <w:lastRenderedPageBreak/>
        <w:t>Žilinský kraj zahŕňa päť prirodzených historických regiónov Horné Považie, Kysuce, Liptov, Orava a Turiec. Podľa územno-správneho usporiadania v zmysle zákona NR SR č. 221/1996 Z. z. sa Žilinský kraj člení na 11 okresov: Bytča, Čadca, Dolný Kubín, Kysucké Nové Mesto, Liptovský Mikuláš, Martin, Námestovo, Ružomberok, Turčianske Teplice, Tvrdošín a Žilina. V kraji je 315 obcí, z toho 19 so štatútom mesta. Takmer štvrtina obyvateľov kraja žije v troch najväčších mestách – v Žiline, Martine a Liptovskom Mikuláši.</w:t>
      </w:r>
    </w:p>
    <w:p w14:paraId="3F46F8FF" w14:textId="07D3D832" w:rsidR="007B7154" w:rsidRDefault="007B7154" w:rsidP="007B7154">
      <w:pPr>
        <w:pStyle w:val="Normlnywebov"/>
        <w:spacing w:before="0" w:beforeAutospacing="0" w:after="0" w:afterAutospacing="0"/>
        <w:jc w:val="both"/>
        <w:rPr>
          <w:rFonts w:ascii="Century Gothic" w:hAnsi="Century Gothic" w:cs="Arial"/>
          <w:color w:val="3E3E3E"/>
          <w:sz w:val="22"/>
          <w:szCs w:val="22"/>
        </w:rPr>
      </w:pPr>
    </w:p>
    <w:p w14:paraId="0B8347B9" w14:textId="77777777" w:rsidR="00347B48" w:rsidRPr="007B7154" w:rsidRDefault="00347B48" w:rsidP="00347B48">
      <w:pPr>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 xml:space="preserve">Okres Žilina, v ktorom aktuálne žije viac ako 161 tis. obyvateľov je tretím najväčším okresom Slovenska (po Prešove a Nitre) čo sa týka počtu obyvateľov. Ďalšími spádovými okresmi sú okres Bytča s 31 163 obyvateľmi a okres Kysucké Nové Mesto s 32 654 obyvateľmi (k 31.12.2021). </w:t>
      </w:r>
    </w:p>
    <w:p w14:paraId="6519A451" w14:textId="77777777" w:rsidR="00347B48" w:rsidRDefault="00347B48" w:rsidP="007B7154">
      <w:pPr>
        <w:pStyle w:val="Normlnywebov"/>
        <w:spacing w:before="0" w:beforeAutospacing="0" w:after="0" w:afterAutospacing="0"/>
        <w:jc w:val="both"/>
        <w:rPr>
          <w:rFonts w:ascii="Century Gothic" w:hAnsi="Century Gothic" w:cs="Arial"/>
          <w:color w:val="3E3E3E"/>
          <w:sz w:val="22"/>
          <w:szCs w:val="22"/>
        </w:rPr>
      </w:pPr>
    </w:p>
    <w:p w14:paraId="20CB154C" w14:textId="372B7ABC" w:rsidR="007B7154" w:rsidRDefault="007B7154" w:rsidP="007B7154">
      <w:pPr>
        <w:pStyle w:val="Popis"/>
        <w:keepNext/>
        <w:spacing w:before="0" w:after="0" w:line="240" w:lineRule="auto"/>
        <w:rPr>
          <w:rFonts w:ascii="Century Gothic" w:hAnsi="Century Gothic" w:cstheme="minorHAnsi"/>
          <w:b w:val="0"/>
          <w:i/>
        </w:rPr>
      </w:pPr>
      <w:bookmarkStart w:id="42" w:name="_Toc145219904"/>
      <w:r w:rsidRPr="00524CBE">
        <w:rPr>
          <w:rFonts w:ascii="Century Gothic" w:hAnsi="Century Gothic" w:cstheme="minorHAnsi"/>
          <w:b w:val="0"/>
          <w:i/>
        </w:rPr>
        <w:t xml:space="preserve">Tabuľka </w:t>
      </w:r>
      <w:r w:rsidRPr="00524CBE">
        <w:rPr>
          <w:rFonts w:ascii="Century Gothic" w:hAnsi="Century Gothic" w:cstheme="minorHAnsi"/>
          <w:b w:val="0"/>
          <w:i/>
        </w:rPr>
        <w:fldChar w:fldCharType="begin"/>
      </w:r>
      <w:r w:rsidRPr="00524CBE">
        <w:rPr>
          <w:rFonts w:ascii="Century Gothic" w:hAnsi="Century Gothic" w:cstheme="minorHAnsi"/>
          <w:b w:val="0"/>
          <w:i/>
        </w:rPr>
        <w:instrText xml:space="preserve"> SEQ Tabuľka \* ARABIC </w:instrText>
      </w:r>
      <w:r w:rsidRPr="00524CBE">
        <w:rPr>
          <w:rFonts w:ascii="Century Gothic" w:hAnsi="Century Gothic" w:cstheme="minorHAnsi"/>
          <w:b w:val="0"/>
          <w:i/>
        </w:rPr>
        <w:fldChar w:fldCharType="separate"/>
      </w:r>
      <w:r w:rsidR="007D6A44">
        <w:rPr>
          <w:rFonts w:ascii="Century Gothic" w:hAnsi="Century Gothic" w:cstheme="minorHAnsi"/>
          <w:b w:val="0"/>
          <w:i/>
          <w:noProof/>
        </w:rPr>
        <w:t>3</w:t>
      </w:r>
      <w:r w:rsidRPr="00524CBE">
        <w:rPr>
          <w:rFonts w:ascii="Century Gothic" w:hAnsi="Century Gothic" w:cstheme="minorHAnsi"/>
          <w:b w:val="0"/>
          <w:i/>
        </w:rPr>
        <w:fldChar w:fldCharType="end"/>
      </w:r>
      <w:r w:rsidRPr="00524CBE">
        <w:rPr>
          <w:rFonts w:ascii="Century Gothic" w:hAnsi="Century Gothic" w:cstheme="minorHAnsi"/>
          <w:b w:val="0"/>
          <w:i/>
        </w:rPr>
        <w:t xml:space="preserve"> Okresy Žilinského kraja</w:t>
      </w:r>
      <w:bookmarkEnd w:id="42"/>
    </w:p>
    <w:tbl>
      <w:tblPr>
        <w:tblW w:w="4900" w:type="dxa"/>
        <w:jc w:val="center"/>
        <w:tblCellMar>
          <w:left w:w="70" w:type="dxa"/>
          <w:right w:w="70" w:type="dxa"/>
        </w:tblCellMar>
        <w:tblLook w:val="04A0" w:firstRow="1" w:lastRow="0" w:firstColumn="1" w:lastColumn="0" w:noHBand="0" w:noVBand="1"/>
      </w:tblPr>
      <w:tblGrid>
        <w:gridCol w:w="2060"/>
        <w:gridCol w:w="1660"/>
        <w:gridCol w:w="1180"/>
      </w:tblGrid>
      <w:tr w:rsidR="003079F7" w:rsidRPr="003079F7" w14:paraId="764BF1FB" w14:textId="77777777" w:rsidTr="007B16E4">
        <w:trPr>
          <w:trHeight w:val="660"/>
          <w:jc w:val="center"/>
        </w:trPr>
        <w:tc>
          <w:tcPr>
            <w:tcW w:w="2060" w:type="dxa"/>
            <w:tcBorders>
              <w:top w:val="nil"/>
              <w:left w:val="nil"/>
              <w:bottom w:val="nil"/>
              <w:right w:val="nil"/>
            </w:tcBorders>
            <w:shd w:val="clear" w:color="000000" w:fill="595959"/>
            <w:noWrap/>
            <w:vAlign w:val="center"/>
            <w:hideMark/>
          </w:tcPr>
          <w:p w14:paraId="244EBF42" w14:textId="77777777" w:rsidR="003079F7" w:rsidRPr="003079F7" w:rsidRDefault="003079F7" w:rsidP="003079F7">
            <w:pPr>
              <w:spacing w:line="240" w:lineRule="auto"/>
              <w:jc w:val="left"/>
              <w:rPr>
                <w:rFonts w:ascii="Arial Narrow" w:hAnsi="Arial Narrow" w:cs="Calibri"/>
                <w:b/>
                <w:bCs/>
                <w:color w:val="FFFFFF"/>
                <w:sz w:val="20"/>
                <w:szCs w:val="20"/>
              </w:rPr>
            </w:pPr>
            <w:r w:rsidRPr="003079F7">
              <w:rPr>
                <w:rFonts w:ascii="Arial Narrow" w:hAnsi="Arial Narrow" w:cs="Calibri"/>
                <w:b/>
                <w:bCs/>
                <w:color w:val="FFFFFF"/>
                <w:sz w:val="20"/>
                <w:szCs w:val="20"/>
              </w:rPr>
              <w:t>Okres</w:t>
            </w:r>
          </w:p>
        </w:tc>
        <w:tc>
          <w:tcPr>
            <w:tcW w:w="1660" w:type="dxa"/>
            <w:tcBorders>
              <w:top w:val="nil"/>
              <w:left w:val="nil"/>
              <w:bottom w:val="nil"/>
              <w:right w:val="nil"/>
            </w:tcBorders>
            <w:shd w:val="clear" w:color="000000" w:fill="595959"/>
            <w:vAlign w:val="center"/>
            <w:hideMark/>
          </w:tcPr>
          <w:p w14:paraId="7C0C083C"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Počet obyvateľov</w:t>
            </w:r>
          </w:p>
        </w:tc>
        <w:tc>
          <w:tcPr>
            <w:tcW w:w="1180" w:type="dxa"/>
            <w:tcBorders>
              <w:top w:val="nil"/>
              <w:left w:val="nil"/>
              <w:bottom w:val="nil"/>
              <w:right w:val="nil"/>
            </w:tcBorders>
            <w:shd w:val="clear" w:color="000000" w:fill="595959"/>
            <w:vAlign w:val="center"/>
            <w:hideMark/>
          </w:tcPr>
          <w:p w14:paraId="74A4EE03"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Hustota obyvateľstva</w:t>
            </w:r>
          </w:p>
        </w:tc>
      </w:tr>
      <w:tr w:rsidR="003079F7" w:rsidRPr="003079F7" w14:paraId="087F42D4" w14:textId="77777777" w:rsidTr="007B16E4">
        <w:trPr>
          <w:trHeight w:val="300"/>
          <w:jc w:val="center"/>
        </w:trPr>
        <w:tc>
          <w:tcPr>
            <w:tcW w:w="2060" w:type="dxa"/>
            <w:tcBorders>
              <w:top w:val="nil"/>
              <w:left w:val="nil"/>
              <w:bottom w:val="nil"/>
              <w:right w:val="nil"/>
            </w:tcBorders>
            <w:shd w:val="clear" w:color="auto" w:fill="auto"/>
            <w:vAlign w:val="center"/>
            <w:hideMark/>
          </w:tcPr>
          <w:p w14:paraId="5A8F24FD"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Žilina</w:t>
            </w:r>
          </w:p>
        </w:tc>
        <w:tc>
          <w:tcPr>
            <w:tcW w:w="1660" w:type="dxa"/>
            <w:tcBorders>
              <w:top w:val="nil"/>
              <w:left w:val="nil"/>
              <w:bottom w:val="nil"/>
              <w:right w:val="nil"/>
            </w:tcBorders>
            <w:shd w:val="clear" w:color="auto" w:fill="auto"/>
            <w:vAlign w:val="center"/>
            <w:hideMark/>
          </w:tcPr>
          <w:p w14:paraId="408AF30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158 279</w:t>
            </w:r>
          </w:p>
        </w:tc>
        <w:tc>
          <w:tcPr>
            <w:tcW w:w="1180" w:type="dxa"/>
            <w:tcBorders>
              <w:top w:val="nil"/>
              <w:left w:val="nil"/>
              <w:bottom w:val="nil"/>
              <w:right w:val="nil"/>
            </w:tcBorders>
            <w:shd w:val="clear" w:color="auto" w:fill="auto"/>
            <w:vAlign w:val="center"/>
            <w:hideMark/>
          </w:tcPr>
          <w:p w14:paraId="2D9A0359"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194/km</w:t>
            </w:r>
            <w:r w:rsidRPr="003079F7">
              <w:rPr>
                <w:rFonts w:ascii="Arial Narrow" w:hAnsi="Arial Narrow" w:cs="Calibri"/>
                <w:sz w:val="20"/>
                <w:szCs w:val="20"/>
                <w:vertAlign w:val="superscript"/>
              </w:rPr>
              <w:t>2</w:t>
            </w:r>
          </w:p>
        </w:tc>
      </w:tr>
      <w:tr w:rsidR="003079F7" w:rsidRPr="003079F7" w14:paraId="60EF525E" w14:textId="77777777" w:rsidTr="007B16E4">
        <w:trPr>
          <w:trHeight w:val="300"/>
          <w:jc w:val="center"/>
        </w:trPr>
        <w:tc>
          <w:tcPr>
            <w:tcW w:w="2060" w:type="dxa"/>
            <w:tcBorders>
              <w:top w:val="nil"/>
              <w:left w:val="nil"/>
              <w:bottom w:val="nil"/>
              <w:right w:val="nil"/>
            </w:tcBorders>
            <w:shd w:val="clear" w:color="auto" w:fill="auto"/>
            <w:vAlign w:val="center"/>
            <w:hideMark/>
          </w:tcPr>
          <w:p w14:paraId="15337C29"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Bytča</w:t>
            </w:r>
          </w:p>
        </w:tc>
        <w:tc>
          <w:tcPr>
            <w:tcW w:w="1660" w:type="dxa"/>
            <w:tcBorders>
              <w:top w:val="nil"/>
              <w:left w:val="nil"/>
              <w:bottom w:val="nil"/>
              <w:right w:val="nil"/>
            </w:tcBorders>
            <w:shd w:val="clear" w:color="auto" w:fill="auto"/>
            <w:vAlign w:val="center"/>
            <w:hideMark/>
          </w:tcPr>
          <w:p w14:paraId="732EECC2"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30  965</w:t>
            </w:r>
          </w:p>
        </w:tc>
        <w:tc>
          <w:tcPr>
            <w:tcW w:w="1180" w:type="dxa"/>
            <w:tcBorders>
              <w:top w:val="nil"/>
              <w:left w:val="nil"/>
              <w:bottom w:val="nil"/>
              <w:right w:val="nil"/>
            </w:tcBorders>
            <w:shd w:val="clear" w:color="auto" w:fill="auto"/>
            <w:vAlign w:val="center"/>
            <w:hideMark/>
          </w:tcPr>
          <w:p w14:paraId="6A3DD3B2"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110/km</w:t>
            </w:r>
            <w:r w:rsidRPr="003079F7">
              <w:rPr>
                <w:rFonts w:ascii="Arial Narrow" w:hAnsi="Arial Narrow" w:cs="Calibri"/>
                <w:sz w:val="20"/>
                <w:szCs w:val="20"/>
                <w:vertAlign w:val="superscript"/>
              </w:rPr>
              <w:t>2</w:t>
            </w:r>
          </w:p>
        </w:tc>
      </w:tr>
      <w:tr w:rsidR="003079F7" w:rsidRPr="003079F7" w14:paraId="44A5458F" w14:textId="77777777" w:rsidTr="007B16E4">
        <w:trPr>
          <w:trHeight w:val="300"/>
          <w:jc w:val="center"/>
        </w:trPr>
        <w:tc>
          <w:tcPr>
            <w:tcW w:w="2060" w:type="dxa"/>
            <w:tcBorders>
              <w:top w:val="nil"/>
              <w:left w:val="nil"/>
              <w:bottom w:val="nil"/>
              <w:right w:val="nil"/>
            </w:tcBorders>
            <w:shd w:val="clear" w:color="auto" w:fill="auto"/>
            <w:vAlign w:val="center"/>
            <w:hideMark/>
          </w:tcPr>
          <w:p w14:paraId="5837BFE8"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Kysucké /Nové mesto</w:t>
            </w:r>
          </w:p>
        </w:tc>
        <w:tc>
          <w:tcPr>
            <w:tcW w:w="1660" w:type="dxa"/>
            <w:tcBorders>
              <w:top w:val="nil"/>
              <w:left w:val="nil"/>
              <w:bottom w:val="nil"/>
              <w:right w:val="nil"/>
            </w:tcBorders>
            <w:shd w:val="clear" w:color="auto" w:fill="auto"/>
            <w:vAlign w:val="center"/>
            <w:hideMark/>
          </w:tcPr>
          <w:p w14:paraId="6DCA065D"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32 890</w:t>
            </w:r>
          </w:p>
        </w:tc>
        <w:tc>
          <w:tcPr>
            <w:tcW w:w="1180" w:type="dxa"/>
            <w:tcBorders>
              <w:top w:val="nil"/>
              <w:left w:val="nil"/>
              <w:bottom w:val="nil"/>
              <w:right w:val="nil"/>
            </w:tcBorders>
            <w:shd w:val="clear" w:color="auto" w:fill="auto"/>
            <w:vAlign w:val="center"/>
            <w:hideMark/>
          </w:tcPr>
          <w:p w14:paraId="7A630AE1"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190/km</w:t>
            </w:r>
            <w:r w:rsidRPr="003079F7">
              <w:rPr>
                <w:rFonts w:ascii="Arial Narrow" w:hAnsi="Arial Narrow" w:cs="Calibri"/>
                <w:sz w:val="20"/>
                <w:szCs w:val="20"/>
                <w:vertAlign w:val="superscript"/>
              </w:rPr>
              <w:t>2</w:t>
            </w:r>
          </w:p>
        </w:tc>
      </w:tr>
      <w:tr w:rsidR="003079F7" w:rsidRPr="003079F7" w14:paraId="798A2F5C" w14:textId="77777777" w:rsidTr="007B16E4">
        <w:trPr>
          <w:trHeight w:val="300"/>
          <w:jc w:val="center"/>
        </w:trPr>
        <w:tc>
          <w:tcPr>
            <w:tcW w:w="2060" w:type="dxa"/>
            <w:tcBorders>
              <w:top w:val="nil"/>
              <w:left w:val="nil"/>
              <w:bottom w:val="nil"/>
              <w:right w:val="nil"/>
            </w:tcBorders>
            <w:shd w:val="clear" w:color="auto" w:fill="auto"/>
            <w:vAlign w:val="center"/>
            <w:hideMark/>
          </w:tcPr>
          <w:p w14:paraId="136A677A"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Martin</w:t>
            </w:r>
          </w:p>
        </w:tc>
        <w:tc>
          <w:tcPr>
            <w:tcW w:w="1660" w:type="dxa"/>
            <w:tcBorders>
              <w:top w:val="nil"/>
              <w:left w:val="nil"/>
              <w:bottom w:val="nil"/>
              <w:right w:val="nil"/>
            </w:tcBorders>
            <w:shd w:val="clear" w:color="auto" w:fill="auto"/>
            <w:vAlign w:val="center"/>
            <w:hideMark/>
          </w:tcPr>
          <w:p w14:paraId="741075B4"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96 171</w:t>
            </w:r>
          </w:p>
        </w:tc>
        <w:tc>
          <w:tcPr>
            <w:tcW w:w="1180" w:type="dxa"/>
            <w:tcBorders>
              <w:top w:val="nil"/>
              <w:left w:val="nil"/>
              <w:bottom w:val="nil"/>
              <w:right w:val="nil"/>
            </w:tcBorders>
            <w:shd w:val="clear" w:color="auto" w:fill="auto"/>
            <w:vAlign w:val="center"/>
            <w:hideMark/>
          </w:tcPr>
          <w:p w14:paraId="3680780C"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131/km</w:t>
            </w:r>
            <w:r w:rsidRPr="003079F7">
              <w:rPr>
                <w:rFonts w:ascii="Arial Narrow" w:hAnsi="Arial Narrow" w:cs="Calibri"/>
                <w:sz w:val="20"/>
                <w:szCs w:val="20"/>
                <w:vertAlign w:val="superscript"/>
              </w:rPr>
              <w:t>2</w:t>
            </w:r>
          </w:p>
        </w:tc>
      </w:tr>
      <w:tr w:rsidR="003079F7" w:rsidRPr="003079F7" w14:paraId="00B1086D" w14:textId="77777777" w:rsidTr="007B16E4">
        <w:trPr>
          <w:trHeight w:val="300"/>
          <w:jc w:val="center"/>
        </w:trPr>
        <w:tc>
          <w:tcPr>
            <w:tcW w:w="2060" w:type="dxa"/>
            <w:tcBorders>
              <w:top w:val="nil"/>
              <w:left w:val="nil"/>
              <w:bottom w:val="nil"/>
              <w:right w:val="nil"/>
            </w:tcBorders>
            <w:shd w:val="clear" w:color="auto" w:fill="auto"/>
            <w:vAlign w:val="center"/>
            <w:hideMark/>
          </w:tcPr>
          <w:p w14:paraId="4547D5CE"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Turčianske Teplice</w:t>
            </w:r>
          </w:p>
        </w:tc>
        <w:tc>
          <w:tcPr>
            <w:tcW w:w="1660" w:type="dxa"/>
            <w:tcBorders>
              <w:top w:val="nil"/>
              <w:left w:val="nil"/>
              <w:bottom w:val="nil"/>
              <w:right w:val="nil"/>
            </w:tcBorders>
            <w:shd w:val="clear" w:color="auto" w:fill="auto"/>
            <w:vAlign w:val="center"/>
            <w:hideMark/>
          </w:tcPr>
          <w:p w14:paraId="6FE22390"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15 880</w:t>
            </w:r>
          </w:p>
        </w:tc>
        <w:tc>
          <w:tcPr>
            <w:tcW w:w="1180" w:type="dxa"/>
            <w:tcBorders>
              <w:top w:val="nil"/>
              <w:left w:val="nil"/>
              <w:bottom w:val="nil"/>
              <w:right w:val="nil"/>
            </w:tcBorders>
            <w:shd w:val="clear" w:color="auto" w:fill="auto"/>
            <w:vAlign w:val="center"/>
            <w:hideMark/>
          </w:tcPr>
          <w:p w14:paraId="517B4273"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40/km</w:t>
            </w:r>
            <w:r w:rsidRPr="003079F7">
              <w:rPr>
                <w:rFonts w:ascii="Arial Narrow" w:hAnsi="Arial Narrow" w:cs="Calibri"/>
                <w:sz w:val="20"/>
                <w:szCs w:val="20"/>
                <w:vertAlign w:val="superscript"/>
              </w:rPr>
              <w:t>2</w:t>
            </w:r>
          </w:p>
        </w:tc>
      </w:tr>
      <w:tr w:rsidR="003079F7" w:rsidRPr="003079F7" w14:paraId="06531975" w14:textId="77777777" w:rsidTr="007B16E4">
        <w:trPr>
          <w:trHeight w:val="300"/>
          <w:jc w:val="center"/>
        </w:trPr>
        <w:tc>
          <w:tcPr>
            <w:tcW w:w="2060" w:type="dxa"/>
            <w:tcBorders>
              <w:top w:val="nil"/>
              <w:left w:val="nil"/>
              <w:bottom w:val="nil"/>
              <w:right w:val="nil"/>
            </w:tcBorders>
            <w:shd w:val="clear" w:color="auto" w:fill="auto"/>
            <w:vAlign w:val="center"/>
            <w:hideMark/>
          </w:tcPr>
          <w:p w14:paraId="229CFE7D"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Ružomberok</w:t>
            </w:r>
          </w:p>
        </w:tc>
        <w:tc>
          <w:tcPr>
            <w:tcW w:w="1660" w:type="dxa"/>
            <w:tcBorders>
              <w:top w:val="nil"/>
              <w:left w:val="nil"/>
              <w:bottom w:val="nil"/>
              <w:right w:val="nil"/>
            </w:tcBorders>
            <w:shd w:val="clear" w:color="auto" w:fill="auto"/>
            <w:vAlign w:val="center"/>
            <w:hideMark/>
          </w:tcPr>
          <w:p w14:paraId="7BDBC06C"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56 657</w:t>
            </w:r>
          </w:p>
        </w:tc>
        <w:tc>
          <w:tcPr>
            <w:tcW w:w="1180" w:type="dxa"/>
            <w:tcBorders>
              <w:top w:val="nil"/>
              <w:left w:val="nil"/>
              <w:bottom w:val="nil"/>
              <w:right w:val="nil"/>
            </w:tcBorders>
            <w:shd w:val="clear" w:color="auto" w:fill="auto"/>
            <w:vAlign w:val="center"/>
            <w:hideMark/>
          </w:tcPr>
          <w:p w14:paraId="3871F1B9"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88/km</w:t>
            </w:r>
            <w:r w:rsidRPr="003079F7">
              <w:rPr>
                <w:rFonts w:ascii="Arial Narrow" w:hAnsi="Arial Narrow" w:cs="Calibri"/>
                <w:sz w:val="20"/>
                <w:szCs w:val="20"/>
                <w:vertAlign w:val="superscript"/>
              </w:rPr>
              <w:t>2</w:t>
            </w:r>
          </w:p>
        </w:tc>
      </w:tr>
      <w:tr w:rsidR="003079F7" w:rsidRPr="003079F7" w14:paraId="1C4C4407" w14:textId="77777777" w:rsidTr="007B16E4">
        <w:trPr>
          <w:trHeight w:val="300"/>
          <w:jc w:val="center"/>
        </w:trPr>
        <w:tc>
          <w:tcPr>
            <w:tcW w:w="2060" w:type="dxa"/>
            <w:tcBorders>
              <w:top w:val="nil"/>
              <w:left w:val="nil"/>
              <w:bottom w:val="nil"/>
              <w:right w:val="nil"/>
            </w:tcBorders>
            <w:shd w:val="clear" w:color="auto" w:fill="auto"/>
            <w:vAlign w:val="center"/>
            <w:hideMark/>
          </w:tcPr>
          <w:p w14:paraId="3D04496A"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Liptovský Mikuláš</w:t>
            </w:r>
          </w:p>
        </w:tc>
        <w:tc>
          <w:tcPr>
            <w:tcW w:w="1660" w:type="dxa"/>
            <w:tcBorders>
              <w:top w:val="nil"/>
              <w:left w:val="nil"/>
              <w:bottom w:val="nil"/>
              <w:right w:val="nil"/>
            </w:tcBorders>
            <w:shd w:val="clear" w:color="auto" w:fill="auto"/>
            <w:vAlign w:val="center"/>
            <w:hideMark/>
          </w:tcPr>
          <w:p w14:paraId="68812BEA"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72 216</w:t>
            </w:r>
          </w:p>
        </w:tc>
        <w:tc>
          <w:tcPr>
            <w:tcW w:w="1180" w:type="dxa"/>
            <w:tcBorders>
              <w:top w:val="nil"/>
              <w:left w:val="nil"/>
              <w:bottom w:val="nil"/>
              <w:right w:val="nil"/>
            </w:tcBorders>
            <w:shd w:val="clear" w:color="auto" w:fill="auto"/>
            <w:vAlign w:val="center"/>
            <w:hideMark/>
          </w:tcPr>
          <w:p w14:paraId="3E7EA9FE"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54/km</w:t>
            </w:r>
            <w:r w:rsidRPr="003079F7">
              <w:rPr>
                <w:rFonts w:ascii="Arial Narrow" w:hAnsi="Arial Narrow" w:cs="Calibri"/>
                <w:sz w:val="20"/>
                <w:szCs w:val="20"/>
                <w:vertAlign w:val="superscript"/>
              </w:rPr>
              <w:t>2</w:t>
            </w:r>
          </w:p>
        </w:tc>
      </w:tr>
      <w:tr w:rsidR="003079F7" w:rsidRPr="003079F7" w14:paraId="43990DC3" w14:textId="77777777" w:rsidTr="007B16E4">
        <w:trPr>
          <w:trHeight w:val="300"/>
          <w:jc w:val="center"/>
        </w:trPr>
        <w:tc>
          <w:tcPr>
            <w:tcW w:w="2060" w:type="dxa"/>
            <w:tcBorders>
              <w:top w:val="nil"/>
              <w:left w:val="nil"/>
              <w:bottom w:val="nil"/>
              <w:right w:val="nil"/>
            </w:tcBorders>
            <w:shd w:val="clear" w:color="auto" w:fill="auto"/>
            <w:vAlign w:val="center"/>
            <w:hideMark/>
          </w:tcPr>
          <w:p w14:paraId="34DA7059"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Dolný Kubín</w:t>
            </w:r>
          </w:p>
        </w:tc>
        <w:tc>
          <w:tcPr>
            <w:tcW w:w="1660" w:type="dxa"/>
            <w:tcBorders>
              <w:top w:val="nil"/>
              <w:left w:val="nil"/>
              <w:bottom w:val="nil"/>
              <w:right w:val="nil"/>
            </w:tcBorders>
            <w:shd w:val="clear" w:color="auto" w:fill="auto"/>
            <w:vAlign w:val="center"/>
            <w:hideMark/>
          </w:tcPr>
          <w:p w14:paraId="3B14DBD3"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39 417</w:t>
            </w:r>
          </w:p>
        </w:tc>
        <w:tc>
          <w:tcPr>
            <w:tcW w:w="1180" w:type="dxa"/>
            <w:tcBorders>
              <w:top w:val="nil"/>
              <w:left w:val="nil"/>
              <w:bottom w:val="nil"/>
              <w:right w:val="nil"/>
            </w:tcBorders>
            <w:shd w:val="clear" w:color="auto" w:fill="auto"/>
            <w:vAlign w:val="center"/>
            <w:hideMark/>
          </w:tcPr>
          <w:p w14:paraId="2A421129"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80/km</w:t>
            </w:r>
            <w:r w:rsidRPr="003079F7">
              <w:rPr>
                <w:rFonts w:ascii="Arial Narrow" w:hAnsi="Arial Narrow" w:cs="Calibri"/>
                <w:sz w:val="20"/>
                <w:szCs w:val="20"/>
                <w:vertAlign w:val="superscript"/>
              </w:rPr>
              <w:t>2</w:t>
            </w:r>
          </w:p>
        </w:tc>
      </w:tr>
      <w:tr w:rsidR="003079F7" w:rsidRPr="003079F7" w14:paraId="0B292396" w14:textId="77777777" w:rsidTr="007B16E4">
        <w:trPr>
          <w:trHeight w:val="300"/>
          <w:jc w:val="center"/>
        </w:trPr>
        <w:tc>
          <w:tcPr>
            <w:tcW w:w="2060" w:type="dxa"/>
            <w:tcBorders>
              <w:top w:val="nil"/>
              <w:left w:val="nil"/>
              <w:bottom w:val="nil"/>
              <w:right w:val="nil"/>
            </w:tcBorders>
            <w:shd w:val="clear" w:color="auto" w:fill="auto"/>
            <w:vAlign w:val="center"/>
            <w:hideMark/>
          </w:tcPr>
          <w:p w14:paraId="61B1D0B3"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 xml:space="preserve">Čadca </w:t>
            </w:r>
          </w:p>
        </w:tc>
        <w:tc>
          <w:tcPr>
            <w:tcW w:w="1660" w:type="dxa"/>
            <w:tcBorders>
              <w:top w:val="nil"/>
              <w:left w:val="nil"/>
              <w:bottom w:val="nil"/>
              <w:right w:val="nil"/>
            </w:tcBorders>
            <w:shd w:val="clear" w:color="auto" w:fill="auto"/>
            <w:vAlign w:val="center"/>
            <w:hideMark/>
          </w:tcPr>
          <w:p w14:paraId="7DA03B37"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89 952</w:t>
            </w:r>
          </w:p>
        </w:tc>
        <w:tc>
          <w:tcPr>
            <w:tcW w:w="1180" w:type="dxa"/>
            <w:tcBorders>
              <w:top w:val="nil"/>
              <w:left w:val="nil"/>
              <w:bottom w:val="nil"/>
              <w:right w:val="nil"/>
            </w:tcBorders>
            <w:shd w:val="clear" w:color="auto" w:fill="auto"/>
            <w:vAlign w:val="center"/>
            <w:hideMark/>
          </w:tcPr>
          <w:p w14:paraId="070CA52B"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118/km</w:t>
            </w:r>
            <w:r w:rsidRPr="003079F7">
              <w:rPr>
                <w:rFonts w:ascii="Arial Narrow" w:hAnsi="Arial Narrow" w:cs="Calibri"/>
                <w:sz w:val="20"/>
                <w:szCs w:val="20"/>
                <w:vertAlign w:val="superscript"/>
              </w:rPr>
              <w:t>2</w:t>
            </w:r>
          </w:p>
        </w:tc>
      </w:tr>
      <w:tr w:rsidR="003079F7" w:rsidRPr="003079F7" w14:paraId="157AD688" w14:textId="77777777" w:rsidTr="007B16E4">
        <w:trPr>
          <w:trHeight w:val="300"/>
          <w:jc w:val="center"/>
        </w:trPr>
        <w:tc>
          <w:tcPr>
            <w:tcW w:w="2060" w:type="dxa"/>
            <w:tcBorders>
              <w:top w:val="nil"/>
              <w:left w:val="nil"/>
              <w:bottom w:val="nil"/>
              <w:right w:val="nil"/>
            </w:tcBorders>
            <w:shd w:val="clear" w:color="auto" w:fill="auto"/>
            <w:vAlign w:val="center"/>
            <w:hideMark/>
          </w:tcPr>
          <w:p w14:paraId="4446F77A"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Tvrdošín</w:t>
            </w:r>
          </w:p>
        </w:tc>
        <w:tc>
          <w:tcPr>
            <w:tcW w:w="1660" w:type="dxa"/>
            <w:tcBorders>
              <w:top w:val="nil"/>
              <w:left w:val="nil"/>
              <w:bottom w:val="nil"/>
              <w:right w:val="nil"/>
            </w:tcBorders>
            <w:shd w:val="clear" w:color="auto" w:fill="auto"/>
            <w:vAlign w:val="center"/>
            <w:hideMark/>
          </w:tcPr>
          <w:p w14:paraId="7190CFD2"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36 203</w:t>
            </w:r>
          </w:p>
        </w:tc>
        <w:tc>
          <w:tcPr>
            <w:tcW w:w="1180" w:type="dxa"/>
            <w:tcBorders>
              <w:top w:val="nil"/>
              <w:left w:val="nil"/>
              <w:bottom w:val="nil"/>
              <w:right w:val="nil"/>
            </w:tcBorders>
            <w:shd w:val="clear" w:color="auto" w:fill="auto"/>
            <w:vAlign w:val="center"/>
            <w:hideMark/>
          </w:tcPr>
          <w:p w14:paraId="5B81969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76/km</w:t>
            </w:r>
            <w:r w:rsidRPr="003079F7">
              <w:rPr>
                <w:rFonts w:ascii="Arial Narrow" w:hAnsi="Arial Narrow" w:cs="Calibri"/>
                <w:sz w:val="20"/>
                <w:szCs w:val="20"/>
                <w:vertAlign w:val="superscript"/>
              </w:rPr>
              <w:t>2</w:t>
            </w:r>
          </w:p>
        </w:tc>
      </w:tr>
      <w:tr w:rsidR="003079F7" w:rsidRPr="003079F7" w14:paraId="748955C1" w14:textId="77777777" w:rsidTr="007B16E4">
        <w:trPr>
          <w:trHeight w:val="300"/>
          <w:jc w:val="center"/>
        </w:trPr>
        <w:tc>
          <w:tcPr>
            <w:tcW w:w="2060" w:type="dxa"/>
            <w:tcBorders>
              <w:top w:val="nil"/>
              <w:left w:val="nil"/>
              <w:bottom w:val="nil"/>
              <w:right w:val="nil"/>
            </w:tcBorders>
            <w:shd w:val="clear" w:color="auto" w:fill="auto"/>
            <w:vAlign w:val="center"/>
            <w:hideMark/>
          </w:tcPr>
          <w:p w14:paraId="2484D14F"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Námestovo</w:t>
            </w:r>
          </w:p>
        </w:tc>
        <w:tc>
          <w:tcPr>
            <w:tcW w:w="1660" w:type="dxa"/>
            <w:tcBorders>
              <w:top w:val="nil"/>
              <w:left w:val="nil"/>
              <w:bottom w:val="nil"/>
              <w:right w:val="nil"/>
            </w:tcBorders>
            <w:shd w:val="clear" w:color="auto" w:fill="auto"/>
            <w:vAlign w:val="center"/>
            <w:hideMark/>
          </w:tcPr>
          <w:p w14:paraId="165E9C7E"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62 879</w:t>
            </w:r>
          </w:p>
        </w:tc>
        <w:tc>
          <w:tcPr>
            <w:tcW w:w="1180" w:type="dxa"/>
            <w:tcBorders>
              <w:top w:val="nil"/>
              <w:left w:val="nil"/>
              <w:bottom w:val="nil"/>
              <w:right w:val="nil"/>
            </w:tcBorders>
            <w:shd w:val="clear" w:color="auto" w:fill="auto"/>
            <w:vAlign w:val="center"/>
            <w:hideMark/>
          </w:tcPr>
          <w:p w14:paraId="46A64A9D"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91/km</w:t>
            </w:r>
            <w:r w:rsidRPr="003079F7">
              <w:rPr>
                <w:rFonts w:ascii="Arial Narrow" w:hAnsi="Arial Narrow" w:cs="Calibri"/>
                <w:sz w:val="20"/>
                <w:szCs w:val="20"/>
                <w:vertAlign w:val="superscript"/>
              </w:rPr>
              <w:t>2</w:t>
            </w:r>
          </w:p>
        </w:tc>
      </w:tr>
    </w:tbl>
    <w:p w14:paraId="43B055D2" w14:textId="2ACE9D86" w:rsidR="00704FCC" w:rsidRDefault="007B7154" w:rsidP="007B7154">
      <w:pPr>
        <w:pStyle w:val="Popis"/>
        <w:spacing w:before="0" w:after="0" w:line="240" w:lineRule="auto"/>
        <w:rPr>
          <w:rFonts w:ascii="Century Gothic" w:hAnsi="Century Gothic" w:cstheme="minorHAnsi"/>
          <w:b w:val="0"/>
          <w:i/>
          <w:sz w:val="18"/>
          <w:szCs w:val="18"/>
        </w:rPr>
      </w:pPr>
      <w:r w:rsidRPr="00524CBE">
        <w:rPr>
          <w:rFonts w:ascii="Century Gothic" w:hAnsi="Century Gothic" w:cstheme="minorHAnsi"/>
          <w:b w:val="0"/>
          <w:i/>
          <w:sz w:val="18"/>
          <w:szCs w:val="18"/>
        </w:rPr>
        <w:t xml:space="preserve">Zdroj. </w:t>
      </w:r>
      <w:r w:rsidR="009B0B79">
        <w:rPr>
          <w:rFonts w:ascii="Century Gothic" w:hAnsi="Century Gothic" w:cstheme="minorHAnsi"/>
          <w:b w:val="0"/>
          <w:i/>
          <w:sz w:val="18"/>
          <w:szCs w:val="18"/>
        </w:rPr>
        <w:t>Žilinský kraj v číslach 2020, stav k 31.12.2019</w:t>
      </w:r>
    </w:p>
    <w:p w14:paraId="31108656" w14:textId="77777777" w:rsidR="007B7154" w:rsidRDefault="007B7154" w:rsidP="007B7154">
      <w:pPr>
        <w:spacing w:line="240" w:lineRule="auto"/>
        <w:rPr>
          <w:rFonts w:ascii="Century Gothic" w:hAnsi="Century Gothic" w:cs="Arial"/>
          <w:color w:val="3E3E3E"/>
        </w:rPr>
      </w:pPr>
    </w:p>
    <w:p w14:paraId="61FE59FF" w14:textId="77777777" w:rsidR="007B7154" w:rsidRPr="007B7154" w:rsidRDefault="007B7154" w:rsidP="007B7154">
      <w:pPr>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Projekt novej nemocnice a s ním spojené investície sa viažu na mesto Žilina. Mesto Žilina je s takmer 83 tis. obyvateľmi štvrtým najväčším mestom v SR. Je administratívnym, hospodárskym, dopravným a kultúrnym centrom severozápadného </w:t>
      </w:r>
      <w:hyperlink r:id="rId14" w:history="1">
        <w:r w:rsidRPr="007B7154">
          <w:rPr>
            <w:rFonts w:ascii="Century Gothic" w:hAnsi="Century Gothic"/>
            <w:color w:val="3E3E3E"/>
            <w:sz w:val="22"/>
            <w:szCs w:val="22"/>
          </w:rPr>
          <w:t>Slovenska</w:t>
        </w:r>
      </w:hyperlink>
      <w:r w:rsidRPr="007B7154">
        <w:rPr>
          <w:rFonts w:ascii="Century Gothic" w:hAnsi="Century Gothic" w:cs="Arial"/>
          <w:color w:val="3E3E3E"/>
          <w:sz w:val="22"/>
          <w:szCs w:val="22"/>
        </w:rPr>
        <w:t xml:space="preserve">. </w:t>
      </w:r>
    </w:p>
    <w:p w14:paraId="75CF73C9" w14:textId="77777777" w:rsidR="007B7154" w:rsidRPr="007B7154" w:rsidRDefault="007B7154" w:rsidP="007B7154">
      <w:pPr>
        <w:spacing w:line="240" w:lineRule="auto"/>
        <w:rPr>
          <w:rFonts w:ascii="Century Gothic" w:hAnsi="Century Gothic" w:cs="Arial"/>
          <w:color w:val="3E3E3E"/>
          <w:sz w:val="22"/>
          <w:szCs w:val="22"/>
        </w:rPr>
      </w:pPr>
    </w:p>
    <w:p w14:paraId="3299D24B" w14:textId="0969F5FD" w:rsidR="007B7154" w:rsidRPr="007B7154" w:rsidRDefault="007B7154" w:rsidP="007B7154">
      <w:pPr>
        <w:spacing w:line="240" w:lineRule="auto"/>
        <w:rPr>
          <w:rFonts w:ascii="Century Gothic" w:hAnsi="Century Gothic" w:cs="Arial"/>
          <w:color w:val="3E3E3E"/>
          <w:sz w:val="22"/>
          <w:szCs w:val="22"/>
        </w:rPr>
      </w:pPr>
      <w:r w:rsidRPr="007B7154">
        <w:rPr>
          <w:rFonts w:ascii="Century Gothic" w:hAnsi="Century Gothic" w:cs="Arial"/>
          <w:color w:val="3E3E3E"/>
          <w:sz w:val="22"/>
          <w:szCs w:val="22"/>
        </w:rPr>
        <w:t xml:space="preserve">Z hľadiska dopravnej dostupnosti je južná časť pomerne dobre zabezpečená, kedy po </w:t>
      </w:r>
      <w:proofErr w:type="spellStart"/>
      <w:r w:rsidRPr="007B7154">
        <w:rPr>
          <w:rFonts w:ascii="Century Gothic" w:hAnsi="Century Gothic" w:cs="Arial"/>
          <w:color w:val="3E3E3E"/>
          <w:sz w:val="22"/>
          <w:szCs w:val="22"/>
        </w:rPr>
        <w:t>tangenciále</w:t>
      </w:r>
      <w:proofErr w:type="spellEnd"/>
      <w:r w:rsidRPr="007B7154">
        <w:rPr>
          <w:rFonts w:ascii="Century Gothic" w:hAnsi="Century Gothic" w:cs="Arial"/>
          <w:color w:val="3E3E3E"/>
          <w:sz w:val="22"/>
          <w:szCs w:val="22"/>
        </w:rPr>
        <w:t xml:space="preserve"> Žilina-Ružomberok-Liptovský Mikuláš prebieha tak vlaková ako aj cestná infraštruktúra. Nedokončená diaľnica D1 (tunel Višňové) však akoby rozdeľuje kraj na dve polovice po Strečno a od Strečna. Zároveň cestný ťah Žilina-Čadca-Poľsko je dlhodobo jedným z najproblematickejších úsekov v SR. </w:t>
      </w:r>
    </w:p>
    <w:p w14:paraId="796CDD75" w14:textId="77777777" w:rsidR="007B7154" w:rsidRDefault="007B7154" w:rsidP="007B7154">
      <w:pPr>
        <w:spacing w:line="240" w:lineRule="auto"/>
        <w:rPr>
          <w:rFonts w:ascii="Century Gothic" w:hAnsi="Century Gothic" w:cs="Arial"/>
          <w:color w:val="3E3E3E"/>
        </w:rPr>
      </w:pPr>
    </w:p>
    <w:p w14:paraId="6078D48D" w14:textId="77777777" w:rsidR="007B7154" w:rsidRPr="00FB6BF8" w:rsidRDefault="007B7154" w:rsidP="007B7154">
      <w:pPr>
        <w:spacing w:line="240" w:lineRule="auto"/>
        <w:rPr>
          <w:rFonts w:ascii="Century Gothic" w:hAnsi="Century Gothic" w:cs="Arial"/>
          <w:b/>
          <w:color w:val="3E3E3E"/>
          <w:sz w:val="22"/>
          <w:szCs w:val="22"/>
        </w:rPr>
      </w:pPr>
      <w:r w:rsidRPr="00FB6BF8">
        <w:rPr>
          <w:rFonts w:ascii="Century Gothic" w:hAnsi="Century Gothic" w:cs="Arial"/>
          <w:b/>
          <w:color w:val="3E3E3E"/>
          <w:sz w:val="22"/>
          <w:szCs w:val="22"/>
        </w:rPr>
        <w:t>Demografický vývoj do roku 2045</w:t>
      </w:r>
    </w:p>
    <w:p w14:paraId="167F1997" w14:textId="77777777" w:rsidR="007B7154" w:rsidRPr="00B3045A" w:rsidRDefault="007B7154" w:rsidP="007B7154">
      <w:pPr>
        <w:spacing w:line="240" w:lineRule="auto"/>
        <w:rPr>
          <w:rFonts w:ascii="Century Gothic" w:hAnsi="Century Gothic" w:cs="Arial"/>
          <w:b/>
          <w:color w:val="3E3E3E"/>
        </w:rPr>
      </w:pPr>
    </w:p>
    <w:p w14:paraId="25056CB4" w14:textId="2376FC40" w:rsidR="007B7154" w:rsidRPr="00FB6BF8" w:rsidRDefault="007B7154" w:rsidP="007B7154">
      <w:pPr>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 xml:space="preserve">V roku 2045 by mal byť počet obyvateľov Žilinského kraja 669 962 , čo je o približne 20 000 osôb menej </w:t>
      </w:r>
      <w:r w:rsidR="007756C0">
        <w:rPr>
          <w:rFonts w:ascii="Century Gothic" w:hAnsi="Century Gothic" w:cs="Arial"/>
          <w:color w:val="3E3E3E"/>
          <w:sz w:val="22"/>
          <w:szCs w:val="22"/>
        </w:rPr>
        <w:t>ako v súčasnosti. Okres Žilina</w:t>
      </w:r>
      <w:r w:rsidRPr="00FB6BF8">
        <w:rPr>
          <w:rFonts w:ascii="Century Gothic" w:hAnsi="Century Gothic" w:cs="Arial"/>
          <w:color w:val="3E3E3E"/>
          <w:sz w:val="22"/>
          <w:szCs w:val="22"/>
        </w:rPr>
        <w:t xml:space="preserve"> by mal mať v roku 2045 155 498 obyvateľov čo je približne o 5500 menej ako v súčasnosti. Priemerný vek obyvateľstva sa bude postupne zvyšovať zo súčasných 39,54 rokov v roku 2020 na 46,90 rokov v roku 2045. </w:t>
      </w:r>
    </w:p>
    <w:p w14:paraId="496D8F62" w14:textId="77777777" w:rsidR="00347B48" w:rsidRDefault="00347B48" w:rsidP="007B7154">
      <w:pPr>
        <w:pStyle w:val="Popis"/>
        <w:spacing w:before="0" w:after="0" w:line="240" w:lineRule="auto"/>
        <w:jc w:val="both"/>
        <w:rPr>
          <w:rFonts w:ascii="Century Gothic" w:hAnsi="Century Gothic" w:cstheme="minorHAnsi"/>
          <w:b w:val="0"/>
          <w:i/>
        </w:rPr>
      </w:pPr>
      <w:bookmarkStart w:id="43" w:name="_Toc112041787"/>
    </w:p>
    <w:p w14:paraId="12118E15" w14:textId="77777777" w:rsidR="00347B48" w:rsidRDefault="00347B48" w:rsidP="007B7154">
      <w:pPr>
        <w:pStyle w:val="Popis"/>
        <w:spacing w:before="0" w:after="0" w:line="240" w:lineRule="auto"/>
        <w:jc w:val="both"/>
        <w:rPr>
          <w:rFonts w:ascii="Century Gothic" w:hAnsi="Century Gothic" w:cstheme="minorHAnsi"/>
          <w:b w:val="0"/>
          <w:i/>
        </w:rPr>
      </w:pPr>
    </w:p>
    <w:p w14:paraId="2E7DA5C4" w14:textId="77777777" w:rsidR="00347B48" w:rsidRDefault="00347B48" w:rsidP="007B7154">
      <w:pPr>
        <w:pStyle w:val="Popis"/>
        <w:spacing w:before="0" w:after="0" w:line="240" w:lineRule="auto"/>
        <w:jc w:val="both"/>
        <w:rPr>
          <w:rFonts w:ascii="Century Gothic" w:hAnsi="Century Gothic" w:cstheme="minorHAnsi"/>
          <w:b w:val="0"/>
          <w:i/>
        </w:rPr>
      </w:pPr>
    </w:p>
    <w:p w14:paraId="07A39EB2" w14:textId="3B3EA418" w:rsidR="007B7154" w:rsidRPr="00C66085" w:rsidRDefault="007B7154" w:rsidP="007B7154">
      <w:pPr>
        <w:pStyle w:val="Popis"/>
        <w:spacing w:before="0" w:after="0" w:line="240" w:lineRule="auto"/>
        <w:jc w:val="both"/>
        <w:rPr>
          <w:rFonts w:ascii="Century Gothic" w:hAnsi="Century Gothic" w:cstheme="minorHAnsi"/>
          <w:b w:val="0"/>
          <w:i/>
        </w:rPr>
      </w:pPr>
      <w:bookmarkStart w:id="44" w:name="_Toc145219905"/>
      <w:r w:rsidRPr="00C66085">
        <w:rPr>
          <w:rFonts w:ascii="Century Gothic" w:hAnsi="Century Gothic" w:cstheme="minorHAnsi"/>
          <w:b w:val="0"/>
          <w:i/>
        </w:rPr>
        <w:lastRenderedPageBreak/>
        <w:t xml:space="preserve">Tabuľka </w:t>
      </w:r>
      <w:r w:rsidRPr="00C66085">
        <w:rPr>
          <w:rFonts w:ascii="Century Gothic" w:hAnsi="Century Gothic" w:cstheme="minorHAnsi"/>
          <w:b w:val="0"/>
          <w:i/>
        </w:rPr>
        <w:fldChar w:fldCharType="begin"/>
      </w:r>
      <w:r w:rsidRPr="00C66085">
        <w:rPr>
          <w:rFonts w:ascii="Century Gothic" w:hAnsi="Century Gothic" w:cstheme="minorHAnsi"/>
          <w:b w:val="0"/>
          <w:i/>
        </w:rPr>
        <w:instrText xml:space="preserve"> SEQ Tabuľka \* ARABIC </w:instrText>
      </w:r>
      <w:r w:rsidRPr="00C66085">
        <w:rPr>
          <w:rFonts w:ascii="Century Gothic" w:hAnsi="Century Gothic" w:cstheme="minorHAnsi"/>
          <w:b w:val="0"/>
          <w:i/>
        </w:rPr>
        <w:fldChar w:fldCharType="separate"/>
      </w:r>
      <w:r w:rsidR="007D6A44">
        <w:rPr>
          <w:rFonts w:ascii="Century Gothic" w:hAnsi="Century Gothic" w:cstheme="minorHAnsi"/>
          <w:b w:val="0"/>
          <w:i/>
          <w:noProof/>
        </w:rPr>
        <w:t>4</w:t>
      </w:r>
      <w:r w:rsidRPr="00C66085">
        <w:rPr>
          <w:rFonts w:ascii="Century Gothic" w:hAnsi="Century Gothic" w:cstheme="minorHAnsi"/>
          <w:b w:val="0"/>
          <w:i/>
        </w:rPr>
        <w:fldChar w:fldCharType="end"/>
      </w:r>
      <w:r>
        <w:rPr>
          <w:rFonts w:ascii="Century Gothic" w:hAnsi="Century Gothic" w:cstheme="minorHAnsi"/>
          <w:b w:val="0"/>
          <w:i/>
        </w:rPr>
        <w:t xml:space="preserve"> </w:t>
      </w:r>
      <w:r w:rsidRPr="00C66085">
        <w:rPr>
          <w:rFonts w:ascii="Century Gothic" w:hAnsi="Century Gothic" w:cstheme="minorHAnsi"/>
          <w:b w:val="0"/>
          <w:i/>
        </w:rPr>
        <w:t xml:space="preserve">Percentuálne rozdelenie vekovej štruktúry obyvateľstva v </w:t>
      </w:r>
      <w:r>
        <w:rPr>
          <w:rFonts w:ascii="Century Gothic" w:hAnsi="Century Gothic" w:cstheme="minorHAnsi"/>
          <w:b w:val="0"/>
          <w:i/>
        </w:rPr>
        <w:t>Žilinskom</w:t>
      </w:r>
      <w:r w:rsidRPr="00C66085">
        <w:rPr>
          <w:rFonts w:ascii="Century Gothic" w:hAnsi="Century Gothic" w:cstheme="minorHAnsi"/>
          <w:b w:val="0"/>
          <w:i/>
        </w:rPr>
        <w:t xml:space="preserve"> kraji</w:t>
      </w:r>
      <w:bookmarkEnd w:id="43"/>
      <w:bookmarkEnd w:id="44"/>
    </w:p>
    <w:tbl>
      <w:tblPr>
        <w:tblW w:w="6160" w:type="dxa"/>
        <w:jc w:val="center"/>
        <w:tblCellMar>
          <w:left w:w="70" w:type="dxa"/>
          <w:right w:w="70" w:type="dxa"/>
        </w:tblCellMar>
        <w:tblLook w:val="04A0" w:firstRow="1" w:lastRow="0" w:firstColumn="1" w:lastColumn="0" w:noHBand="0" w:noVBand="1"/>
      </w:tblPr>
      <w:tblGrid>
        <w:gridCol w:w="3280"/>
        <w:gridCol w:w="960"/>
        <w:gridCol w:w="960"/>
        <w:gridCol w:w="960"/>
      </w:tblGrid>
      <w:tr w:rsidR="003079F7" w:rsidRPr="003079F7" w14:paraId="256A25D4" w14:textId="77777777" w:rsidTr="007B16E4">
        <w:trPr>
          <w:trHeight w:val="300"/>
          <w:jc w:val="center"/>
        </w:trPr>
        <w:tc>
          <w:tcPr>
            <w:tcW w:w="3280" w:type="dxa"/>
            <w:tcBorders>
              <w:top w:val="nil"/>
              <w:left w:val="nil"/>
              <w:bottom w:val="nil"/>
              <w:right w:val="nil"/>
            </w:tcBorders>
            <w:shd w:val="clear" w:color="000000" w:fill="595959" w:themeFill="text1" w:themeFillTint="A6"/>
            <w:noWrap/>
            <w:vAlign w:val="center"/>
            <w:hideMark/>
          </w:tcPr>
          <w:p w14:paraId="2AC7F56F" w14:textId="77777777" w:rsidR="003079F7" w:rsidRPr="003079F7" w:rsidRDefault="003079F7" w:rsidP="003079F7">
            <w:pPr>
              <w:spacing w:line="240" w:lineRule="auto"/>
              <w:jc w:val="left"/>
              <w:rPr>
                <w:rFonts w:ascii="Arial Narrow" w:hAnsi="Arial Narrow" w:cs="Calibri"/>
                <w:b/>
                <w:bCs/>
                <w:color w:val="FFFFFF"/>
                <w:sz w:val="20"/>
                <w:szCs w:val="20"/>
              </w:rPr>
            </w:pPr>
            <w:r w:rsidRPr="003079F7">
              <w:rPr>
                <w:rFonts w:ascii="Arial Narrow" w:hAnsi="Arial Narrow" w:cs="Calibri"/>
                <w:b/>
                <w:bCs/>
                <w:color w:val="FFFFFF"/>
                <w:sz w:val="20"/>
                <w:szCs w:val="20"/>
              </w:rPr>
              <w:t>Žilinský kraj</w:t>
            </w:r>
          </w:p>
        </w:tc>
        <w:tc>
          <w:tcPr>
            <w:tcW w:w="960" w:type="dxa"/>
            <w:tcBorders>
              <w:top w:val="nil"/>
              <w:left w:val="nil"/>
              <w:bottom w:val="nil"/>
              <w:right w:val="nil"/>
            </w:tcBorders>
            <w:shd w:val="clear" w:color="000000" w:fill="595959" w:themeFill="text1" w:themeFillTint="A6"/>
            <w:noWrap/>
            <w:vAlign w:val="center"/>
            <w:hideMark/>
          </w:tcPr>
          <w:p w14:paraId="541F5CCB"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2015</w:t>
            </w:r>
          </w:p>
        </w:tc>
        <w:tc>
          <w:tcPr>
            <w:tcW w:w="960" w:type="dxa"/>
            <w:tcBorders>
              <w:top w:val="nil"/>
              <w:left w:val="nil"/>
              <w:bottom w:val="nil"/>
              <w:right w:val="nil"/>
            </w:tcBorders>
            <w:shd w:val="clear" w:color="000000" w:fill="595959" w:themeFill="text1" w:themeFillTint="A6"/>
            <w:noWrap/>
            <w:vAlign w:val="center"/>
            <w:hideMark/>
          </w:tcPr>
          <w:p w14:paraId="5237BDCC"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2025</w:t>
            </w:r>
          </w:p>
        </w:tc>
        <w:tc>
          <w:tcPr>
            <w:tcW w:w="960" w:type="dxa"/>
            <w:tcBorders>
              <w:top w:val="nil"/>
              <w:left w:val="nil"/>
              <w:bottom w:val="nil"/>
              <w:right w:val="nil"/>
            </w:tcBorders>
            <w:shd w:val="clear" w:color="000000" w:fill="595959" w:themeFill="text1" w:themeFillTint="A6"/>
            <w:noWrap/>
            <w:vAlign w:val="center"/>
            <w:hideMark/>
          </w:tcPr>
          <w:p w14:paraId="3F792416"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2045</w:t>
            </w:r>
          </w:p>
        </w:tc>
      </w:tr>
      <w:tr w:rsidR="003079F7" w:rsidRPr="003079F7" w14:paraId="40D9D6D4"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7439F494"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Počet obyvateľov</w:t>
            </w:r>
          </w:p>
        </w:tc>
        <w:tc>
          <w:tcPr>
            <w:tcW w:w="960" w:type="dxa"/>
            <w:tcBorders>
              <w:top w:val="nil"/>
              <w:left w:val="nil"/>
              <w:bottom w:val="nil"/>
              <w:right w:val="nil"/>
            </w:tcBorders>
            <w:shd w:val="clear" w:color="auto" w:fill="auto"/>
            <w:noWrap/>
            <w:vAlign w:val="bottom"/>
            <w:hideMark/>
          </w:tcPr>
          <w:p w14:paraId="6E68C54D"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690 429</w:t>
            </w:r>
          </w:p>
        </w:tc>
        <w:tc>
          <w:tcPr>
            <w:tcW w:w="960" w:type="dxa"/>
            <w:tcBorders>
              <w:top w:val="nil"/>
              <w:left w:val="nil"/>
              <w:bottom w:val="nil"/>
              <w:right w:val="nil"/>
            </w:tcBorders>
            <w:shd w:val="clear" w:color="auto" w:fill="auto"/>
            <w:noWrap/>
            <w:vAlign w:val="bottom"/>
            <w:hideMark/>
          </w:tcPr>
          <w:p w14:paraId="44661EC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696 528</w:t>
            </w:r>
          </w:p>
        </w:tc>
        <w:tc>
          <w:tcPr>
            <w:tcW w:w="960" w:type="dxa"/>
            <w:tcBorders>
              <w:top w:val="nil"/>
              <w:left w:val="nil"/>
              <w:bottom w:val="nil"/>
              <w:right w:val="nil"/>
            </w:tcBorders>
            <w:shd w:val="clear" w:color="auto" w:fill="auto"/>
            <w:noWrap/>
            <w:vAlign w:val="bottom"/>
            <w:hideMark/>
          </w:tcPr>
          <w:p w14:paraId="1CB758E4"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669 962</w:t>
            </w:r>
          </w:p>
        </w:tc>
      </w:tr>
      <w:tr w:rsidR="003079F7" w:rsidRPr="003079F7" w14:paraId="544457F9"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00135F1B"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0-19 rokov</w:t>
            </w:r>
          </w:p>
        </w:tc>
        <w:tc>
          <w:tcPr>
            <w:tcW w:w="960" w:type="dxa"/>
            <w:tcBorders>
              <w:top w:val="nil"/>
              <w:left w:val="nil"/>
              <w:bottom w:val="nil"/>
              <w:right w:val="nil"/>
            </w:tcBorders>
            <w:shd w:val="clear" w:color="auto" w:fill="auto"/>
            <w:noWrap/>
            <w:vAlign w:val="bottom"/>
            <w:hideMark/>
          </w:tcPr>
          <w:p w14:paraId="02344B5B"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146 336</w:t>
            </w:r>
          </w:p>
        </w:tc>
        <w:tc>
          <w:tcPr>
            <w:tcW w:w="960" w:type="dxa"/>
            <w:tcBorders>
              <w:top w:val="nil"/>
              <w:left w:val="nil"/>
              <w:bottom w:val="nil"/>
              <w:right w:val="nil"/>
            </w:tcBorders>
            <w:shd w:val="clear" w:color="auto" w:fill="auto"/>
            <w:noWrap/>
            <w:vAlign w:val="bottom"/>
            <w:hideMark/>
          </w:tcPr>
          <w:p w14:paraId="2B3B8C8C"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145 108</w:t>
            </w:r>
          </w:p>
        </w:tc>
        <w:tc>
          <w:tcPr>
            <w:tcW w:w="960" w:type="dxa"/>
            <w:tcBorders>
              <w:top w:val="nil"/>
              <w:left w:val="nil"/>
              <w:bottom w:val="nil"/>
              <w:right w:val="nil"/>
            </w:tcBorders>
            <w:shd w:val="clear" w:color="auto" w:fill="auto"/>
            <w:noWrap/>
            <w:vAlign w:val="bottom"/>
            <w:hideMark/>
          </w:tcPr>
          <w:p w14:paraId="268B979E"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115 735</w:t>
            </w:r>
          </w:p>
        </w:tc>
      </w:tr>
      <w:tr w:rsidR="003079F7" w:rsidRPr="003079F7" w14:paraId="1C8EC53E"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5CEFC18C"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20-64 rokov</w:t>
            </w:r>
          </w:p>
        </w:tc>
        <w:tc>
          <w:tcPr>
            <w:tcW w:w="960" w:type="dxa"/>
            <w:tcBorders>
              <w:top w:val="nil"/>
              <w:left w:val="nil"/>
              <w:bottom w:val="nil"/>
              <w:right w:val="nil"/>
            </w:tcBorders>
            <w:shd w:val="clear" w:color="auto" w:fill="auto"/>
            <w:noWrap/>
            <w:vAlign w:val="bottom"/>
            <w:hideMark/>
          </w:tcPr>
          <w:p w14:paraId="74E10CBF"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449 564</w:t>
            </w:r>
          </w:p>
        </w:tc>
        <w:tc>
          <w:tcPr>
            <w:tcW w:w="960" w:type="dxa"/>
            <w:tcBorders>
              <w:top w:val="nil"/>
              <w:left w:val="nil"/>
              <w:bottom w:val="nil"/>
              <w:right w:val="nil"/>
            </w:tcBorders>
            <w:shd w:val="clear" w:color="auto" w:fill="auto"/>
            <w:noWrap/>
            <w:vAlign w:val="bottom"/>
            <w:hideMark/>
          </w:tcPr>
          <w:p w14:paraId="78B2E302"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424 381</w:t>
            </w:r>
          </w:p>
        </w:tc>
        <w:tc>
          <w:tcPr>
            <w:tcW w:w="960" w:type="dxa"/>
            <w:tcBorders>
              <w:top w:val="nil"/>
              <w:left w:val="nil"/>
              <w:bottom w:val="nil"/>
              <w:right w:val="nil"/>
            </w:tcBorders>
            <w:shd w:val="clear" w:color="auto" w:fill="auto"/>
            <w:noWrap/>
            <w:vAlign w:val="bottom"/>
            <w:hideMark/>
          </w:tcPr>
          <w:p w14:paraId="01BBCC0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376 267</w:t>
            </w:r>
          </w:p>
        </w:tc>
      </w:tr>
      <w:tr w:rsidR="003079F7" w:rsidRPr="003079F7" w14:paraId="02AC0C54"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2C31A4CF"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nad 65 rokov</w:t>
            </w:r>
          </w:p>
        </w:tc>
        <w:tc>
          <w:tcPr>
            <w:tcW w:w="960" w:type="dxa"/>
            <w:tcBorders>
              <w:top w:val="nil"/>
              <w:left w:val="nil"/>
              <w:bottom w:val="nil"/>
              <w:right w:val="nil"/>
            </w:tcBorders>
            <w:shd w:val="clear" w:color="auto" w:fill="auto"/>
            <w:noWrap/>
            <w:vAlign w:val="bottom"/>
            <w:hideMark/>
          </w:tcPr>
          <w:p w14:paraId="078C560B"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94 529</w:t>
            </w:r>
          </w:p>
        </w:tc>
        <w:tc>
          <w:tcPr>
            <w:tcW w:w="960" w:type="dxa"/>
            <w:tcBorders>
              <w:top w:val="nil"/>
              <w:left w:val="nil"/>
              <w:bottom w:val="nil"/>
              <w:right w:val="nil"/>
            </w:tcBorders>
            <w:shd w:val="clear" w:color="auto" w:fill="auto"/>
            <w:noWrap/>
            <w:vAlign w:val="bottom"/>
            <w:hideMark/>
          </w:tcPr>
          <w:p w14:paraId="2DCDAA5B"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127 039</w:t>
            </w:r>
          </w:p>
        </w:tc>
        <w:tc>
          <w:tcPr>
            <w:tcW w:w="960" w:type="dxa"/>
            <w:tcBorders>
              <w:top w:val="nil"/>
              <w:left w:val="nil"/>
              <w:bottom w:val="nil"/>
              <w:right w:val="nil"/>
            </w:tcBorders>
            <w:shd w:val="clear" w:color="auto" w:fill="auto"/>
            <w:noWrap/>
            <w:vAlign w:val="bottom"/>
            <w:hideMark/>
          </w:tcPr>
          <w:p w14:paraId="460D2E0A"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177 960</w:t>
            </w:r>
          </w:p>
        </w:tc>
      </w:tr>
      <w:tr w:rsidR="003079F7" w:rsidRPr="003079F7" w14:paraId="4CEB2663" w14:textId="77777777" w:rsidTr="007B16E4">
        <w:trPr>
          <w:trHeight w:val="300"/>
          <w:jc w:val="center"/>
        </w:trPr>
        <w:tc>
          <w:tcPr>
            <w:tcW w:w="3280" w:type="dxa"/>
            <w:tcBorders>
              <w:top w:val="nil"/>
              <w:left w:val="nil"/>
              <w:bottom w:val="nil"/>
              <w:right w:val="nil"/>
            </w:tcBorders>
            <w:shd w:val="clear" w:color="000000" w:fill="DDEBF7"/>
            <w:noWrap/>
            <w:vAlign w:val="bottom"/>
            <w:hideMark/>
          </w:tcPr>
          <w:p w14:paraId="1D61AC10"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0-19 rokov (%)</w:t>
            </w:r>
          </w:p>
        </w:tc>
        <w:tc>
          <w:tcPr>
            <w:tcW w:w="960" w:type="dxa"/>
            <w:tcBorders>
              <w:top w:val="nil"/>
              <w:left w:val="nil"/>
              <w:bottom w:val="nil"/>
              <w:right w:val="nil"/>
            </w:tcBorders>
            <w:shd w:val="clear" w:color="000000" w:fill="DDEBF7"/>
            <w:noWrap/>
            <w:vAlign w:val="bottom"/>
            <w:hideMark/>
          </w:tcPr>
          <w:p w14:paraId="4712A879"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21,19%</w:t>
            </w:r>
          </w:p>
        </w:tc>
        <w:tc>
          <w:tcPr>
            <w:tcW w:w="960" w:type="dxa"/>
            <w:tcBorders>
              <w:top w:val="nil"/>
              <w:left w:val="nil"/>
              <w:bottom w:val="nil"/>
              <w:right w:val="nil"/>
            </w:tcBorders>
            <w:shd w:val="clear" w:color="000000" w:fill="DDEBF7"/>
            <w:noWrap/>
            <w:vAlign w:val="bottom"/>
            <w:hideMark/>
          </w:tcPr>
          <w:p w14:paraId="31D5FF74"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20,83%</w:t>
            </w:r>
          </w:p>
        </w:tc>
        <w:tc>
          <w:tcPr>
            <w:tcW w:w="960" w:type="dxa"/>
            <w:tcBorders>
              <w:top w:val="nil"/>
              <w:left w:val="nil"/>
              <w:bottom w:val="nil"/>
              <w:right w:val="nil"/>
            </w:tcBorders>
            <w:shd w:val="clear" w:color="000000" w:fill="DDEBF7"/>
            <w:noWrap/>
            <w:vAlign w:val="bottom"/>
            <w:hideMark/>
          </w:tcPr>
          <w:p w14:paraId="79B5C247"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17,27%</w:t>
            </w:r>
          </w:p>
        </w:tc>
      </w:tr>
      <w:tr w:rsidR="003079F7" w:rsidRPr="003079F7" w14:paraId="6F4AEEBF" w14:textId="77777777" w:rsidTr="007B16E4">
        <w:trPr>
          <w:trHeight w:val="300"/>
          <w:jc w:val="center"/>
        </w:trPr>
        <w:tc>
          <w:tcPr>
            <w:tcW w:w="3280" w:type="dxa"/>
            <w:tcBorders>
              <w:top w:val="nil"/>
              <w:left w:val="nil"/>
              <w:bottom w:val="nil"/>
              <w:right w:val="nil"/>
            </w:tcBorders>
            <w:shd w:val="clear" w:color="000000" w:fill="DDEBF7"/>
            <w:noWrap/>
            <w:vAlign w:val="bottom"/>
            <w:hideMark/>
          </w:tcPr>
          <w:p w14:paraId="742C82E5"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20-64 rokov  (%)</w:t>
            </w:r>
          </w:p>
        </w:tc>
        <w:tc>
          <w:tcPr>
            <w:tcW w:w="960" w:type="dxa"/>
            <w:tcBorders>
              <w:top w:val="nil"/>
              <w:left w:val="nil"/>
              <w:bottom w:val="nil"/>
              <w:right w:val="nil"/>
            </w:tcBorders>
            <w:shd w:val="clear" w:color="000000" w:fill="DDEBF7"/>
            <w:noWrap/>
            <w:vAlign w:val="bottom"/>
            <w:hideMark/>
          </w:tcPr>
          <w:p w14:paraId="6AA690B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65,11%</w:t>
            </w:r>
          </w:p>
        </w:tc>
        <w:tc>
          <w:tcPr>
            <w:tcW w:w="960" w:type="dxa"/>
            <w:tcBorders>
              <w:top w:val="nil"/>
              <w:left w:val="nil"/>
              <w:bottom w:val="nil"/>
              <w:right w:val="nil"/>
            </w:tcBorders>
            <w:shd w:val="clear" w:color="000000" w:fill="DDEBF7"/>
            <w:noWrap/>
            <w:vAlign w:val="bottom"/>
            <w:hideMark/>
          </w:tcPr>
          <w:p w14:paraId="130A8A5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60,93%</w:t>
            </w:r>
          </w:p>
        </w:tc>
        <w:tc>
          <w:tcPr>
            <w:tcW w:w="960" w:type="dxa"/>
            <w:tcBorders>
              <w:top w:val="nil"/>
              <w:left w:val="nil"/>
              <w:bottom w:val="nil"/>
              <w:right w:val="nil"/>
            </w:tcBorders>
            <w:shd w:val="clear" w:color="000000" w:fill="DDEBF7"/>
            <w:noWrap/>
            <w:vAlign w:val="bottom"/>
            <w:hideMark/>
          </w:tcPr>
          <w:p w14:paraId="1669AE28"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56,16%</w:t>
            </w:r>
          </w:p>
        </w:tc>
      </w:tr>
      <w:tr w:rsidR="003079F7" w:rsidRPr="003079F7" w14:paraId="0F6B7C2F" w14:textId="77777777" w:rsidTr="007B16E4">
        <w:trPr>
          <w:trHeight w:val="300"/>
          <w:jc w:val="center"/>
        </w:trPr>
        <w:tc>
          <w:tcPr>
            <w:tcW w:w="3280" w:type="dxa"/>
            <w:tcBorders>
              <w:top w:val="nil"/>
              <w:left w:val="nil"/>
              <w:bottom w:val="nil"/>
              <w:right w:val="nil"/>
            </w:tcBorders>
            <w:shd w:val="clear" w:color="000000" w:fill="DDEBF7"/>
            <w:noWrap/>
            <w:vAlign w:val="bottom"/>
            <w:hideMark/>
          </w:tcPr>
          <w:p w14:paraId="28B61AC3"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nad 65 rokov  (%)</w:t>
            </w:r>
          </w:p>
        </w:tc>
        <w:tc>
          <w:tcPr>
            <w:tcW w:w="960" w:type="dxa"/>
            <w:tcBorders>
              <w:top w:val="nil"/>
              <w:left w:val="nil"/>
              <w:bottom w:val="nil"/>
              <w:right w:val="nil"/>
            </w:tcBorders>
            <w:shd w:val="clear" w:color="000000" w:fill="DDEBF7"/>
            <w:noWrap/>
            <w:vAlign w:val="bottom"/>
            <w:hideMark/>
          </w:tcPr>
          <w:p w14:paraId="6D2D6A9A"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13,69%</w:t>
            </w:r>
          </w:p>
        </w:tc>
        <w:tc>
          <w:tcPr>
            <w:tcW w:w="960" w:type="dxa"/>
            <w:tcBorders>
              <w:top w:val="nil"/>
              <w:left w:val="nil"/>
              <w:bottom w:val="nil"/>
              <w:right w:val="nil"/>
            </w:tcBorders>
            <w:shd w:val="clear" w:color="000000" w:fill="DDEBF7"/>
            <w:noWrap/>
            <w:vAlign w:val="bottom"/>
            <w:hideMark/>
          </w:tcPr>
          <w:p w14:paraId="025F85E4"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18,24%</w:t>
            </w:r>
          </w:p>
        </w:tc>
        <w:tc>
          <w:tcPr>
            <w:tcW w:w="960" w:type="dxa"/>
            <w:tcBorders>
              <w:top w:val="nil"/>
              <w:left w:val="nil"/>
              <w:bottom w:val="nil"/>
              <w:right w:val="nil"/>
            </w:tcBorders>
            <w:shd w:val="clear" w:color="000000" w:fill="DDEBF7"/>
            <w:noWrap/>
            <w:vAlign w:val="bottom"/>
            <w:hideMark/>
          </w:tcPr>
          <w:p w14:paraId="25A03DB1"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26,56%</w:t>
            </w:r>
          </w:p>
        </w:tc>
      </w:tr>
    </w:tbl>
    <w:p w14:paraId="31AFEEC6" w14:textId="77777777" w:rsidR="003079F7" w:rsidRDefault="003079F7" w:rsidP="007B7154">
      <w:pPr>
        <w:spacing w:line="240" w:lineRule="auto"/>
        <w:rPr>
          <w:rFonts w:cstheme="minorHAnsi"/>
          <w:i/>
          <w:iCs/>
          <w:color w:val="0D0D0D"/>
          <w:sz w:val="20"/>
          <w:szCs w:val="20"/>
        </w:rPr>
      </w:pPr>
    </w:p>
    <w:p w14:paraId="621097DC" w14:textId="77777777" w:rsidR="005D27B3" w:rsidRDefault="005D27B3" w:rsidP="007B7154">
      <w:pPr>
        <w:pStyle w:val="Popis"/>
        <w:spacing w:before="0" w:after="0" w:line="240" w:lineRule="auto"/>
        <w:jc w:val="both"/>
        <w:rPr>
          <w:rFonts w:ascii="Century Gothic" w:hAnsi="Century Gothic" w:cstheme="minorHAnsi"/>
          <w:b w:val="0"/>
          <w:i/>
        </w:rPr>
      </w:pPr>
      <w:bookmarkStart w:id="45" w:name="_Toc112041788"/>
    </w:p>
    <w:p w14:paraId="7E865BB2" w14:textId="670EF587" w:rsidR="007B7154" w:rsidRDefault="007B7154" w:rsidP="007B7154">
      <w:pPr>
        <w:pStyle w:val="Popis"/>
        <w:spacing w:before="0" w:after="0" w:line="240" w:lineRule="auto"/>
        <w:jc w:val="both"/>
        <w:rPr>
          <w:rFonts w:ascii="Century Gothic" w:hAnsi="Century Gothic" w:cstheme="minorHAnsi"/>
          <w:b w:val="0"/>
          <w:i/>
        </w:rPr>
      </w:pPr>
      <w:bookmarkStart w:id="46" w:name="_Toc145219906"/>
      <w:r w:rsidRPr="00C66085">
        <w:rPr>
          <w:rFonts w:ascii="Century Gothic" w:hAnsi="Century Gothic" w:cstheme="minorHAnsi"/>
          <w:b w:val="0"/>
          <w:i/>
        </w:rPr>
        <w:t xml:space="preserve">Tabuľka </w:t>
      </w:r>
      <w:r w:rsidRPr="00C66085">
        <w:rPr>
          <w:rFonts w:ascii="Century Gothic" w:hAnsi="Century Gothic" w:cstheme="minorHAnsi"/>
          <w:b w:val="0"/>
          <w:i/>
        </w:rPr>
        <w:fldChar w:fldCharType="begin"/>
      </w:r>
      <w:r w:rsidRPr="00C66085">
        <w:rPr>
          <w:rFonts w:ascii="Century Gothic" w:hAnsi="Century Gothic" w:cstheme="minorHAnsi"/>
          <w:b w:val="0"/>
          <w:i/>
        </w:rPr>
        <w:instrText xml:space="preserve"> SEQ Tabuľka \* ARABIC </w:instrText>
      </w:r>
      <w:r w:rsidRPr="00C66085">
        <w:rPr>
          <w:rFonts w:ascii="Century Gothic" w:hAnsi="Century Gothic" w:cstheme="minorHAnsi"/>
          <w:b w:val="0"/>
          <w:i/>
        </w:rPr>
        <w:fldChar w:fldCharType="separate"/>
      </w:r>
      <w:r w:rsidR="007D6A44">
        <w:rPr>
          <w:rFonts w:ascii="Century Gothic" w:hAnsi="Century Gothic" w:cstheme="minorHAnsi"/>
          <w:b w:val="0"/>
          <w:i/>
          <w:noProof/>
        </w:rPr>
        <w:t>5</w:t>
      </w:r>
      <w:r w:rsidRPr="00C66085">
        <w:rPr>
          <w:rFonts w:ascii="Century Gothic" w:hAnsi="Century Gothic" w:cstheme="minorHAnsi"/>
          <w:b w:val="0"/>
          <w:i/>
        </w:rPr>
        <w:fldChar w:fldCharType="end"/>
      </w:r>
      <w:r>
        <w:rPr>
          <w:rFonts w:ascii="Century Gothic" w:hAnsi="Century Gothic" w:cstheme="minorHAnsi"/>
          <w:b w:val="0"/>
          <w:i/>
        </w:rPr>
        <w:t xml:space="preserve"> </w:t>
      </w:r>
      <w:r w:rsidRPr="00C66085">
        <w:rPr>
          <w:rFonts w:ascii="Century Gothic" w:hAnsi="Century Gothic" w:cstheme="minorHAnsi"/>
          <w:b w:val="0"/>
          <w:i/>
        </w:rPr>
        <w:t xml:space="preserve">Percentuálne rozdelenie vekovej štruktúry obyvateľstva v okrese </w:t>
      </w:r>
      <w:bookmarkEnd w:id="45"/>
      <w:r>
        <w:rPr>
          <w:rFonts w:ascii="Century Gothic" w:hAnsi="Century Gothic" w:cstheme="minorHAnsi"/>
          <w:b w:val="0"/>
          <w:i/>
        </w:rPr>
        <w:t>Žilina</w:t>
      </w:r>
      <w:bookmarkEnd w:id="46"/>
    </w:p>
    <w:tbl>
      <w:tblPr>
        <w:tblW w:w="6160" w:type="dxa"/>
        <w:jc w:val="center"/>
        <w:tblCellMar>
          <w:left w:w="70" w:type="dxa"/>
          <w:right w:w="70" w:type="dxa"/>
        </w:tblCellMar>
        <w:tblLook w:val="04A0" w:firstRow="1" w:lastRow="0" w:firstColumn="1" w:lastColumn="0" w:noHBand="0" w:noVBand="1"/>
      </w:tblPr>
      <w:tblGrid>
        <w:gridCol w:w="3280"/>
        <w:gridCol w:w="960"/>
        <w:gridCol w:w="960"/>
        <w:gridCol w:w="960"/>
      </w:tblGrid>
      <w:tr w:rsidR="003079F7" w:rsidRPr="003079F7" w14:paraId="41126C0C" w14:textId="77777777" w:rsidTr="007B16E4">
        <w:trPr>
          <w:trHeight w:val="300"/>
          <w:jc w:val="center"/>
        </w:trPr>
        <w:tc>
          <w:tcPr>
            <w:tcW w:w="3280" w:type="dxa"/>
            <w:tcBorders>
              <w:top w:val="nil"/>
              <w:left w:val="nil"/>
              <w:bottom w:val="nil"/>
              <w:right w:val="nil"/>
            </w:tcBorders>
            <w:shd w:val="clear" w:color="000000" w:fill="595959"/>
            <w:noWrap/>
            <w:vAlign w:val="bottom"/>
            <w:hideMark/>
          </w:tcPr>
          <w:p w14:paraId="17AA9BEA" w14:textId="77777777" w:rsidR="003079F7" w:rsidRPr="003079F7" w:rsidRDefault="003079F7" w:rsidP="003079F7">
            <w:pPr>
              <w:spacing w:line="240" w:lineRule="auto"/>
              <w:jc w:val="left"/>
              <w:rPr>
                <w:rFonts w:ascii="Arial Narrow" w:hAnsi="Arial Narrow" w:cs="Calibri"/>
                <w:b/>
                <w:bCs/>
                <w:color w:val="FFFFFF"/>
                <w:sz w:val="20"/>
                <w:szCs w:val="20"/>
              </w:rPr>
            </w:pPr>
            <w:r w:rsidRPr="003079F7">
              <w:rPr>
                <w:rFonts w:ascii="Arial Narrow" w:hAnsi="Arial Narrow" w:cs="Calibri"/>
                <w:b/>
                <w:bCs/>
                <w:color w:val="FFFFFF"/>
                <w:sz w:val="20"/>
                <w:szCs w:val="20"/>
              </w:rPr>
              <w:t>Okres Žilina</w:t>
            </w:r>
          </w:p>
        </w:tc>
        <w:tc>
          <w:tcPr>
            <w:tcW w:w="960" w:type="dxa"/>
            <w:tcBorders>
              <w:top w:val="nil"/>
              <w:left w:val="nil"/>
              <w:bottom w:val="nil"/>
              <w:right w:val="nil"/>
            </w:tcBorders>
            <w:shd w:val="clear" w:color="000000" w:fill="595959"/>
            <w:noWrap/>
            <w:vAlign w:val="bottom"/>
            <w:hideMark/>
          </w:tcPr>
          <w:p w14:paraId="072C1EF4"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2015</w:t>
            </w:r>
          </w:p>
        </w:tc>
        <w:tc>
          <w:tcPr>
            <w:tcW w:w="960" w:type="dxa"/>
            <w:tcBorders>
              <w:top w:val="nil"/>
              <w:left w:val="nil"/>
              <w:bottom w:val="nil"/>
              <w:right w:val="nil"/>
            </w:tcBorders>
            <w:shd w:val="clear" w:color="000000" w:fill="595959"/>
            <w:noWrap/>
            <w:vAlign w:val="bottom"/>
            <w:hideMark/>
          </w:tcPr>
          <w:p w14:paraId="42AC19EF"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2025</w:t>
            </w:r>
          </w:p>
        </w:tc>
        <w:tc>
          <w:tcPr>
            <w:tcW w:w="960" w:type="dxa"/>
            <w:tcBorders>
              <w:top w:val="nil"/>
              <w:left w:val="nil"/>
              <w:bottom w:val="nil"/>
              <w:right w:val="nil"/>
            </w:tcBorders>
            <w:shd w:val="clear" w:color="000000" w:fill="595959"/>
            <w:noWrap/>
            <w:vAlign w:val="bottom"/>
            <w:hideMark/>
          </w:tcPr>
          <w:p w14:paraId="5F6BAE81" w14:textId="77777777" w:rsidR="003079F7" w:rsidRPr="003079F7" w:rsidRDefault="003079F7" w:rsidP="003079F7">
            <w:pPr>
              <w:spacing w:line="240" w:lineRule="auto"/>
              <w:jc w:val="center"/>
              <w:rPr>
                <w:rFonts w:ascii="Arial Narrow" w:hAnsi="Arial Narrow" w:cs="Calibri"/>
                <w:b/>
                <w:bCs/>
                <w:color w:val="FFFFFF"/>
                <w:sz w:val="20"/>
                <w:szCs w:val="20"/>
              </w:rPr>
            </w:pPr>
            <w:r w:rsidRPr="003079F7">
              <w:rPr>
                <w:rFonts w:ascii="Arial Narrow" w:hAnsi="Arial Narrow" w:cs="Calibri"/>
                <w:b/>
                <w:bCs/>
                <w:color w:val="FFFFFF"/>
                <w:sz w:val="20"/>
                <w:szCs w:val="20"/>
              </w:rPr>
              <w:t>2045</w:t>
            </w:r>
          </w:p>
        </w:tc>
      </w:tr>
      <w:tr w:rsidR="003079F7" w:rsidRPr="003079F7" w14:paraId="691B665D"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7AC7D263"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Počet obyvateľov</w:t>
            </w:r>
          </w:p>
        </w:tc>
        <w:tc>
          <w:tcPr>
            <w:tcW w:w="960" w:type="dxa"/>
            <w:tcBorders>
              <w:top w:val="nil"/>
              <w:left w:val="nil"/>
              <w:bottom w:val="nil"/>
              <w:right w:val="nil"/>
            </w:tcBorders>
            <w:shd w:val="clear" w:color="auto" w:fill="auto"/>
            <w:noWrap/>
            <w:vAlign w:val="bottom"/>
            <w:hideMark/>
          </w:tcPr>
          <w:p w14:paraId="5EDF0B7C"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156 411</w:t>
            </w:r>
          </w:p>
        </w:tc>
        <w:tc>
          <w:tcPr>
            <w:tcW w:w="960" w:type="dxa"/>
            <w:tcBorders>
              <w:top w:val="nil"/>
              <w:left w:val="nil"/>
              <w:bottom w:val="nil"/>
              <w:right w:val="nil"/>
            </w:tcBorders>
            <w:shd w:val="clear" w:color="auto" w:fill="auto"/>
            <w:noWrap/>
            <w:vAlign w:val="bottom"/>
            <w:hideMark/>
          </w:tcPr>
          <w:p w14:paraId="2DC88710"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160 122</w:t>
            </w:r>
          </w:p>
        </w:tc>
        <w:tc>
          <w:tcPr>
            <w:tcW w:w="960" w:type="dxa"/>
            <w:tcBorders>
              <w:top w:val="nil"/>
              <w:left w:val="nil"/>
              <w:bottom w:val="nil"/>
              <w:right w:val="nil"/>
            </w:tcBorders>
            <w:shd w:val="clear" w:color="auto" w:fill="auto"/>
            <w:noWrap/>
            <w:vAlign w:val="bottom"/>
            <w:hideMark/>
          </w:tcPr>
          <w:p w14:paraId="00F243B0"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155 498</w:t>
            </w:r>
          </w:p>
        </w:tc>
      </w:tr>
      <w:tr w:rsidR="003079F7" w:rsidRPr="003079F7" w14:paraId="3EF92337"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5B32FD2A"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0-19 rokov</w:t>
            </w:r>
          </w:p>
        </w:tc>
        <w:tc>
          <w:tcPr>
            <w:tcW w:w="960" w:type="dxa"/>
            <w:tcBorders>
              <w:top w:val="nil"/>
              <w:left w:val="nil"/>
              <w:bottom w:val="nil"/>
              <w:right w:val="nil"/>
            </w:tcBorders>
            <w:shd w:val="clear" w:color="auto" w:fill="auto"/>
            <w:noWrap/>
            <w:vAlign w:val="bottom"/>
            <w:hideMark/>
          </w:tcPr>
          <w:p w14:paraId="4E271178"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31 700</w:t>
            </w:r>
          </w:p>
        </w:tc>
        <w:tc>
          <w:tcPr>
            <w:tcW w:w="960" w:type="dxa"/>
            <w:tcBorders>
              <w:top w:val="nil"/>
              <w:left w:val="nil"/>
              <w:bottom w:val="nil"/>
              <w:right w:val="nil"/>
            </w:tcBorders>
            <w:shd w:val="clear" w:color="auto" w:fill="auto"/>
            <w:noWrap/>
            <w:vAlign w:val="bottom"/>
            <w:hideMark/>
          </w:tcPr>
          <w:p w14:paraId="4BD600EF"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31 489</w:t>
            </w:r>
          </w:p>
        </w:tc>
        <w:tc>
          <w:tcPr>
            <w:tcW w:w="960" w:type="dxa"/>
            <w:tcBorders>
              <w:top w:val="nil"/>
              <w:left w:val="nil"/>
              <w:bottom w:val="nil"/>
              <w:right w:val="nil"/>
            </w:tcBorders>
            <w:shd w:val="clear" w:color="auto" w:fill="auto"/>
            <w:noWrap/>
            <w:vAlign w:val="bottom"/>
            <w:hideMark/>
          </w:tcPr>
          <w:p w14:paraId="6BEEB095"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24 097</w:t>
            </w:r>
          </w:p>
        </w:tc>
      </w:tr>
      <w:tr w:rsidR="003079F7" w:rsidRPr="003079F7" w14:paraId="4525F66B"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76C8BBC9"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20-64 rokov</w:t>
            </w:r>
          </w:p>
        </w:tc>
        <w:tc>
          <w:tcPr>
            <w:tcW w:w="960" w:type="dxa"/>
            <w:tcBorders>
              <w:top w:val="nil"/>
              <w:left w:val="nil"/>
              <w:bottom w:val="nil"/>
              <w:right w:val="nil"/>
            </w:tcBorders>
            <w:shd w:val="clear" w:color="auto" w:fill="auto"/>
            <w:noWrap/>
            <w:vAlign w:val="bottom"/>
            <w:hideMark/>
          </w:tcPr>
          <w:p w14:paraId="0DD900D0"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102 583</w:t>
            </w:r>
          </w:p>
        </w:tc>
        <w:tc>
          <w:tcPr>
            <w:tcW w:w="960" w:type="dxa"/>
            <w:tcBorders>
              <w:top w:val="nil"/>
              <w:left w:val="nil"/>
              <w:bottom w:val="nil"/>
              <w:right w:val="nil"/>
            </w:tcBorders>
            <w:shd w:val="clear" w:color="auto" w:fill="auto"/>
            <w:noWrap/>
            <w:vAlign w:val="bottom"/>
            <w:hideMark/>
          </w:tcPr>
          <w:p w14:paraId="5900E987"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97 367</w:t>
            </w:r>
          </w:p>
        </w:tc>
        <w:tc>
          <w:tcPr>
            <w:tcW w:w="960" w:type="dxa"/>
            <w:tcBorders>
              <w:top w:val="nil"/>
              <w:left w:val="nil"/>
              <w:bottom w:val="nil"/>
              <w:right w:val="nil"/>
            </w:tcBorders>
            <w:shd w:val="clear" w:color="auto" w:fill="auto"/>
            <w:noWrap/>
            <w:vAlign w:val="bottom"/>
            <w:hideMark/>
          </w:tcPr>
          <w:p w14:paraId="130BC234"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86 189</w:t>
            </w:r>
          </w:p>
        </w:tc>
      </w:tr>
      <w:tr w:rsidR="003079F7" w:rsidRPr="003079F7" w14:paraId="17692077" w14:textId="77777777" w:rsidTr="007B16E4">
        <w:trPr>
          <w:trHeight w:val="300"/>
          <w:jc w:val="center"/>
        </w:trPr>
        <w:tc>
          <w:tcPr>
            <w:tcW w:w="3280" w:type="dxa"/>
            <w:tcBorders>
              <w:top w:val="nil"/>
              <w:left w:val="nil"/>
              <w:bottom w:val="nil"/>
              <w:right w:val="nil"/>
            </w:tcBorders>
            <w:shd w:val="clear" w:color="auto" w:fill="auto"/>
            <w:noWrap/>
            <w:vAlign w:val="bottom"/>
            <w:hideMark/>
          </w:tcPr>
          <w:p w14:paraId="5C6B432E"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nad 65 rokov</w:t>
            </w:r>
          </w:p>
        </w:tc>
        <w:tc>
          <w:tcPr>
            <w:tcW w:w="960" w:type="dxa"/>
            <w:tcBorders>
              <w:top w:val="nil"/>
              <w:left w:val="nil"/>
              <w:bottom w:val="nil"/>
              <w:right w:val="nil"/>
            </w:tcBorders>
            <w:shd w:val="clear" w:color="auto" w:fill="auto"/>
            <w:noWrap/>
            <w:vAlign w:val="bottom"/>
            <w:hideMark/>
          </w:tcPr>
          <w:p w14:paraId="19FD3386"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22 128</w:t>
            </w:r>
          </w:p>
        </w:tc>
        <w:tc>
          <w:tcPr>
            <w:tcW w:w="960" w:type="dxa"/>
            <w:tcBorders>
              <w:top w:val="nil"/>
              <w:left w:val="nil"/>
              <w:bottom w:val="nil"/>
              <w:right w:val="nil"/>
            </w:tcBorders>
            <w:shd w:val="clear" w:color="auto" w:fill="auto"/>
            <w:noWrap/>
            <w:vAlign w:val="bottom"/>
            <w:hideMark/>
          </w:tcPr>
          <w:p w14:paraId="21AE602B"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31 266</w:t>
            </w:r>
          </w:p>
        </w:tc>
        <w:tc>
          <w:tcPr>
            <w:tcW w:w="960" w:type="dxa"/>
            <w:tcBorders>
              <w:top w:val="nil"/>
              <w:left w:val="nil"/>
              <w:bottom w:val="nil"/>
              <w:right w:val="nil"/>
            </w:tcBorders>
            <w:shd w:val="clear" w:color="auto" w:fill="auto"/>
            <w:noWrap/>
            <w:vAlign w:val="bottom"/>
            <w:hideMark/>
          </w:tcPr>
          <w:p w14:paraId="39AC05D9"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45 212</w:t>
            </w:r>
          </w:p>
        </w:tc>
      </w:tr>
      <w:tr w:rsidR="003079F7" w:rsidRPr="003079F7" w14:paraId="7290593B" w14:textId="77777777" w:rsidTr="007B16E4">
        <w:trPr>
          <w:trHeight w:val="300"/>
          <w:jc w:val="center"/>
        </w:trPr>
        <w:tc>
          <w:tcPr>
            <w:tcW w:w="3280" w:type="dxa"/>
            <w:tcBorders>
              <w:top w:val="nil"/>
              <w:left w:val="nil"/>
              <w:bottom w:val="nil"/>
              <w:right w:val="nil"/>
            </w:tcBorders>
            <w:shd w:val="clear" w:color="000000" w:fill="DDEBF7"/>
            <w:noWrap/>
            <w:vAlign w:val="bottom"/>
            <w:hideMark/>
          </w:tcPr>
          <w:p w14:paraId="370F2569"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0-19 rokov (%)</w:t>
            </w:r>
          </w:p>
        </w:tc>
        <w:tc>
          <w:tcPr>
            <w:tcW w:w="960" w:type="dxa"/>
            <w:tcBorders>
              <w:top w:val="nil"/>
              <w:left w:val="nil"/>
              <w:bottom w:val="nil"/>
              <w:right w:val="nil"/>
            </w:tcBorders>
            <w:shd w:val="clear" w:color="000000" w:fill="DDEBF7"/>
            <w:noWrap/>
            <w:vAlign w:val="bottom"/>
            <w:hideMark/>
          </w:tcPr>
          <w:p w14:paraId="5B1AFF1D"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20,27%</w:t>
            </w:r>
          </w:p>
        </w:tc>
        <w:tc>
          <w:tcPr>
            <w:tcW w:w="960" w:type="dxa"/>
            <w:tcBorders>
              <w:top w:val="nil"/>
              <w:left w:val="nil"/>
              <w:bottom w:val="nil"/>
              <w:right w:val="nil"/>
            </w:tcBorders>
            <w:shd w:val="clear" w:color="000000" w:fill="DDEBF7"/>
            <w:noWrap/>
            <w:vAlign w:val="bottom"/>
            <w:hideMark/>
          </w:tcPr>
          <w:p w14:paraId="35B9F0CD"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19,67%</w:t>
            </w:r>
          </w:p>
        </w:tc>
        <w:tc>
          <w:tcPr>
            <w:tcW w:w="960" w:type="dxa"/>
            <w:tcBorders>
              <w:top w:val="nil"/>
              <w:left w:val="nil"/>
              <w:bottom w:val="nil"/>
              <w:right w:val="nil"/>
            </w:tcBorders>
            <w:shd w:val="clear" w:color="000000" w:fill="DDEBF7"/>
            <w:noWrap/>
            <w:vAlign w:val="bottom"/>
            <w:hideMark/>
          </w:tcPr>
          <w:p w14:paraId="3957A637"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15,50%</w:t>
            </w:r>
          </w:p>
        </w:tc>
      </w:tr>
      <w:tr w:rsidR="003079F7" w:rsidRPr="003079F7" w14:paraId="0209289F" w14:textId="77777777" w:rsidTr="007B16E4">
        <w:trPr>
          <w:trHeight w:val="300"/>
          <w:jc w:val="center"/>
        </w:trPr>
        <w:tc>
          <w:tcPr>
            <w:tcW w:w="3280" w:type="dxa"/>
            <w:tcBorders>
              <w:top w:val="nil"/>
              <w:left w:val="nil"/>
              <w:bottom w:val="nil"/>
              <w:right w:val="nil"/>
            </w:tcBorders>
            <w:shd w:val="clear" w:color="000000" w:fill="DDEBF7"/>
            <w:noWrap/>
            <w:vAlign w:val="bottom"/>
            <w:hideMark/>
          </w:tcPr>
          <w:p w14:paraId="26BC10B1"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20-64 rokov  (%)</w:t>
            </w:r>
          </w:p>
        </w:tc>
        <w:tc>
          <w:tcPr>
            <w:tcW w:w="960" w:type="dxa"/>
            <w:tcBorders>
              <w:top w:val="nil"/>
              <w:left w:val="nil"/>
              <w:bottom w:val="nil"/>
              <w:right w:val="nil"/>
            </w:tcBorders>
            <w:shd w:val="clear" w:color="000000" w:fill="DDEBF7"/>
            <w:noWrap/>
            <w:vAlign w:val="bottom"/>
            <w:hideMark/>
          </w:tcPr>
          <w:p w14:paraId="17D90B47"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65,59%</w:t>
            </w:r>
          </w:p>
        </w:tc>
        <w:tc>
          <w:tcPr>
            <w:tcW w:w="960" w:type="dxa"/>
            <w:tcBorders>
              <w:top w:val="nil"/>
              <w:left w:val="nil"/>
              <w:bottom w:val="nil"/>
              <w:right w:val="nil"/>
            </w:tcBorders>
            <w:shd w:val="clear" w:color="000000" w:fill="DDEBF7"/>
            <w:noWrap/>
            <w:vAlign w:val="bottom"/>
            <w:hideMark/>
          </w:tcPr>
          <w:p w14:paraId="7C926660"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60,81%</w:t>
            </w:r>
          </w:p>
        </w:tc>
        <w:tc>
          <w:tcPr>
            <w:tcW w:w="960" w:type="dxa"/>
            <w:tcBorders>
              <w:top w:val="nil"/>
              <w:left w:val="nil"/>
              <w:bottom w:val="nil"/>
              <w:right w:val="nil"/>
            </w:tcBorders>
            <w:shd w:val="clear" w:color="000000" w:fill="DDEBF7"/>
            <w:noWrap/>
            <w:vAlign w:val="bottom"/>
            <w:hideMark/>
          </w:tcPr>
          <w:p w14:paraId="176E6AF0"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55,43%</w:t>
            </w:r>
          </w:p>
        </w:tc>
      </w:tr>
      <w:tr w:rsidR="003079F7" w:rsidRPr="003079F7" w14:paraId="7B1205DF" w14:textId="77777777" w:rsidTr="007B16E4">
        <w:trPr>
          <w:trHeight w:val="300"/>
          <w:jc w:val="center"/>
        </w:trPr>
        <w:tc>
          <w:tcPr>
            <w:tcW w:w="3280" w:type="dxa"/>
            <w:tcBorders>
              <w:top w:val="nil"/>
              <w:left w:val="nil"/>
              <w:bottom w:val="nil"/>
              <w:right w:val="nil"/>
            </w:tcBorders>
            <w:shd w:val="clear" w:color="000000" w:fill="DDEBF7"/>
            <w:noWrap/>
            <w:vAlign w:val="bottom"/>
            <w:hideMark/>
          </w:tcPr>
          <w:p w14:paraId="34680E6A" w14:textId="77777777" w:rsidR="003079F7" w:rsidRPr="003079F7" w:rsidRDefault="003079F7" w:rsidP="003079F7">
            <w:pPr>
              <w:spacing w:line="240" w:lineRule="auto"/>
              <w:jc w:val="left"/>
              <w:rPr>
                <w:rFonts w:ascii="Arial Narrow" w:hAnsi="Arial Narrow" w:cs="Calibri"/>
                <w:b/>
                <w:bCs/>
                <w:sz w:val="20"/>
                <w:szCs w:val="20"/>
              </w:rPr>
            </w:pPr>
            <w:r w:rsidRPr="003079F7">
              <w:rPr>
                <w:rFonts w:ascii="Arial Narrow" w:hAnsi="Arial Narrow" w:cs="Calibri"/>
                <w:b/>
                <w:bCs/>
                <w:sz w:val="20"/>
                <w:szCs w:val="20"/>
              </w:rPr>
              <w:t>nad 65 rokov  (%)</w:t>
            </w:r>
          </w:p>
        </w:tc>
        <w:tc>
          <w:tcPr>
            <w:tcW w:w="960" w:type="dxa"/>
            <w:tcBorders>
              <w:top w:val="nil"/>
              <w:left w:val="nil"/>
              <w:bottom w:val="nil"/>
              <w:right w:val="nil"/>
            </w:tcBorders>
            <w:shd w:val="clear" w:color="000000" w:fill="DDEBF7"/>
            <w:noWrap/>
            <w:vAlign w:val="bottom"/>
            <w:hideMark/>
          </w:tcPr>
          <w:p w14:paraId="16FDCA42"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14,15%</w:t>
            </w:r>
          </w:p>
        </w:tc>
        <w:tc>
          <w:tcPr>
            <w:tcW w:w="960" w:type="dxa"/>
            <w:tcBorders>
              <w:top w:val="nil"/>
              <w:left w:val="nil"/>
              <w:bottom w:val="nil"/>
              <w:right w:val="nil"/>
            </w:tcBorders>
            <w:shd w:val="clear" w:color="000000" w:fill="DDEBF7"/>
            <w:noWrap/>
            <w:vAlign w:val="bottom"/>
            <w:hideMark/>
          </w:tcPr>
          <w:p w14:paraId="214516FA"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19,53%</w:t>
            </w:r>
          </w:p>
        </w:tc>
        <w:tc>
          <w:tcPr>
            <w:tcW w:w="960" w:type="dxa"/>
            <w:tcBorders>
              <w:top w:val="nil"/>
              <w:left w:val="nil"/>
              <w:bottom w:val="nil"/>
              <w:right w:val="nil"/>
            </w:tcBorders>
            <w:shd w:val="clear" w:color="000000" w:fill="DDEBF7"/>
            <w:noWrap/>
            <w:vAlign w:val="bottom"/>
            <w:hideMark/>
          </w:tcPr>
          <w:p w14:paraId="728F35DB" w14:textId="77777777" w:rsidR="003079F7" w:rsidRPr="003079F7" w:rsidRDefault="003079F7" w:rsidP="003079F7">
            <w:pPr>
              <w:spacing w:line="240" w:lineRule="auto"/>
              <w:jc w:val="center"/>
              <w:rPr>
                <w:rFonts w:ascii="Arial Narrow" w:hAnsi="Arial Narrow" w:cs="Calibri"/>
                <w:sz w:val="20"/>
                <w:szCs w:val="20"/>
              </w:rPr>
            </w:pPr>
            <w:r w:rsidRPr="003079F7">
              <w:rPr>
                <w:rFonts w:ascii="Arial Narrow" w:hAnsi="Arial Narrow" w:cs="Calibri"/>
                <w:sz w:val="20"/>
                <w:szCs w:val="20"/>
              </w:rPr>
              <w:t>29,08%</w:t>
            </w:r>
          </w:p>
        </w:tc>
      </w:tr>
    </w:tbl>
    <w:p w14:paraId="46BE2892" w14:textId="77777777" w:rsidR="007B7154" w:rsidRPr="00C66085" w:rsidRDefault="007B7154" w:rsidP="007B7154">
      <w:pPr>
        <w:pStyle w:val="Popis"/>
        <w:spacing w:before="0" w:after="0" w:line="240" w:lineRule="auto"/>
        <w:rPr>
          <w:rFonts w:ascii="Century Gothic" w:hAnsi="Century Gothic" w:cstheme="minorHAnsi"/>
          <w:b w:val="0"/>
          <w:i/>
          <w:sz w:val="18"/>
          <w:szCs w:val="18"/>
        </w:rPr>
      </w:pPr>
      <w:r w:rsidRPr="00C66085">
        <w:rPr>
          <w:rFonts w:ascii="Century Gothic" w:hAnsi="Century Gothic" w:cstheme="minorHAnsi"/>
          <w:b w:val="0"/>
          <w:i/>
          <w:sz w:val="18"/>
          <w:szCs w:val="18"/>
        </w:rPr>
        <w:t>Zdroj: INFOSTAT, Inštitút informatiky a štatistiky:  prognóza/projekcia obyvateľov </w:t>
      </w:r>
    </w:p>
    <w:p w14:paraId="082751CB" w14:textId="77777777" w:rsidR="007B7154" w:rsidRPr="00172C77" w:rsidRDefault="007B7154" w:rsidP="007B7154">
      <w:pPr>
        <w:spacing w:line="240" w:lineRule="auto"/>
      </w:pPr>
    </w:p>
    <w:p w14:paraId="677989AC" w14:textId="77777777" w:rsidR="007B7154" w:rsidRPr="00C72254" w:rsidRDefault="007B7154" w:rsidP="00FB6BF8">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47" w:name="_Toc145219948"/>
      <w:r w:rsidRPr="00C72254">
        <w:rPr>
          <w:rFonts w:ascii="Century Gothic" w:hAnsi="Century Gothic" w:cs="Calibri Light"/>
          <w:b w:val="0"/>
          <w:bCs w:val="0"/>
          <w:color w:val="365F91" w:themeColor="accent1" w:themeShade="BF"/>
          <w:lang w:eastAsia="en-US"/>
        </w:rPr>
        <w:t>Zdravotníctvo v ŽSK</w:t>
      </w:r>
      <w:bookmarkEnd w:id="47"/>
    </w:p>
    <w:p w14:paraId="3CA37CC7" w14:textId="77777777" w:rsidR="007B7154" w:rsidRDefault="007B7154" w:rsidP="007B7154">
      <w:pPr>
        <w:pStyle w:val="Odsekzoznamu"/>
        <w:spacing w:line="240" w:lineRule="auto"/>
      </w:pPr>
    </w:p>
    <w:p w14:paraId="66F6AA58" w14:textId="77777777" w:rsidR="007B7154" w:rsidRPr="00FB6BF8" w:rsidRDefault="007B7154" w:rsidP="007B7154">
      <w:pPr>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Žilinský kraj poskytoval v roku 2020 zdravotnú starostlivosť v 1 618 zdravotníckych zariadeniach, ktoré zahŕňali aj 10 nemocníc, 1 254 zariadení ambulantnej zdravotnej starostlivosti a 5 liečební. Región Žilinského kraja je bohatý na výskyt minerálnych a termálnych vôd, ktoré sa využívajú na liečenie v kúpeľoch Rajecké Teplice (ochorenia pohybovej a nervovej sústavy), Turčianske Teplice (urologické a reumatické ochorenia), Lúčky (ženské ochorenia) a Liptovský Ján (ochorenia tráviacej sústavy a reumatické ochorenia).</w:t>
      </w:r>
    </w:p>
    <w:p w14:paraId="1FF1D9D2" w14:textId="77777777" w:rsidR="007B7154" w:rsidRPr="00FB6BF8" w:rsidRDefault="007B7154" w:rsidP="007B7154">
      <w:pPr>
        <w:spacing w:line="240" w:lineRule="auto"/>
        <w:rPr>
          <w:rFonts w:ascii="Century Gothic" w:hAnsi="Century Gothic" w:cs="Arial"/>
          <w:color w:val="3E3E3E"/>
          <w:sz w:val="22"/>
          <w:szCs w:val="22"/>
        </w:rPr>
      </w:pPr>
    </w:p>
    <w:p w14:paraId="1C3E1DB1" w14:textId="519D9F38"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hint="eastAsia"/>
          <w:color w:val="3E3E3E"/>
          <w:sz w:val="22"/>
          <w:szCs w:val="22"/>
        </w:rPr>
        <w:t>Ž</w:t>
      </w:r>
      <w:r w:rsidRPr="00FB6BF8">
        <w:rPr>
          <w:rFonts w:ascii="Century Gothic" w:hAnsi="Century Gothic" w:cs="Arial"/>
          <w:color w:val="3E3E3E"/>
          <w:sz w:val="22"/>
          <w:szCs w:val="22"/>
        </w:rPr>
        <w:t>ilinsk</w:t>
      </w:r>
      <w:r w:rsidRPr="00FB6BF8">
        <w:rPr>
          <w:rFonts w:ascii="Century Gothic" w:hAnsi="Century Gothic" w:cs="Arial" w:hint="eastAsia"/>
          <w:color w:val="3E3E3E"/>
          <w:sz w:val="22"/>
          <w:szCs w:val="22"/>
        </w:rPr>
        <w:t>ý</w:t>
      </w:r>
      <w:r w:rsidR="00347B48">
        <w:rPr>
          <w:rFonts w:ascii="Century Gothic" w:hAnsi="Century Gothic" w:cs="Arial"/>
          <w:color w:val="3E3E3E"/>
          <w:sz w:val="22"/>
          <w:szCs w:val="22"/>
        </w:rPr>
        <w:t xml:space="preserve"> kraj </w:t>
      </w:r>
      <w:r w:rsidRPr="00FB6BF8">
        <w:rPr>
          <w:rFonts w:ascii="Century Gothic" w:hAnsi="Century Gothic" w:cs="Arial"/>
          <w:color w:val="3E3E3E"/>
          <w:sz w:val="22"/>
          <w:szCs w:val="22"/>
        </w:rPr>
        <w:t>v r</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mci po</w:t>
      </w:r>
      <w:r w:rsidRPr="00FB6BF8">
        <w:rPr>
          <w:rFonts w:ascii="Century Gothic" w:hAnsi="Century Gothic" w:cs="Arial" w:hint="eastAsia"/>
          <w:color w:val="3E3E3E"/>
          <w:sz w:val="22"/>
          <w:szCs w:val="22"/>
        </w:rPr>
        <w:t>č</w:t>
      </w:r>
      <w:r w:rsidRPr="00FB6BF8">
        <w:rPr>
          <w:rFonts w:ascii="Century Gothic" w:hAnsi="Century Gothic" w:cs="Arial"/>
          <w:color w:val="3E3E3E"/>
          <w:sz w:val="22"/>
          <w:szCs w:val="22"/>
        </w:rPr>
        <w:t>tu zariaden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 xml:space="preserve"> poskytuj</w:t>
      </w:r>
      <w:r w:rsidRPr="00FB6BF8">
        <w:rPr>
          <w:rFonts w:ascii="Century Gothic" w:hAnsi="Century Gothic" w:cs="Arial" w:hint="eastAsia"/>
          <w:color w:val="3E3E3E"/>
          <w:sz w:val="22"/>
          <w:szCs w:val="22"/>
        </w:rPr>
        <w:t>ú</w:t>
      </w:r>
      <w:r w:rsidRPr="00FB6BF8">
        <w:rPr>
          <w:rFonts w:ascii="Century Gothic" w:hAnsi="Century Gothic" w:cs="Arial"/>
          <w:color w:val="3E3E3E"/>
          <w:sz w:val="22"/>
          <w:szCs w:val="22"/>
        </w:rPr>
        <w:t>cich zdravotn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cku starostlivos</w:t>
      </w:r>
      <w:r w:rsidRPr="00FB6BF8">
        <w:rPr>
          <w:rFonts w:ascii="Century Gothic" w:hAnsi="Century Gothic" w:cs="Arial" w:hint="eastAsia"/>
          <w:color w:val="3E3E3E"/>
          <w:sz w:val="22"/>
          <w:szCs w:val="22"/>
        </w:rPr>
        <w:t>ť</w:t>
      </w:r>
      <w:r w:rsidRPr="00FB6BF8">
        <w:rPr>
          <w:rFonts w:ascii="Century Gothic" w:hAnsi="Century Gothic" w:cs="Arial"/>
          <w:color w:val="3E3E3E"/>
          <w:sz w:val="22"/>
          <w:szCs w:val="22"/>
        </w:rPr>
        <w:t xml:space="preserve"> sa pri hodnoten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 xml:space="preserve"> krajov rad</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 xml:space="preserve"> na 4. miesto </w:t>
      </w:r>
      <w:r w:rsidRPr="00FB6BF8">
        <w:rPr>
          <w:rFonts w:ascii="Century Gothic" w:hAnsi="Century Gothic" w:cs="Arial" w:hint="eastAsia"/>
          <w:color w:val="3E3E3E"/>
          <w:sz w:val="22"/>
          <w:szCs w:val="22"/>
        </w:rPr>
        <w:t>–</w:t>
      </w:r>
      <w:r w:rsidRPr="00FB6BF8">
        <w:rPr>
          <w:rFonts w:ascii="Century Gothic" w:hAnsi="Century Gothic" w:cs="Arial"/>
          <w:color w:val="3E3E3E"/>
          <w:sz w:val="22"/>
          <w:szCs w:val="22"/>
        </w:rPr>
        <w:t xml:space="preserve"> za Pre</w:t>
      </w:r>
      <w:r w:rsidRPr="00FB6BF8">
        <w:rPr>
          <w:rFonts w:ascii="Century Gothic" w:hAnsi="Century Gothic" w:cs="Arial" w:hint="eastAsia"/>
          <w:color w:val="3E3E3E"/>
          <w:sz w:val="22"/>
          <w:szCs w:val="22"/>
        </w:rPr>
        <w:t>š</w:t>
      </w:r>
      <w:r w:rsidRPr="00FB6BF8">
        <w:rPr>
          <w:rFonts w:ascii="Century Gothic" w:hAnsi="Century Gothic" w:cs="Arial"/>
          <w:color w:val="3E3E3E"/>
          <w:sz w:val="22"/>
          <w:szCs w:val="22"/>
        </w:rPr>
        <w:t>ovsk</w:t>
      </w:r>
      <w:r w:rsidRPr="00FB6BF8">
        <w:rPr>
          <w:rFonts w:ascii="Century Gothic" w:hAnsi="Century Gothic" w:cs="Arial" w:hint="eastAsia"/>
          <w:color w:val="3E3E3E"/>
          <w:sz w:val="22"/>
          <w:szCs w:val="22"/>
        </w:rPr>
        <w:t>ý</w:t>
      </w:r>
      <w:r w:rsidRPr="00FB6BF8">
        <w:rPr>
          <w:rFonts w:ascii="Century Gothic" w:hAnsi="Century Gothic" w:cs="Arial"/>
          <w:color w:val="3E3E3E"/>
          <w:sz w:val="22"/>
          <w:szCs w:val="22"/>
        </w:rPr>
        <w:t>, Ko</w:t>
      </w:r>
      <w:r w:rsidRPr="00FB6BF8">
        <w:rPr>
          <w:rFonts w:ascii="Century Gothic" w:hAnsi="Century Gothic" w:cs="Arial" w:hint="eastAsia"/>
          <w:color w:val="3E3E3E"/>
          <w:sz w:val="22"/>
          <w:szCs w:val="22"/>
        </w:rPr>
        <w:t>š</w:t>
      </w:r>
      <w:r w:rsidRPr="00FB6BF8">
        <w:rPr>
          <w:rFonts w:ascii="Century Gothic" w:hAnsi="Century Gothic" w:cs="Arial"/>
          <w:color w:val="3E3E3E"/>
          <w:sz w:val="22"/>
          <w:szCs w:val="22"/>
        </w:rPr>
        <w:t>ick</w:t>
      </w:r>
      <w:r w:rsidRPr="00FB6BF8">
        <w:rPr>
          <w:rFonts w:ascii="Century Gothic" w:hAnsi="Century Gothic" w:cs="Arial" w:hint="eastAsia"/>
          <w:color w:val="3E3E3E"/>
          <w:sz w:val="22"/>
          <w:szCs w:val="22"/>
        </w:rPr>
        <w:t>ý</w:t>
      </w:r>
      <w:r w:rsidRPr="00FB6BF8">
        <w:rPr>
          <w:rFonts w:ascii="Century Gothic" w:hAnsi="Century Gothic" w:cs="Arial"/>
          <w:color w:val="3E3E3E"/>
          <w:sz w:val="22"/>
          <w:szCs w:val="22"/>
        </w:rPr>
        <w:t xml:space="preserve"> a Bratislavsk</w:t>
      </w:r>
      <w:r w:rsidRPr="00FB6BF8">
        <w:rPr>
          <w:rFonts w:ascii="Century Gothic" w:hAnsi="Century Gothic" w:cs="Arial" w:hint="eastAsia"/>
          <w:color w:val="3E3E3E"/>
          <w:sz w:val="22"/>
          <w:szCs w:val="22"/>
        </w:rPr>
        <w:t>ý</w:t>
      </w:r>
      <w:r w:rsidRPr="00FB6BF8">
        <w:rPr>
          <w:rFonts w:ascii="Century Gothic" w:hAnsi="Century Gothic" w:cs="Arial"/>
          <w:color w:val="3E3E3E"/>
          <w:sz w:val="22"/>
          <w:szCs w:val="22"/>
        </w:rPr>
        <w:t xml:space="preserve"> kraj. V r</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mci samotn</w:t>
      </w:r>
      <w:r w:rsidRPr="00FB6BF8">
        <w:rPr>
          <w:rFonts w:ascii="Century Gothic" w:hAnsi="Century Gothic" w:cs="Arial" w:hint="eastAsia"/>
          <w:color w:val="3E3E3E"/>
          <w:sz w:val="22"/>
          <w:szCs w:val="22"/>
        </w:rPr>
        <w:t>é</w:t>
      </w:r>
      <w:r w:rsidRPr="00FB6BF8">
        <w:rPr>
          <w:rFonts w:ascii="Century Gothic" w:hAnsi="Century Gothic" w:cs="Arial"/>
          <w:color w:val="3E3E3E"/>
          <w:sz w:val="22"/>
          <w:szCs w:val="22"/>
        </w:rPr>
        <w:t>ho kraja od roku 2010 do</w:t>
      </w:r>
      <w:r w:rsidRPr="00FB6BF8">
        <w:rPr>
          <w:rFonts w:ascii="Century Gothic" w:hAnsi="Century Gothic" w:cs="Arial" w:hint="eastAsia"/>
          <w:color w:val="3E3E3E"/>
          <w:sz w:val="22"/>
          <w:szCs w:val="22"/>
        </w:rPr>
        <w:t>š</w:t>
      </w:r>
      <w:r w:rsidRPr="00FB6BF8">
        <w:rPr>
          <w:rFonts w:ascii="Century Gothic" w:hAnsi="Century Gothic" w:cs="Arial"/>
          <w:color w:val="3E3E3E"/>
          <w:sz w:val="22"/>
          <w:szCs w:val="22"/>
        </w:rPr>
        <w:t xml:space="preserve">lo celkovo k </w:t>
      </w:r>
      <w:r w:rsidRPr="00FB6BF8">
        <w:rPr>
          <w:rFonts w:ascii="Century Gothic" w:hAnsi="Century Gothic" w:cs="Arial" w:hint="eastAsia"/>
          <w:color w:val="3E3E3E"/>
          <w:sz w:val="22"/>
          <w:szCs w:val="22"/>
        </w:rPr>
        <w:t>ú</w:t>
      </w:r>
      <w:r w:rsidRPr="00FB6BF8">
        <w:rPr>
          <w:rFonts w:ascii="Century Gothic" w:hAnsi="Century Gothic" w:cs="Arial"/>
          <w:color w:val="3E3E3E"/>
          <w:sz w:val="22"/>
          <w:szCs w:val="22"/>
        </w:rPr>
        <w:t>bytku zariaden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 xml:space="preserve"> zdravotn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ckej starostlivosti. Najv</w:t>
      </w:r>
      <w:r w:rsidRPr="00FB6BF8">
        <w:rPr>
          <w:rFonts w:ascii="Century Gothic" w:hAnsi="Century Gothic" w:cs="Arial" w:hint="eastAsia"/>
          <w:color w:val="3E3E3E"/>
          <w:sz w:val="22"/>
          <w:szCs w:val="22"/>
        </w:rPr>
        <w:t>äčší</w:t>
      </w:r>
      <w:r w:rsidRPr="00FB6BF8">
        <w:rPr>
          <w:rFonts w:ascii="Century Gothic" w:hAnsi="Century Gothic" w:cs="Arial"/>
          <w:color w:val="3E3E3E"/>
          <w:sz w:val="22"/>
          <w:szCs w:val="22"/>
        </w:rPr>
        <w:t xml:space="preserve"> </w:t>
      </w:r>
      <w:r w:rsidRPr="00FB6BF8">
        <w:rPr>
          <w:rFonts w:ascii="Century Gothic" w:hAnsi="Century Gothic" w:cs="Arial" w:hint="eastAsia"/>
          <w:color w:val="3E3E3E"/>
          <w:sz w:val="22"/>
          <w:szCs w:val="22"/>
        </w:rPr>
        <w:t>ú</w:t>
      </w:r>
      <w:r w:rsidRPr="00FB6BF8">
        <w:rPr>
          <w:rFonts w:ascii="Century Gothic" w:hAnsi="Century Gothic" w:cs="Arial"/>
          <w:color w:val="3E3E3E"/>
          <w:sz w:val="22"/>
          <w:szCs w:val="22"/>
        </w:rPr>
        <w:t>bytok nastal v r</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 xml:space="preserve">mci ambulantnej zdravotnej starostlivosti </w:t>
      </w:r>
      <w:r w:rsidRPr="00FB6BF8">
        <w:rPr>
          <w:rFonts w:ascii="Century Gothic" w:hAnsi="Century Gothic" w:cs="Arial" w:hint="eastAsia"/>
          <w:color w:val="3E3E3E"/>
          <w:sz w:val="22"/>
          <w:szCs w:val="22"/>
        </w:rPr>
        <w:t>–</w:t>
      </w:r>
      <w:r w:rsidRPr="00FB6BF8">
        <w:rPr>
          <w:rFonts w:ascii="Century Gothic" w:hAnsi="Century Gothic" w:cs="Arial"/>
          <w:color w:val="3E3E3E"/>
          <w:sz w:val="22"/>
          <w:szCs w:val="22"/>
        </w:rPr>
        <w:t xml:space="preserve"> 42 zariaden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 xml:space="preserve"> (3,5 %).</w:t>
      </w:r>
    </w:p>
    <w:p w14:paraId="1605BEF5"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p>
    <w:p w14:paraId="757B848F" w14:textId="7BC3C154"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 xml:space="preserve">V </w:t>
      </w:r>
      <w:r w:rsidRPr="00FB6BF8">
        <w:rPr>
          <w:rFonts w:ascii="Century Gothic" w:hAnsi="Century Gothic" w:cs="Arial" w:hint="eastAsia"/>
          <w:color w:val="3E3E3E"/>
          <w:sz w:val="22"/>
          <w:szCs w:val="22"/>
        </w:rPr>
        <w:t>Ž</w:t>
      </w:r>
      <w:r w:rsidRPr="00FB6BF8">
        <w:rPr>
          <w:rFonts w:ascii="Century Gothic" w:hAnsi="Century Gothic" w:cs="Arial"/>
          <w:color w:val="3E3E3E"/>
          <w:sz w:val="22"/>
          <w:szCs w:val="22"/>
        </w:rPr>
        <w:t>ilinskom kraji sa nach</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dza 7 nemocn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c, z toho 3 nemocnice patria do priamej riadiacej p</w:t>
      </w:r>
      <w:r w:rsidRPr="00FB6BF8">
        <w:rPr>
          <w:rFonts w:ascii="Century Gothic" w:hAnsi="Century Gothic" w:cs="Arial" w:hint="eastAsia"/>
          <w:color w:val="3E3E3E"/>
          <w:sz w:val="22"/>
          <w:szCs w:val="22"/>
        </w:rPr>
        <w:t>ô</w:t>
      </w:r>
      <w:r w:rsidRPr="00FB6BF8">
        <w:rPr>
          <w:rFonts w:ascii="Century Gothic" w:hAnsi="Century Gothic" w:cs="Arial"/>
          <w:color w:val="3E3E3E"/>
          <w:sz w:val="22"/>
          <w:szCs w:val="22"/>
        </w:rPr>
        <w:t>sobnosti Ministerstva zdravotn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ctva Slovenskej republiky a Ministerstva obrany Slovenskej republiky, ktor</w:t>
      </w:r>
      <w:r w:rsidRPr="00FB6BF8">
        <w:rPr>
          <w:rFonts w:ascii="Century Gothic" w:hAnsi="Century Gothic" w:cs="Arial" w:hint="eastAsia"/>
          <w:color w:val="3E3E3E"/>
          <w:sz w:val="22"/>
          <w:szCs w:val="22"/>
        </w:rPr>
        <w:t>é</w:t>
      </w:r>
      <w:r w:rsidRPr="00FB6BF8">
        <w:rPr>
          <w:rFonts w:ascii="Century Gothic" w:hAnsi="Century Gothic" w:cs="Arial"/>
          <w:color w:val="3E3E3E"/>
          <w:sz w:val="22"/>
          <w:szCs w:val="22"/>
        </w:rPr>
        <w:t xml:space="preserve"> poskytuj</w:t>
      </w:r>
      <w:r w:rsidRPr="00FB6BF8">
        <w:rPr>
          <w:rFonts w:ascii="Century Gothic" w:hAnsi="Century Gothic" w:cs="Arial" w:hint="eastAsia"/>
          <w:color w:val="3E3E3E"/>
          <w:sz w:val="22"/>
          <w:szCs w:val="22"/>
        </w:rPr>
        <w:t>ú</w:t>
      </w:r>
      <w:r w:rsidRPr="00FB6BF8">
        <w:rPr>
          <w:rFonts w:ascii="Century Gothic" w:hAnsi="Century Gothic" w:cs="Arial"/>
          <w:color w:val="3E3E3E"/>
          <w:sz w:val="22"/>
          <w:szCs w:val="22"/>
        </w:rPr>
        <w:t xml:space="preserve"> zdravotn</w:t>
      </w:r>
      <w:r w:rsidRPr="00FB6BF8">
        <w:rPr>
          <w:rFonts w:ascii="Century Gothic" w:hAnsi="Century Gothic" w:cs="Arial" w:hint="eastAsia"/>
          <w:color w:val="3E3E3E"/>
          <w:sz w:val="22"/>
          <w:szCs w:val="22"/>
        </w:rPr>
        <w:t>ú</w:t>
      </w:r>
      <w:r w:rsidRPr="00FB6BF8">
        <w:rPr>
          <w:rFonts w:ascii="Century Gothic" w:hAnsi="Century Gothic" w:cs="Arial"/>
          <w:color w:val="3E3E3E"/>
          <w:sz w:val="22"/>
          <w:szCs w:val="22"/>
        </w:rPr>
        <w:t xml:space="preserve"> starostlivos</w:t>
      </w:r>
      <w:r w:rsidRPr="00FB6BF8">
        <w:rPr>
          <w:rFonts w:ascii="Century Gothic" w:hAnsi="Century Gothic" w:cs="Arial" w:hint="eastAsia"/>
          <w:color w:val="3E3E3E"/>
          <w:sz w:val="22"/>
          <w:szCs w:val="22"/>
        </w:rPr>
        <w:t>ť</w:t>
      </w:r>
      <w:r w:rsidRPr="00FB6BF8">
        <w:rPr>
          <w:rFonts w:ascii="Century Gothic" w:hAnsi="Century Gothic" w:cs="Arial"/>
          <w:color w:val="3E3E3E"/>
          <w:sz w:val="22"/>
          <w:szCs w:val="22"/>
        </w:rPr>
        <w:t xml:space="preserve"> pre cca</w:t>
      </w:r>
      <w:r w:rsidR="00347B48">
        <w:rPr>
          <w:rFonts w:ascii="Century Gothic" w:hAnsi="Century Gothic" w:cs="Arial"/>
          <w:color w:val="3E3E3E"/>
          <w:sz w:val="22"/>
          <w:szCs w:val="22"/>
        </w:rPr>
        <w:t>.</w:t>
      </w:r>
      <w:r w:rsidR="007756C0">
        <w:rPr>
          <w:rFonts w:ascii="Century Gothic" w:hAnsi="Century Gothic" w:cs="Arial"/>
          <w:color w:val="3E3E3E"/>
          <w:sz w:val="22"/>
          <w:szCs w:val="22"/>
        </w:rPr>
        <w:t xml:space="preserve"> 690 000</w:t>
      </w:r>
      <w:r w:rsidRPr="00FB6BF8">
        <w:rPr>
          <w:rFonts w:ascii="Century Gothic" w:hAnsi="Century Gothic" w:cs="Arial"/>
          <w:color w:val="3E3E3E"/>
          <w:sz w:val="22"/>
          <w:szCs w:val="22"/>
        </w:rPr>
        <w:t xml:space="preserve"> obyvate</w:t>
      </w:r>
      <w:r w:rsidRPr="00FB6BF8">
        <w:rPr>
          <w:rFonts w:ascii="Century Gothic" w:hAnsi="Century Gothic" w:cs="Arial" w:hint="eastAsia"/>
          <w:color w:val="3E3E3E"/>
          <w:sz w:val="22"/>
          <w:szCs w:val="22"/>
        </w:rPr>
        <w:t>ľ</w:t>
      </w:r>
      <w:r w:rsidRPr="00FB6BF8">
        <w:rPr>
          <w:rFonts w:ascii="Century Gothic" w:hAnsi="Century Gothic" w:cs="Arial"/>
          <w:color w:val="3E3E3E"/>
          <w:sz w:val="22"/>
          <w:szCs w:val="22"/>
        </w:rPr>
        <w:t xml:space="preserve">ov </w:t>
      </w:r>
      <w:r w:rsidRPr="00FB6BF8">
        <w:rPr>
          <w:rFonts w:ascii="Century Gothic" w:hAnsi="Century Gothic" w:cs="Arial" w:hint="eastAsia"/>
          <w:color w:val="3E3E3E"/>
          <w:sz w:val="22"/>
          <w:szCs w:val="22"/>
        </w:rPr>
        <w:t>Ž</w:t>
      </w:r>
      <w:r w:rsidRPr="00FB6BF8">
        <w:rPr>
          <w:rFonts w:ascii="Century Gothic" w:hAnsi="Century Gothic" w:cs="Arial"/>
          <w:color w:val="3E3E3E"/>
          <w:sz w:val="22"/>
          <w:szCs w:val="22"/>
        </w:rPr>
        <w:t>ilinsk</w:t>
      </w:r>
      <w:r w:rsidRPr="00FB6BF8">
        <w:rPr>
          <w:rFonts w:ascii="Century Gothic" w:hAnsi="Century Gothic" w:cs="Arial" w:hint="eastAsia"/>
          <w:color w:val="3E3E3E"/>
          <w:sz w:val="22"/>
          <w:szCs w:val="22"/>
        </w:rPr>
        <w:t>é</w:t>
      </w:r>
      <w:r w:rsidRPr="00FB6BF8">
        <w:rPr>
          <w:rFonts w:ascii="Century Gothic" w:hAnsi="Century Gothic" w:cs="Arial"/>
          <w:color w:val="3E3E3E"/>
          <w:sz w:val="22"/>
          <w:szCs w:val="22"/>
        </w:rPr>
        <w:t>ho kraja, v niektor</w:t>
      </w:r>
      <w:r w:rsidRPr="00FB6BF8">
        <w:rPr>
          <w:rFonts w:ascii="Century Gothic" w:hAnsi="Century Gothic" w:cs="Arial" w:hint="eastAsia"/>
          <w:color w:val="3E3E3E"/>
          <w:sz w:val="22"/>
          <w:szCs w:val="22"/>
        </w:rPr>
        <w:t>ý</w:t>
      </w:r>
      <w:r w:rsidRPr="00FB6BF8">
        <w:rPr>
          <w:rFonts w:ascii="Century Gothic" w:hAnsi="Century Gothic" w:cs="Arial"/>
          <w:color w:val="3E3E3E"/>
          <w:sz w:val="22"/>
          <w:szCs w:val="22"/>
        </w:rPr>
        <w:t>ch odboroch aj pre obyvate</w:t>
      </w:r>
      <w:r w:rsidRPr="00FB6BF8">
        <w:rPr>
          <w:rFonts w:ascii="Century Gothic" w:hAnsi="Century Gothic" w:cs="Arial" w:hint="eastAsia"/>
          <w:color w:val="3E3E3E"/>
          <w:sz w:val="22"/>
          <w:szCs w:val="22"/>
        </w:rPr>
        <w:t>ľ</w:t>
      </w:r>
      <w:r w:rsidRPr="00FB6BF8">
        <w:rPr>
          <w:rFonts w:ascii="Century Gothic" w:hAnsi="Century Gothic" w:cs="Arial"/>
          <w:color w:val="3E3E3E"/>
          <w:sz w:val="22"/>
          <w:szCs w:val="22"/>
        </w:rPr>
        <w:t>ov z celej SR.</w:t>
      </w:r>
    </w:p>
    <w:p w14:paraId="1E994DB3"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p>
    <w:p w14:paraId="7A46874B"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Nemocnice v riadiacej p</w:t>
      </w:r>
      <w:r w:rsidRPr="00FB6BF8">
        <w:rPr>
          <w:rFonts w:ascii="Century Gothic" w:hAnsi="Century Gothic" w:cs="Arial" w:hint="eastAsia"/>
          <w:color w:val="3E3E3E"/>
          <w:sz w:val="22"/>
          <w:szCs w:val="22"/>
        </w:rPr>
        <w:t>ô</w:t>
      </w:r>
      <w:r w:rsidRPr="00FB6BF8">
        <w:rPr>
          <w:rFonts w:ascii="Century Gothic" w:hAnsi="Century Gothic" w:cs="Arial"/>
          <w:color w:val="3E3E3E"/>
          <w:sz w:val="22"/>
          <w:szCs w:val="22"/>
        </w:rPr>
        <w:t xml:space="preserve">sobnosti Ministerstva zdravotníctva SR: </w:t>
      </w:r>
    </w:p>
    <w:p w14:paraId="7EC13C15" w14:textId="78DCF349" w:rsidR="007B7154" w:rsidRPr="00FB6BF8" w:rsidRDefault="007B7154" w:rsidP="002A5F23">
      <w:pPr>
        <w:pStyle w:val="Odsekzoznamu"/>
        <w:numPr>
          <w:ilvl w:val="0"/>
          <w:numId w:val="39"/>
        </w:num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Univerzitn</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 xml:space="preserve"> nemocnica Martin</w:t>
      </w:r>
      <w:r w:rsidR="00347B48">
        <w:rPr>
          <w:rFonts w:ascii="Century Gothic" w:hAnsi="Century Gothic" w:cs="Arial"/>
          <w:color w:val="3E3E3E"/>
          <w:sz w:val="22"/>
          <w:szCs w:val="22"/>
        </w:rPr>
        <w:t>.</w:t>
      </w:r>
    </w:p>
    <w:p w14:paraId="562AEAF0" w14:textId="307F9022" w:rsidR="007B7154" w:rsidRPr="00FB6BF8" w:rsidRDefault="007B7154" w:rsidP="002A5F23">
      <w:pPr>
        <w:pStyle w:val="Odsekzoznamu"/>
        <w:numPr>
          <w:ilvl w:val="0"/>
          <w:numId w:val="39"/>
        </w:num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Fakultn</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 xml:space="preserve"> nemocnica s poliklinikou </w:t>
      </w:r>
      <w:r w:rsidRPr="00FB6BF8">
        <w:rPr>
          <w:rFonts w:ascii="Century Gothic" w:hAnsi="Century Gothic" w:cs="Arial" w:hint="eastAsia"/>
          <w:color w:val="3E3E3E"/>
          <w:sz w:val="22"/>
          <w:szCs w:val="22"/>
        </w:rPr>
        <w:t>Ž</w:t>
      </w:r>
      <w:r w:rsidRPr="00FB6BF8">
        <w:rPr>
          <w:rFonts w:ascii="Century Gothic" w:hAnsi="Century Gothic" w:cs="Arial"/>
          <w:color w:val="3E3E3E"/>
          <w:sz w:val="22"/>
          <w:szCs w:val="22"/>
        </w:rPr>
        <w:t>ilina</w:t>
      </w:r>
      <w:r w:rsidR="00347B48">
        <w:rPr>
          <w:rFonts w:ascii="Century Gothic" w:hAnsi="Century Gothic" w:cs="Arial"/>
          <w:color w:val="3E3E3E"/>
          <w:sz w:val="22"/>
          <w:szCs w:val="22"/>
        </w:rPr>
        <w:t>.</w:t>
      </w:r>
    </w:p>
    <w:p w14:paraId="4783D606"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p>
    <w:p w14:paraId="27B6800B"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Nemocnice v riadiacej p</w:t>
      </w:r>
      <w:r w:rsidRPr="00FB6BF8">
        <w:rPr>
          <w:rFonts w:ascii="Century Gothic" w:hAnsi="Century Gothic" w:cs="Arial" w:hint="eastAsia"/>
          <w:color w:val="3E3E3E"/>
          <w:sz w:val="22"/>
          <w:szCs w:val="22"/>
        </w:rPr>
        <w:t>ô</w:t>
      </w:r>
      <w:r w:rsidRPr="00FB6BF8">
        <w:rPr>
          <w:rFonts w:ascii="Century Gothic" w:hAnsi="Century Gothic" w:cs="Arial"/>
          <w:color w:val="3E3E3E"/>
          <w:sz w:val="22"/>
          <w:szCs w:val="22"/>
        </w:rPr>
        <w:t>sobnosti Ministerstva obrany SR:</w:t>
      </w:r>
    </w:p>
    <w:p w14:paraId="1F5AF400" w14:textId="1AF447BA" w:rsidR="007B7154" w:rsidRPr="00FB6BF8" w:rsidRDefault="007B7154" w:rsidP="002A5F23">
      <w:pPr>
        <w:pStyle w:val="Odsekzoznamu"/>
        <w:numPr>
          <w:ilvl w:val="0"/>
          <w:numId w:val="39"/>
        </w:num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hint="eastAsia"/>
          <w:color w:val="3E3E3E"/>
          <w:sz w:val="22"/>
          <w:szCs w:val="22"/>
        </w:rPr>
        <w:t>Ú</w:t>
      </w:r>
      <w:r w:rsidRPr="00FB6BF8">
        <w:rPr>
          <w:rFonts w:ascii="Century Gothic" w:hAnsi="Century Gothic" w:cs="Arial"/>
          <w:color w:val="3E3E3E"/>
          <w:sz w:val="22"/>
          <w:szCs w:val="22"/>
        </w:rPr>
        <w:t>stredn</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 xml:space="preserve"> vojensk</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 xml:space="preserve"> nemocnica Ru</w:t>
      </w:r>
      <w:r w:rsidRPr="00FB6BF8">
        <w:rPr>
          <w:rFonts w:ascii="Century Gothic" w:hAnsi="Century Gothic" w:cs="Arial" w:hint="eastAsia"/>
          <w:color w:val="3E3E3E"/>
          <w:sz w:val="22"/>
          <w:szCs w:val="22"/>
        </w:rPr>
        <w:t>ž</w:t>
      </w:r>
      <w:r w:rsidRPr="00FB6BF8">
        <w:rPr>
          <w:rFonts w:ascii="Century Gothic" w:hAnsi="Century Gothic" w:cs="Arial"/>
          <w:color w:val="3E3E3E"/>
          <w:sz w:val="22"/>
          <w:szCs w:val="22"/>
        </w:rPr>
        <w:t>omberok</w:t>
      </w:r>
      <w:r w:rsidR="00347B48">
        <w:rPr>
          <w:rFonts w:ascii="Century Gothic" w:hAnsi="Century Gothic" w:cs="Arial"/>
          <w:color w:val="3E3E3E"/>
          <w:sz w:val="22"/>
          <w:szCs w:val="22"/>
        </w:rPr>
        <w:t>.</w:t>
      </w:r>
    </w:p>
    <w:p w14:paraId="7F4F5AD8" w14:textId="77777777" w:rsidR="007B7154" w:rsidRPr="00FB6BF8" w:rsidRDefault="007B7154" w:rsidP="007B7154">
      <w:pPr>
        <w:spacing w:line="240" w:lineRule="auto"/>
        <w:rPr>
          <w:rFonts w:ascii="Century Gothic" w:hAnsi="Century Gothic"/>
          <w:sz w:val="22"/>
          <w:szCs w:val="22"/>
        </w:rPr>
      </w:pPr>
    </w:p>
    <w:p w14:paraId="225D0F2D" w14:textId="0014962B" w:rsidR="007B7154" w:rsidRPr="00FB6BF8" w:rsidRDefault="007B7154" w:rsidP="007B7154">
      <w:pPr>
        <w:spacing w:line="240" w:lineRule="auto"/>
        <w:rPr>
          <w:rFonts w:ascii="Century Gothic" w:hAnsi="Century Gothic"/>
          <w:sz w:val="22"/>
          <w:szCs w:val="22"/>
        </w:rPr>
      </w:pPr>
      <w:r w:rsidRPr="00FB6BF8">
        <w:rPr>
          <w:rFonts w:ascii="Century Gothic" w:hAnsi="Century Gothic"/>
          <w:sz w:val="22"/>
          <w:szCs w:val="22"/>
        </w:rPr>
        <w:lastRenderedPageBreak/>
        <w:t xml:space="preserve">V rámci počtu pracovných miest samostatných zdravotníckych pracovníkov v zdravotníckych zariadeniach sa radí Žilinský kraj v hodnotení krajov na </w:t>
      </w:r>
      <w:r w:rsidR="00556FED">
        <w:rPr>
          <w:rFonts w:ascii="Century Gothic" w:hAnsi="Century Gothic"/>
          <w:sz w:val="22"/>
          <w:szCs w:val="22"/>
        </w:rPr>
        <w:t>3</w:t>
      </w:r>
      <w:r w:rsidRPr="00FB6BF8">
        <w:rPr>
          <w:rFonts w:ascii="Century Gothic" w:hAnsi="Century Gothic"/>
          <w:sz w:val="22"/>
          <w:szCs w:val="22"/>
        </w:rPr>
        <w:t>. mie</w:t>
      </w:r>
      <w:r w:rsidR="00556FED">
        <w:rPr>
          <w:rFonts w:ascii="Century Gothic" w:hAnsi="Century Gothic"/>
          <w:sz w:val="22"/>
          <w:szCs w:val="22"/>
        </w:rPr>
        <w:t>sto – za Bratislavský a Košický kraj</w:t>
      </w:r>
      <w:r w:rsidRPr="00FB6BF8">
        <w:rPr>
          <w:rFonts w:ascii="Century Gothic" w:hAnsi="Century Gothic"/>
          <w:sz w:val="22"/>
          <w:szCs w:val="22"/>
        </w:rPr>
        <w:t>.</w:t>
      </w:r>
    </w:p>
    <w:p w14:paraId="3B66642F" w14:textId="77777777" w:rsidR="00FB6BF8" w:rsidRDefault="00FB6BF8" w:rsidP="007B7154">
      <w:pPr>
        <w:spacing w:line="240" w:lineRule="auto"/>
        <w:rPr>
          <w:rFonts w:ascii="Century Gothic" w:hAnsi="Century Gothic"/>
        </w:rPr>
      </w:pPr>
    </w:p>
    <w:p w14:paraId="350C39FB" w14:textId="289FADED" w:rsidR="007B7154" w:rsidRDefault="007B7154" w:rsidP="007B7154">
      <w:pPr>
        <w:pStyle w:val="Popis"/>
        <w:spacing w:before="0" w:after="0" w:line="240" w:lineRule="auto"/>
        <w:jc w:val="both"/>
        <w:rPr>
          <w:rFonts w:ascii="Century Gothic" w:hAnsi="Century Gothic" w:cstheme="minorHAnsi"/>
          <w:b w:val="0"/>
          <w:i/>
        </w:rPr>
      </w:pPr>
      <w:bookmarkStart w:id="48" w:name="_Toc112229205"/>
      <w:bookmarkStart w:id="49" w:name="_Toc112230019"/>
      <w:bookmarkStart w:id="50" w:name="_Toc145219907"/>
      <w:r w:rsidRPr="002973F4">
        <w:rPr>
          <w:rFonts w:ascii="Century Gothic" w:hAnsi="Century Gothic" w:cstheme="minorHAnsi"/>
          <w:b w:val="0"/>
          <w:i/>
        </w:rPr>
        <w:t xml:space="preserve">Tabuľka </w:t>
      </w:r>
      <w:r w:rsidRPr="002973F4">
        <w:rPr>
          <w:rFonts w:ascii="Century Gothic" w:hAnsi="Century Gothic" w:cstheme="minorHAnsi"/>
          <w:b w:val="0"/>
          <w:i/>
        </w:rPr>
        <w:fldChar w:fldCharType="begin"/>
      </w:r>
      <w:r w:rsidRPr="002973F4">
        <w:rPr>
          <w:rFonts w:ascii="Century Gothic" w:hAnsi="Century Gothic" w:cstheme="minorHAnsi"/>
          <w:b w:val="0"/>
          <w:i/>
        </w:rPr>
        <w:instrText xml:space="preserve"> SEQ Tabuľka \* ARABIC </w:instrText>
      </w:r>
      <w:r w:rsidRPr="002973F4">
        <w:rPr>
          <w:rFonts w:ascii="Century Gothic" w:hAnsi="Century Gothic" w:cstheme="minorHAnsi"/>
          <w:b w:val="0"/>
          <w:i/>
        </w:rPr>
        <w:fldChar w:fldCharType="separate"/>
      </w:r>
      <w:r w:rsidR="007D6A44">
        <w:rPr>
          <w:rFonts w:ascii="Century Gothic" w:hAnsi="Century Gothic" w:cstheme="minorHAnsi"/>
          <w:b w:val="0"/>
          <w:i/>
          <w:noProof/>
        </w:rPr>
        <w:t>6</w:t>
      </w:r>
      <w:r w:rsidRPr="002973F4">
        <w:rPr>
          <w:rFonts w:ascii="Century Gothic" w:hAnsi="Century Gothic" w:cstheme="minorHAnsi"/>
          <w:b w:val="0"/>
          <w:i/>
        </w:rPr>
        <w:fldChar w:fldCharType="end"/>
      </w:r>
      <w:r w:rsidRPr="002973F4">
        <w:rPr>
          <w:rFonts w:ascii="Century Gothic" w:hAnsi="Century Gothic" w:cstheme="minorHAnsi"/>
          <w:b w:val="0"/>
          <w:i/>
        </w:rPr>
        <w:t xml:space="preserve"> </w:t>
      </w:r>
      <w:bookmarkEnd w:id="48"/>
      <w:r>
        <w:rPr>
          <w:rFonts w:ascii="Century Gothic" w:hAnsi="Century Gothic" w:cstheme="minorHAnsi"/>
          <w:b w:val="0"/>
          <w:i/>
        </w:rPr>
        <w:t>Počet pracovných miest samostatných zdravotníckych pracovníkov v zdravotníckych zariadeniach</w:t>
      </w:r>
      <w:bookmarkEnd w:id="49"/>
      <w:bookmarkEnd w:id="50"/>
    </w:p>
    <w:p w14:paraId="03CEA202" w14:textId="0992220A" w:rsidR="005903B7" w:rsidRDefault="005903B7" w:rsidP="00C90326">
      <w:pPr>
        <w:spacing w:line="240" w:lineRule="auto"/>
        <w:ind w:left="-142"/>
        <w:rPr>
          <w:rFonts w:ascii="Century Gothic" w:hAnsi="Century Gothic"/>
        </w:rPr>
      </w:pPr>
      <w:r w:rsidRPr="005903B7">
        <w:rPr>
          <w:noProof/>
        </w:rPr>
        <w:drawing>
          <wp:inline distT="0" distB="0" distL="0" distR="0" wp14:anchorId="4FD6D3E2" wp14:editId="2FD0B19D">
            <wp:extent cx="6142796" cy="1935125"/>
            <wp:effectExtent l="0" t="0" r="0" b="82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3893" cy="1941771"/>
                    </a:xfrm>
                    <a:prstGeom prst="rect">
                      <a:avLst/>
                    </a:prstGeom>
                    <a:noFill/>
                    <a:ln>
                      <a:noFill/>
                    </a:ln>
                  </pic:spPr>
                </pic:pic>
              </a:graphicData>
            </a:graphic>
          </wp:inline>
        </w:drawing>
      </w:r>
    </w:p>
    <w:p w14:paraId="2A3F9BF2" w14:textId="46547D71" w:rsidR="007B7154" w:rsidRPr="004B62AF" w:rsidRDefault="007B7154" w:rsidP="007B7154">
      <w:pPr>
        <w:pStyle w:val="Popis"/>
        <w:spacing w:before="0" w:after="0" w:line="240" w:lineRule="auto"/>
        <w:rPr>
          <w:rFonts w:ascii="Century Gothic" w:hAnsi="Century Gothic" w:cstheme="minorHAnsi"/>
          <w:b w:val="0"/>
          <w:i/>
          <w:sz w:val="18"/>
          <w:szCs w:val="18"/>
        </w:rPr>
      </w:pPr>
      <w:r w:rsidRPr="004B62AF">
        <w:rPr>
          <w:rFonts w:ascii="Century Gothic" w:hAnsi="Century Gothic" w:cstheme="minorHAnsi"/>
          <w:b w:val="0"/>
          <w:i/>
          <w:sz w:val="18"/>
          <w:szCs w:val="18"/>
        </w:rPr>
        <w:t xml:space="preserve">Zdroj: </w:t>
      </w:r>
      <w:r w:rsidR="004646D5">
        <w:rPr>
          <w:rFonts w:ascii="Century Gothic" w:hAnsi="Century Gothic" w:cstheme="minorHAnsi"/>
          <w:b w:val="0"/>
          <w:i/>
          <w:sz w:val="18"/>
          <w:szCs w:val="18"/>
        </w:rPr>
        <w:t>Zdravotnícka ročenka Slovenskej republiky 2021</w:t>
      </w:r>
    </w:p>
    <w:p w14:paraId="654E517A" w14:textId="77777777" w:rsidR="007B7154" w:rsidRPr="00172C77" w:rsidRDefault="007B7154" w:rsidP="007B7154">
      <w:pPr>
        <w:spacing w:line="240" w:lineRule="auto"/>
        <w:rPr>
          <w:rFonts w:ascii="Century Gothic" w:hAnsi="Century Gothic"/>
        </w:rPr>
      </w:pPr>
    </w:p>
    <w:p w14:paraId="0898A8DD" w14:textId="4EEC4E76"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Najvy</w:t>
      </w:r>
      <w:r w:rsidRPr="00FB6BF8">
        <w:rPr>
          <w:rFonts w:ascii="Century Gothic" w:hAnsi="Century Gothic" w:cs="Arial" w:hint="eastAsia"/>
          <w:color w:val="3E3E3E"/>
          <w:sz w:val="22"/>
          <w:szCs w:val="22"/>
        </w:rPr>
        <w:t>šší</w:t>
      </w:r>
      <w:r w:rsidRPr="00FB6BF8">
        <w:rPr>
          <w:rFonts w:ascii="Century Gothic" w:hAnsi="Century Gothic" w:cs="Arial"/>
          <w:color w:val="3E3E3E"/>
          <w:sz w:val="22"/>
          <w:szCs w:val="22"/>
        </w:rPr>
        <w:t xml:space="preserve"> po</w:t>
      </w:r>
      <w:r w:rsidRPr="00FB6BF8">
        <w:rPr>
          <w:rFonts w:ascii="Century Gothic" w:hAnsi="Century Gothic" w:cs="Arial" w:hint="eastAsia"/>
          <w:color w:val="3E3E3E"/>
          <w:sz w:val="22"/>
          <w:szCs w:val="22"/>
        </w:rPr>
        <w:t>č</w:t>
      </w:r>
      <w:r w:rsidRPr="00FB6BF8">
        <w:rPr>
          <w:rFonts w:ascii="Century Gothic" w:hAnsi="Century Gothic" w:cs="Arial"/>
          <w:color w:val="3E3E3E"/>
          <w:sz w:val="22"/>
          <w:szCs w:val="22"/>
        </w:rPr>
        <w:t>et pracovn</w:t>
      </w:r>
      <w:r w:rsidRPr="00FB6BF8">
        <w:rPr>
          <w:rFonts w:ascii="Century Gothic" w:hAnsi="Century Gothic" w:cs="Arial" w:hint="eastAsia"/>
          <w:color w:val="3E3E3E"/>
          <w:sz w:val="22"/>
          <w:szCs w:val="22"/>
        </w:rPr>
        <w:t>í</w:t>
      </w:r>
      <w:r w:rsidRPr="00FB6BF8">
        <w:rPr>
          <w:rFonts w:ascii="Century Gothic" w:hAnsi="Century Gothic" w:cs="Arial"/>
          <w:color w:val="3E3E3E"/>
          <w:sz w:val="22"/>
          <w:szCs w:val="22"/>
        </w:rPr>
        <w:t>kov v zdravotn</w:t>
      </w:r>
      <w:r w:rsidRPr="00FB6BF8">
        <w:rPr>
          <w:rFonts w:ascii="Century Gothic" w:hAnsi="Century Gothic" w:cs="Arial" w:hint="eastAsia"/>
          <w:color w:val="3E3E3E"/>
          <w:sz w:val="22"/>
          <w:szCs w:val="22"/>
        </w:rPr>
        <w:t>í</w:t>
      </w:r>
      <w:r w:rsidR="00556FED">
        <w:rPr>
          <w:rFonts w:ascii="Century Gothic" w:hAnsi="Century Gothic" w:cs="Arial"/>
          <w:color w:val="3E3E3E"/>
          <w:sz w:val="22"/>
          <w:szCs w:val="22"/>
        </w:rPr>
        <w:t>ctve v roku 2021</w:t>
      </w:r>
      <w:r w:rsidRPr="00FB6BF8">
        <w:rPr>
          <w:rFonts w:ascii="Century Gothic" w:hAnsi="Century Gothic" w:cs="Arial"/>
          <w:color w:val="3E3E3E"/>
          <w:sz w:val="22"/>
          <w:szCs w:val="22"/>
        </w:rPr>
        <w:t xml:space="preserve"> mal okres Martin (4 </w:t>
      </w:r>
      <w:r w:rsidR="00556FED">
        <w:rPr>
          <w:rFonts w:ascii="Century Gothic" w:hAnsi="Century Gothic" w:cs="Arial"/>
          <w:color w:val="3E3E3E"/>
          <w:sz w:val="22"/>
          <w:szCs w:val="22"/>
        </w:rPr>
        <w:t>688</w:t>
      </w:r>
      <w:r w:rsidRPr="00FB6BF8">
        <w:rPr>
          <w:rFonts w:ascii="Century Gothic" w:hAnsi="Century Gothic" w:cs="Arial"/>
          <w:color w:val="3E3E3E"/>
          <w:sz w:val="22"/>
          <w:szCs w:val="22"/>
        </w:rPr>
        <w:t>) a n</w:t>
      </w:r>
      <w:r w:rsidRPr="00FB6BF8">
        <w:rPr>
          <w:rFonts w:ascii="Century Gothic" w:hAnsi="Century Gothic" w:cs="Arial" w:hint="eastAsia"/>
          <w:color w:val="3E3E3E"/>
          <w:sz w:val="22"/>
          <w:szCs w:val="22"/>
        </w:rPr>
        <w:t>á</w:t>
      </w:r>
      <w:r w:rsidRPr="00FB6BF8">
        <w:rPr>
          <w:rFonts w:ascii="Century Gothic" w:hAnsi="Century Gothic" w:cs="Arial"/>
          <w:color w:val="3E3E3E"/>
          <w:sz w:val="22"/>
          <w:szCs w:val="22"/>
        </w:rPr>
        <w:t xml:space="preserve">sledne </w:t>
      </w:r>
      <w:r w:rsidRPr="00FB6BF8">
        <w:rPr>
          <w:rFonts w:ascii="Century Gothic" w:hAnsi="Century Gothic" w:cs="Arial" w:hint="eastAsia"/>
          <w:color w:val="3E3E3E"/>
          <w:sz w:val="22"/>
          <w:szCs w:val="22"/>
        </w:rPr>
        <w:t>Ž</w:t>
      </w:r>
      <w:r w:rsidR="00556FED">
        <w:rPr>
          <w:rFonts w:ascii="Century Gothic" w:hAnsi="Century Gothic" w:cs="Arial"/>
          <w:color w:val="3E3E3E"/>
          <w:sz w:val="22"/>
          <w:szCs w:val="22"/>
        </w:rPr>
        <w:t>ilina (3 388</w:t>
      </w:r>
      <w:r w:rsidRPr="00FB6BF8">
        <w:rPr>
          <w:rFonts w:ascii="Century Gothic" w:hAnsi="Century Gothic" w:cs="Arial"/>
          <w:color w:val="3E3E3E"/>
          <w:sz w:val="22"/>
          <w:szCs w:val="22"/>
        </w:rPr>
        <w:t>).</w:t>
      </w:r>
      <w:r w:rsidR="00556FED">
        <w:rPr>
          <w:rFonts w:ascii="Century Gothic" w:hAnsi="Century Gothic" w:cs="Arial"/>
          <w:color w:val="3E3E3E"/>
          <w:sz w:val="22"/>
          <w:szCs w:val="22"/>
        </w:rPr>
        <w:t xml:space="preserve"> </w:t>
      </w:r>
    </w:p>
    <w:p w14:paraId="6392DD35"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p>
    <w:p w14:paraId="399B3DBD" w14:textId="777DD44D" w:rsidR="007B7154" w:rsidRDefault="007B7154" w:rsidP="007B7154">
      <w:pPr>
        <w:pStyle w:val="Popis"/>
        <w:spacing w:before="0" w:after="0" w:line="240" w:lineRule="auto"/>
        <w:jc w:val="both"/>
        <w:rPr>
          <w:rFonts w:ascii="Century Gothic" w:hAnsi="Century Gothic" w:cstheme="minorHAnsi"/>
          <w:b w:val="0"/>
          <w:i/>
        </w:rPr>
      </w:pPr>
      <w:bookmarkStart w:id="51" w:name="_Toc112230020"/>
      <w:bookmarkStart w:id="52" w:name="_Toc145219908"/>
      <w:r w:rsidRPr="00753965">
        <w:rPr>
          <w:rFonts w:ascii="Century Gothic" w:hAnsi="Century Gothic" w:cstheme="minorHAnsi"/>
          <w:b w:val="0"/>
          <w:i/>
        </w:rPr>
        <w:t xml:space="preserve">Tabuľka </w:t>
      </w:r>
      <w:r w:rsidRPr="00753965">
        <w:rPr>
          <w:rFonts w:ascii="Century Gothic" w:hAnsi="Century Gothic" w:cstheme="minorHAnsi"/>
          <w:b w:val="0"/>
          <w:i/>
        </w:rPr>
        <w:fldChar w:fldCharType="begin"/>
      </w:r>
      <w:r w:rsidRPr="00753965">
        <w:rPr>
          <w:rFonts w:ascii="Century Gothic" w:hAnsi="Century Gothic" w:cstheme="minorHAnsi"/>
          <w:b w:val="0"/>
          <w:i/>
        </w:rPr>
        <w:instrText xml:space="preserve"> SEQ Tabuľka \* ARABIC </w:instrText>
      </w:r>
      <w:r w:rsidRPr="00753965">
        <w:rPr>
          <w:rFonts w:ascii="Century Gothic" w:hAnsi="Century Gothic" w:cstheme="minorHAnsi"/>
          <w:b w:val="0"/>
          <w:i/>
        </w:rPr>
        <w:fldChar w:fldCharType="separate"/>
      </w:r>
      <w:r w:rsidR="007D6A44">
        <w:rPr>
          <w:rFonts w:ascii="Century Gothic" w:hAnsi="Century Gothic" w:cstheme="minorHAnsi"/>
          <w:b w:val="0"/>
          <w:i/>
          <w:noProof/>
        </w:rPr>
        <w:t>7</w:t>
      </w:r>
      <w:r w:rsidRPr="00753965">
        <w:rPr>
          <w:rFonts w:ascii="Century Gothic" w:hAnsi="Century Gothic" w:cstheme="minorHAnsi"/>
          <w:b w:val="0"/>
          <w:i/>
        </w:rPr>
        <w:fldChar w:fldCharType="end"/>
      </w:r>
      <w:r w:rsidRPr="002973F4">
        <w:rPr>
          <w:rFonts w:ascii="Century Gothic" w:hAnsi="Century Gothic" w:cstheme="minorHAnsi"/>
          <w:b w:val="0"/>
          <w:i/>
        </w:rPr>
        <w:t xml:space="preserve"> </w:t>
      </w:r>
      <w:r>
        <w:rPr>
          <w:rFonts w:ascii="Century Gothic" w:hAnsi="Century Gothic" w:cstheme="minorHAnsi"/>
          <w:b w:val="0"/>
          <w:i/>
        </w:rPr>
        <w:t>Počet pracovných miest samostatných zdravotníckych pracovníkov v zdravotníckych zariadeniach</w:t>
      </w:r>
      <w:bookmarkEnd w:id="51"/>
      <w:r>
        <w:rPr>
          <w:rFonts w:ascii="Century Gothic" w:hAnsi="Century Gothic" w:cstheme="minorHAnsi"/>
          <w:b w:val="0"/>
          <w:i/>
        </w:rPr>
        <w:t xml:space="preserve"> v Žilinskom kraji podľa okresov</w:t>
      </w:r>
      <w:bookmarkEnd w:id="52"/>
    </w:p>
    <w:p w14:paraId="075D957D" w14:textId="6CC2897A" w:rsidR="00C90326" w:rsidRDefault="00C90326" w:rsidP="004646D5">
      <w:pPr>
        <w:autoSpaceDE w:val="0"/>
        <w:autoSpaceDN w:val="0"/>
        <w:adjustRightInd w:val="0"/>
        <w:spacing w:line="240" w:lineRule="auto"/>
        <w:ind w:left="-142"/>
        <w:rPr>
          <w:rFonts w:ascii="Century Gothic" w:hAnsi="Century Gothic" w:cs="Arial"/>
          <w:color w:val="3E3E3E"/>
        </w:rPr>
      </w:pPr>
      <w:r w:rsidRPr="00C90326">
        <w:rPr>
          <w:noProof/>
        </w:rPr>
        <w:drawing>
          <wp:inline distT="0" distB="0" distL="0" distR="0" wp14:anchorId="0E6521B9" wp14:editId="058733FC">
            <wp:extent cx="6117614" cy="2419350"/>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6473" cy="2422854"/>
                    </a:xfrm>
                    <a:prstGeom prst="rect">
                      <a:avLst/>
                    </a:prstGeom>
                    <a:noFill/>
                    <a:ln>
                      <a:noFill/>
                    </a:ln>
                  </pic:spPr>
                </pic:pic>
              </a:graphicData>
            </a:graphic>
          </wp:inline>
        </w:drawing>
      </w:r>
    </w:p>
    <w:p w14:paraId="6C24C83A" w14:textId="02C20634" w:rsidR="007B7154" w:rsidRPr="004B62AF" w:rsidRDefault="007B7154" w:rsidP="007B7154">
      <w:pPr>
        <w:pStyle w:val="Popis"/>
        <w:spacing w:before="0" w:after="0" w:line="240" w:lineRule="auto"/>
        <w:rPr>
          <w:rFonts w:ascii="Century Gothic" w:hAnsi="Century Gothic" w:cstheme="minorHAnsi"/>
          <w:b w:val="0"/>
          <w:i/>
          <w:sz w:val="18"/>
          <w:szCs w:val="18"/>
        </w:rPr>
      </w:pPr>
      <w:r w:rsidRPr="004B62AF">
        <w:rPr>
          <w:rFonts w:ascii="Century Gothic" w:hAnsi="Century Gothic" w:cstheme="minorHAnsi"/>
          <w:b w:val="0"/>
          <w:i/>
          <w:sz w:val="18"/>
          <w:szCs w:val="18"/>
        </w:rPr>
        <w:t xml:space="preserve">Zdroj: </w:t>
      </w:r>
      <w:r w:rsidR="004646D5">
        <w:rPr>
          <w:rFonts w:ascii="Century Gothic" w:hAnsi="Century Gothic" w:cstheme="minorHAnsi"/>
          <w:b w:val="0"/>
          <w:i/>
          <w:sz w:val="18"/>
          <w:szCs w:val="18"/>
        </w:rPr>
        <w:t>Zdravotnícka ročenka Slovenskej republiky 2021</w:t>
      </w:r>
    </w:p>
    <w:p w14:paraId="5A224364" w14:textId="77777777" w:rsidR="007B7154" w:rsidRDefault="007B7154" w:rsidP="007B7154">
      <w:pPr>
        <w:autoSpaceDE w:val="0"/>
        <w:autoSpaceDN w:val="0"/>
        <w:adjustRightInd w:val="0"/>
        <w:spacing w:line="240" w:lineRule="auto"/>
        <w:rPr>
          <w:rFonts w:ascii="Century Gothic" w:hAnsi="Century Gothic" w:cs="Arial"/>
          <w:color w:val="3E3E3E"/>
        </w:rPr>
      </w:pPr>
    </w:p>
    <w:p w14:paraId="24617915" w14:textId="23143CB1" w:rsidR="00061F90" w:rsidRDefault="007B7154" w:rsidP="00061F90">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 xml:space="preserve">Okres s najvyšším počtom lekárov na 100 000 obyvateľov v Žilinskom kraji pre obyvateľov 18 a viacročných je okres </w:t>
      </w:r>
      <w:r w:rsidR="004B2A1A">
        <w:rPr>
          <w:rFonts w:ascii="Century Gothic" w:hAnsi="Century Gothic" w:cs="Arial"/>
          <w:color w:val="3E3E3E"/>
          <w:sz w:val="22"/>
          <w:szCs w:val="22"/>
        </w:rPr>
        <w:t>Martin (6</w:t>
      </w:r>
      <w:r w:rsidRPr="00FB6BF8">
        <w:rPr>
          <w:rFonts w:ascii="Century Gothic" w:hAnsi="Century Gothic" w:cs="Arial"/>
          <w:color w:val="3E3E3E"/>
          <w:sz w:val="22"/>
          <w:szCs w:val="22"/>
        </w:rPr>
        <w:t xml:space="preserve">0,0 </w:t>
      </w:r>
      <w:r w:rsidR="004B2A1A">
        <w:rPr>
          <w:rFonts w:ascii="Century Gothic" w:hAnsi="Century Gothic" w:cs="Arial"/>
          <w:color w:val="3E3E3E"/>
          <w:sz w:val="22"/>
          <w:szCs w:val="22"/>
        </w:rPr>
        <w:t>a viac</w:t>
      </w:r>
      <w:r w:rsidRPr="00FB6BF8">
        <w:rPr>
          <w:rFonts w:ascii="Century Gothic" w:hAnsi="Century Gothic" w:cs="Arial"/>
          <w:color w:val="3E3E3E"/>
          <w:sz w:val="22"/>
          <w:szCs w:val="22"/>
        </w:rPr>
        <w:t>), pričom okres Žilina patrí v tomto ukazovateli medzi priemerné s počtom 40,0 –49,9.</w:t>
      </w:r>
    </w:p>
    <w:p w14:paraId="15A3BA35" w14:textId="77777777" w:rsidR="00061F90" w:rsidRDefault="00061F90" w:rsidP="00061F90">
      <w:pPr>
        <w:autoSpaceDE w:val="0"/>
        <w:autoSpaceDN w:val="0"/>
        <w:adjustRightInd w:val="0"/>
        <w:spacing w:line="240" w:lineRule="auto"/>
        <w:rPr>
          <w:rFonts w:ascii="Century Gothic" w:hAnsi="Century Gothic" w:cstheme="minorHAnsi"/>
          <w:b/>
          <w:i/>
        </w:rPr>
      </w:pPr>
    </w:p>
    <w:p w14:paraId="4CCE171B" w14:textId="636A8DE5" w:rsidR="00A664BB" w:rsidRDefault="00A664BB" w:rsidP="00A664BB">
      <w:pPr>
        <w:pStyle w:val="Popis"/>
        <w:spacing w:before="0" w:after="0" w:line="240" w:lineRule="auto"/>
        <w:jc w:val="both"/>
        <w:rPr>
          <w:rFonts w:ascii="Century Gothic" w:hAnsi="Century Gothic" w:cstheme="minorHAnsi"/>
          <w:b w:val="0"/>
          <w:i/>
        </w:rPr>
      </w:pPr>
    </w:p>
    <w:p w14:paraId="09D27C76" w14:textId="79C5EC0B" w:rsidR="00DA7DF3" w:rsidRDefault="00DA7DF3" w:rsidP="00DA7DF3">
      <w:pPr>
        <w:rPr>
          <w:lang w:eastAsia="cs-CZ"/>
        </w:rPr>
      </w:pPr>
    </w:p>
    <w:p w14:paraId="38FD5995" w14:textId="77777777" w:rsidR="005903B7" w:rsidRPr="00DA7DF3" w:rsidRDefault="005903B7" w:rsidP="00DA7DF3">
      <w:pPr>
        <w:rPr>
          <w:lang w:eastAsia="cs-CZ"/>
        </w:rPr>
      </w:pPr>
    </w:p>
    <w:p w14:paraId="4A50B357" w14:textId="4504B69D" w:rsidR="00347B48" w:rsidRDefault="00347B48" w:rsidP="00347B48">
      <w:pPr>
        <w:rPr>
          <w:lang w:eastAsia="cs-CZ"/>
        </w:rPr>
      </w:pPr>
    </w:p>
    <w:p w14:paraId="60DE7F9F" w14:textId="090629E2" w:rsidR="00CC5E50" w:rsidRDefault="00CC5E50" w:rsidP="00347B48">
      <w:pPr>
        <w:rPr>
          <w:lang w:eastAsia="cs-CZ"/>
        </w:rPr>
      </w:pPr>
    </w:p>
    <w:p w14:paraId="4C818663" w14:textId="74E0B230" w:rsidR="004646D5" w:rsidRDefault="004646D5" w:rsidP="00347B48">
      <w:pPr>
        <w:rPr>
          <w:lang w:eastAsia="cs-CZ"/>
        </w:rPr>
      </w:pPr>
    </w:p>
    <w:p w14:paraId="6B20C1B6" w14:textId="77777777" w:rsidR="004646D5" w:rsidRDefault="004646D5" w:rsidP="00347B48">
      <w:pPr>
        <w:rPr>
          <w:lang w:eastAsia="cs-CZ"/>
        </w:rPr>
      </w:pPr>
    </w:p>
    <w:p w14:paraId="768498CC" w14:textId="4B50BAAE" w:rsidR="007B7154" w:rsidRDefault="00A664BB" w:rsidP="00A664BB">
      <w:pPr>
        <w:pStyle w:val="Popis"/>
        <w:spacing w:before="0" w:after="0" w:line="240" w:lineRule="auto"/>
        <w:jc w:val="both"/>
        <w:rPr>
          <w:rFonts w:ascii="Century Gothic" w:hAnsi="Century Gothic" w:cstheme="minorHAnsi"/>
          <w:b w:val="0"/>
          <w:i/>
        </w:rPr>
      </w:pPr>
      <w:bookmarkStart w:id="53" w:name="_Toc145219854"/>
      <w:r w:rsidRPr="00A664BB">
        <w:rPr>
          <w:rFonts w:ascii="Century Gothic" w:hAnsi="Century Gothic" w:cstheme="minorHAnsi"/>
          <w:b w:val="0"/>
          <w:i/>
        </w:rPr>
        <w:t xml:space="preserve">Obrázok </w:t>
      </w:r>
      <w:r w:rsidRPr="00A664BB">
        <w:rPr>
          <w:rFonts w:ascii="Century Gothic" w:hAnsi="Century Gothic" w:cstheme="minorHAnsi"/>
          <w:b w:val="0"/>
          <w:i/>
        </w:rPr>
        <w:fldChar w:fldCharType="begin"/>
      </w:r>
      <w:r w:rsidRPr="00A664BB">
        <w:rPr>
          <w:rFonts w:ascii="Century Gothic" w:hAnsi="Century Gothic" w:cstheme="minorHAnsi"/>
          <w:b w:val="0"/>
          <w:i/>
        </w:rPr>
        <w:instrText xml:space="preserve"> SEQ Obrázok \* ARABIC </w:instrText>
      </w:r>
      <w:r w:rsidRPr="00A664BB">
        <w:rPr>
          <w:rFonts w:ascii="Century Gothic" w:hAnsi="Century Gothic" w:cstheme="minorHAnsi"/>
          <w:b w:val="0"/>
          <w:i/>
        </w:rPr>
        <w:fldChar w:fldCharType="separate"/>
      </w:r>
      <w:r w:rsidR="007D6A44">
        <w:rPr>
          <w:rFonts w:ascii="Century Gothic" w:hAnsi="Century Gothic" w:cstheme="minorHAnsi"/>
          <w:b w:val="0"/>
          <w:i/>
          <w:noProof/>
        </w:rPr>
        <w:t>2</w:t>
      </w:r>
      <w:r w:rsidRPr="00A664BB">
        <w:rPr>
          <w:rFonts w:ascii="Century Gothic" w:hAnsi="Century Gothic" w:cstheme="minorHAnsi"/>
          <w:b w:val="0"/>
          <w:i/>
        </w:rPr>
        <w:fldChar w:fldCharType="end"/>
      </w:r>
      <w:r w:rsidRPr="00A664BB">
        <w:rPr>
          <w:rFonts w:ascii="Century Gothic" w:hAnsi="Century Gothic" w:cstheme="minorHAnsi"/>
          <w:b w:val="0"/>
          <w:i/>
        </w:rPr>
        <w:t xml:space="preserve"> </w:t>
      </w:r>
      <w:r w:rsidR="007B7154">
        <w:rPr>
          <w:rFonts w:ascii="Century Gothic" w:hAnsi="Century Gothic" w:cstheme="minorHAnsi"/>
          <w:b w:val="0"/>
          <w:i/>
        </w:rPr>
        <w:t xml:space="preserve">Počet lekárov na 100 000 </w:t>
      </w:r>
      <w:r w:rsidR="007B7154" w:rsidRPr="004B62AF">
        <w:rPr>
          <w:rFonts w:ascii="Century Gothic" w:hAnsi="Century Gothic" w:cstheme="minorHAnsi"/>
          <w:b w:val="0"/>
          <w:i/>
        </w:rPr>
        <w:t>obyvateľstva v </w:t>
      </w:r>
      <w:r w:rsidR="007B7154">
        <w:rPr>
          <w:rFonts w:ascii="Century Gothic" w:hAnsi="Century Gothic" w:cstheme="minorHAnsi"/>
          <w:b w:val="0"/>
          <w:i/>
        </w:rPr>
        <w:t>Žilinskom</w:t>
      </w:r>
      <w:r w:rsidR="007B7154" w:rsidRPr="004B62AF">
        <w:rPr>
          <w:rFonts w:ascii="Century Gothic" w:hAnsi="Century Gothic" w:cstheme="minorHAnsi"/>
          <w:b w:val="0"/>
          <w:i/>
        </w:rPr>
        <w:t xml:space="preserve"> kraji</w:t>
      </w:r>
      <w:r w:rsidR="007B7154">
        <w:rPr>
          <w:rFonts w:ascii="Century Gothic" w:hAnsi="Century Gothic" w:cstheme="minorHAnsi"/>
          <w:b w:val="0"/>
          <w:i/>
        </w:rPr>
        <w:t xml:space="preserve"> (18 a viacročných)</w:t>
      </w:r>
      <w:bookmarkEnd w:id="53"/>
    </w:p>
    <w:p w14:paraId="57EB7F37" w14:textId="3471E2A0" w:rsidR="00782EC7" w:rsidRDefault="00782EC7" w:rsidP="007B7154">
      <w:pPr>
        <w:autoSpaceDE w:val="0"/>
        <w:autoSpaceDN w:val="0"/>
        <w:adjustRightInd w:val="0"/>
        <w:spacing w:line="240" w:lineRule="auto"/>
        <w:rPr>
          <w:rFonts w:ascii="Century Gothic" w:hAnsi="Century Gothic" w:cs="Arial"/>
          <w:color w:val="3E3E3E"/>
        </w:rPr>
      </w:pPr>
      <w:r>
        <w:rPr>
          <w:rFonts w:ascii="Century Gothic" w:hAnsi="Century Gothic" w:cs="Arial"/>
          <w:noProof/>
          <w:color w:val="3E3E3E"/>
        </w:rPr>
        <w:drawing>
          <wp:inline distT="0" distB="0" distL="0" distR="0" wp14:anchorId="1FC4DDAA" wp14:editId="287F5023">
            <wp:extent cx="5752465" cy="3232297"/>
            <wp:effectExtent l="0" t="0" r="635" b="635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725" cy="3237500"/>
                    </a:xfrm>
                    <a:prstGeom prst="rect">
                      <a:avLst/>
                    </a:prstGeom>
                    <a:noFill/>
                    <a:ln>
                      <a:noFill/>
                    </a:ln>
                  </pic:spPr>
                </pic:pic>
              </a:graphicData>
            </a:graphic>
          </wp:inline>
        </w:drawing>
      </w:r>
    </w:p>
    <w:p w14:paraId="4AD55D6E" w14:textId="2C14C4CC" w:rsidR="007B7154" w:rsidRDefault="007B7154" w:rsidP="007B7154">
      <w:pPr>
        <w:pStyle w:val="Popis"/>
        <w:spacing w:before="0" w:after="0" w:line="240" w:lineRule="auto"/>
        <w:rPr>
          <w:rFonts w:ascii="Century Gothic" w:hAnsi="Century Gothic" w:cstheme="minorHAnsi"/>
          <w:b w:val="0"/>
          <w:i/>
          <w:sz w:val="18"/>
          <w:szCs w:val="18"/>
        </w:rPr>
      </w:pPr>
      <w:r w:rsidRPr="004B62AF">
        <w:rPr>
          <w:rFonts w:ascii="Century Gothic" w:hAnsi="Century Gothic" w:cstheme="minorHAnsi"/>
          <w:b w:val="0"/>
          <w:i/>
          <w:sz w:val="18"/>
          <w:szCs w:val="18"/>
        </w:rPr>
        <w:t xml:space="preserve">Zdroj: </w:t>
      </w:r>
      <w:r w:rsidR="00782EC7">
        <w:rPr>
          <w:rFonts w:ascii="Century Gothic" w:hAnsi="Century Gothic" w:cstheme="minorHAnsi"/>
          <w:b w:val="0"/>
          <w:i/>
          <w:sz w:val="18"/>
          <w:szCs w:val="18"/>
        </w:rPr>
        <w:t>Zdravotnícka r</w:t>
      </w:r>
      <w:r w:rsidR="004646D5">
        <w:rPr>
          <w:rFonts w:ascii="Century Gothic" w:hAnsi="Century Gothic" w:cstheme="minorHAnsi"/>
          <w:b w:val="0"/>
          <w:i/>
          <w:sz w:val="18"/>
          <w:szCs w:val="18"/>
        </w:rPr>
        <w:t>očenka Slovenskej republiky 2021</w:t>
      </w:r>
    </w:p>
    <w:p w14:paraId="766E1608" w14:textId="77777777" w:rsidR="007B7154" w:rsidRDefault="007B7154" w:rsidP="007B7154">
      <w:pPr>
        <w:autoSpaceDE w:val="0"/>
        <w:autoSpaceDN w:val="0"/>
        <w:adjustRightInd w:val="0"/>
        <w:spacing w:line="240" w:lineRule="auto"/>
        <w:rPr>
          <w:rFonts w:ascii="Century Gothic" w:hAnsi="Century Gothic" w:cs="Arial"/>
          <w:color w:val="3E3E3E"/>
        </w:rPr>
      </w:pPr>
    </w:p>
    <w:p w14:paraId="78501F46" w14:textId="77777777" w:rsidR="007B7154" w:rsidRPr="00FB6BF8" w:rsidRDefault="007B7154" w:rsidP="007B7154">
      <w:pPr>
        <w:autoSpaceDE w:val="0"/>
        <w:autoSpaceDN w:val="0"/>
        <w:adjustRightInd w:val="0"/>
        <w:spacing w:line="240" w:lineRule="auto"/>
        <w:rPr>
          <w:rFonts w:ascii="Century Gothic" w:hAnsi="Century Gothic" w:cs="Arial"/>
          <w:color w:val="3E3E3E"/>
          <w:sz w:val="22"/>
          <w:szCs w:val="22"/>
        </w:rPr>
      </w:pPr>
      <w:r w:rsidRPr="00FB6BF8">
        <w:rPr>
          <w:rFonts w:ascii="Century Gothic" w:hAnsi="Century Gothic" w:cs="Arial"/>
          <w:color w:val="3E3E3E"/>
          <w:sz w:val="22"/>
          <w:szCs w:val="22"/>
        </w:rPr>
        <w:t>Najvyšší počet ambulancií a lekárskych miest v Žilinskom kraji je v okrese Žilina.</w:t>
      </w:r>
    </w:p>
    <w:p w14:paraId="34CCAFB3" w14:textId="77777777" w:rsidR="007B7154" w:rsidRDefault="007B7154" w:rsidP="007B7154">
      <w:pPr>
        <w:autoSpaceDE w:val="0"/>
        <w:autoSpaceDN w:val="0"/>
        <w:adjustRightInd w:val="0"/>
        <w:spacing w:line="240" w:lineRule="auto"/>
        <w:rPr>
          <w:rFonts w:ascii="Century Gothic" w:hAnsi="Century Gothic" w:cs="Arial"/>
          <w:color w:val="3E3E3E"/>
        </w:rPr>
      </w:pPr>
    </w:p>
    <w:p w14:paraId="2B7D35D4" w14:textId="3A0D4FFD" w:rsidR="007B7154" w:rsidRPr="00753965" w:rsidRDefault="007B7154" w:rsidP="007B7154">
      <w:pPr>
        <w:pStyle w:val="Popis"/>
        <w:spacing w:before="0" w:after="0" w:line="240" w:lineRule="auto"/>
        <w:jc w:val="both"/>
        <w:rPr>
          <w:rFonts w:ascii="Century Gothic" w:hAnsi="Century Gothic" w:cstheme="minorHAnsi"/>
          <w:b w:val="0"/>
          <w:i/>
        </w:rPr>
      </w:pPr>
      <w:bookmarkStart w:id="54" w:name="_Toc145219909"/>
      <w:r w:rsidRPr="00A3221C">
        <w:rPr>
          <w:rFonts w:ascii="Century Gothic" w:hAnsi="Century Gothic" w:cstheme="minorHAnsi"/>
          <w:b w:val="0"/>
          <w:i/>
        </w:rPr>
        <w:t xml:space="preserve">Tabuľka </w:t>
      </w:r>
      <w:r w:rsidRPr="00A3221C">
        <w:rPr>
          <w:rFonts w:ascii="Century Gothic" w:hAnsi="Century Gothic" w:cstheme="minorHAnsi"/>
          <w:b w:val="0"/>
          <w:i/>
        </w:rPr>
        <w:fldChar w:fldCharType="begin"/>
      </w:r>
      <w:r w:rsidRPr="00A3221C">
        <w:rPr>
          <w:rFonts w:ascii="Century Gothic" w:hAnsi="Century Gothic" w:cstheme="minorHAnsi"/>
          <w:b w:val="0"/>
          <w:i/>
        </w:rPr>
        <w:instrText xml:space="preserve"> SEQ Tabuľka \* ARABIC </w:instrText>
      </w:r>
      <w:r w:rsidRPr="00A3221C">
        <w:rPr>
          <w:rFonts w:ascii="Century Gothic" w:hAnsi="Century Gothic" w:cstheme="minorHAnsi"/>
          <w:b w:val="0"/>
          <w:i/>
        </w:rPr>
        <w:fldChar w:fldCharType="separate"/>
      </w:r>
      <w:r w:rsidR="007D6A44">
        <w:rPr>
          <w:rFonts w:ascii="Century Gothic" w:hAnsi="Century Gothic" w:cstheme="minorHAnsi"/>
          <w:b w:val="0"/>
          <w:i/>
          <w:noProof/>
        </w:rPr>
        <w:t>8</w:t>
      </w:r>
      <w:r w:rsidRPr="00A3221C">
        <w:rPr>
          <w:rFonts w:ascii="Century Gothic" w:hAnsi="Century Gothic" w:cstheme="minorHAnsi"/>
          <w:b w:val="0"/>
          <w:i/>
        </w:rPr>
        <w:fldChar w:fldCharType="end"/>
      </w:r>
      <w:r w:rsidRPr="00753965">
        <w:rPr>
          <w:rFonts w:ascii="Century Gothic" w:hAnsi="Century Gothic" w:cstheme="minorHAnsi"/>
          <w:b w:val="0"/>
          <w:i/>
        </w:rPr>
        <w:t xml:space="preserve"> Počet ambulancií a lekárskych miest v Žilinskom kraji podľa okresov</w:t>
      </w:r>
      <w:bookmarkEnd w:id="54"/>
    </w:p>
    <w:p w14:paraId="1A80AAF8" w14:textId="5BD76BDE" w:rsidR="00622A8B" w:rsidRDefault="00622A8B" w:rsidP="00622A8B">
      <w:pPr>
        <w:autoSpaceDE w:val="0"/>
        <w:autoSpaceDN w:val="0"/>
        <w:adjustRightInd w:val="0"/>
        <w:spacing w:line="240" w:lineRule="auto"/>
        <w:ind w:left="-142"/>
        <w:rPr>
          <w:rFonts w:ascii="Century Gothic" w:hAnsi="Century Gothic" w:cs="Arial"/>
          <w:color w:val="3E3E3E"/>
        </w:rPr>
      </w:pPr>
      <w:r w:rsidRPr="00622A8B">
        <w:rPr>
          <w:noProof/>
        </w:rPr>
        <w:drawing>
          <wp:inline distT="0" distB="0" distL="0" distR="0" wp14:anchorId="64213FBA" wp14:editId="547F610A">
            <wp:extent cx="5959229" cy="2445488"/>
            <wp:effectExtent l="0" t="0" r="381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6071" cy="2452399"/>
                    </a:xfrm>
                    <a:prstGeom prst="rect">
                      <a:avLst/>
                    </a:prstGeom>
                    <a:noFill/>
                    <a:ln>
                      <a:noFill/>
                    </a:ln>
                  </pic:spPr>
                </pic:pic>
              </a:graphicData>
            </a:graphic>
          </wp:inline>
        </w:drawing>
      </w:r>
    </w:p>
    <w:p w14:paraId="5B8CEFD7" w14:textId="464C1DBC" w:rsidR="007B7154" w:rsidRPr="004B62AF" w:rsidRDefault="007B7154" w:rsidP="007B7154">
      <w:pPr>
        <w:pStyle w:val="Popis"/>
        <w:spacing w:before="0" w:after="0" w:line="240" w:lineRule="auto"/>
        <w:rPr>
          <w:rFonts w:ascii="Century Gothic" w:hAnsi="Century Gothic" w:cstheme="minorHAnsi"/>
          <w:b w:val="0"/>
          <w:i/>
          <w:sz w:val="18"/>
          <w:szCs w:val="18"/>
        </w:rPr>
      </w:pPr>
      <w:r w:rsidRPr="004B62AF">
        <w:rPr>
          <w:rFonts w:ascii="Century Gothic" w:hAnsi="Century Gothic" w:cstheme="minorHAnsi"/>
          <w:b w:val="0"/>
          <w:i/>
          <w:sz w:val="18"/>
          <w:szCs w:val="18"/>
        </w:rPr>
        <w:t xml:space="preserve">Zdroj: </w:t>
      </w:r>
      <w:r w:rsidR="00622A8B">
        <w:rPr>
          <w:rFonts w:ascii="Century Gothic" w:hAnsi="Century Gothic" w:cstheme="minorHAnsi"/>
          <w:b w:val="0"/>
          <w:i/>
          <w:sz w:val="18"/>
          <w:szCs w:val="18"/>
        </w:rPr>
        <w:t>Zdravotnícka ročenka Slovenskej republiky 2021</w:t>
      </w:r>
    </w:p>
    <w:p w14:paraId="35130ACA" w14:textId="77777777" w:rsidR="004B2A1A" w:rsidRDefault="004B2A1A" w:rsidP="007B7154">
      <w:pPr>
        <w:autoSpaceDE w:val="0"/>
        <w:autoSpaceDN w:val="0"/>
        <w:adjustRightInd w:val="0"/>
        <w:spacing w:line="240" w:lineRule="auto"/>
        <w:rPr>
          <w:rFonts w:ascii="Century Gothic" w:hAnsi="Century Gothic" w:cs="Arial"/>
          <w:color w:val="3E3E3E"/>
        </w:rPr>
      </w:pPr>
    </w:p>
    <w:p w14:paraId="6ADA81F4" w14:textId="267307FC" w:rsidR="007B7154" w:rsidRDefault="007B7154" w:rsidP="007B7154">
      <w:pPr>
        <w:spacing w:line="240" w:lineRule="auto"/>
        <w:rPr>
          <w:rFonts w:ascii="Century Gothic" w:hAnsi="Century Gothic" w:cstheme="minorHAnsi"/>
          <w:sz w:val="22"/>
          <w:szCs w:val="22"/>
        </w:rPr>
      </w:pPr>
      <w:r w:rsidRPr="00FB6BF8">
        <w:rPr>
          <w:rFonts w:ascii="Century Gothic" w:hAnsi="Century Gothic" w:cstheme="minorHAnsi"/>
          <w:sz w:val="22"/>
          <w:szCs w:val="22"/>
        </w:rPr>
        <w:t>Všeobecné nemocnice sa nachádzajú v niektorých okresných mestách a </w:t>
      </w:r>
      <w:r w:rsidR="00173053" w:rsidRPr="00FB6BF8">
        <w:rPr>
          <w:rFonts w:ascii="Century Gothic" w:hAnsi="Century Gothic" w:cstheme="minorHAnsi"/>
          <w:sz w:val="22"/>
          <w:szCs w:val="22"/>
        </w:rPr>
        <w:t xml:space="preserve">nie celkom symetricky </w:t>
      </w:r>
      <w:r w:rsidRPr="00FB6BF8">
        <w:rPr>
          <w:rFonts w:ascii="Century Gothic" w:hAnsi="Century Gothic" w:cstheme="minorHAnsi"/>
          <w:sz w:val="22"/>
          <w:szCs w:val="22"/>
        </w:rPr>
        <w:t xml:space="preserve">pokrývajú neodkladnú a akútnu zdravotnú starostlivosť. Nemocnice zároveň nemajú spoločných zriaďovateľov a ich koordinácia zdravotnej starostlivosti teda nie je centrálne riadená. Výsledkom je ich samostatné pôsobenie, pričom vzhľadom na sťaženú mobilitu obyvatelia vyhľadávajú v princípe podľa </w:t>
      </w:r>
      <w:proofErr w:type="spellStart"/>
      <w:r w:rsidRPr="00FB6BF8">
        <w:rPr>
          <w:rFonts w:ascii="Century Gothic" w:hAnsi="Century Gothic" w:cstheme="minorHAnsi"/>
          <w:sz w:val="22"/>
          <w:szCs w:val="22"/>
        </w:rPr>
        <w:t>clustrov</w:t>
      </w:r>
      <w:proofErr w:type="spellEnd"/>
      <w:r w:rsidRPr="00FB6BF8">
        <w:rPr>
          <w:rFonts w:ascii="Century Gothic" w:hAnsi="Century Gothic" w:cstheme="minorHAnsi"/>
          <w:sz w:val="22"/>
          <w:szCs w:val="22"/>
        </w:rPr>
        <w:t xml:space="preserve"> naznačených v tabuľke </w:t>
      </w:r>
      <w:r w:rsidR="00312A43">
        <w:rPr>
          <w:rFonts w:ascii="Century Gothic" w:hAnsi="Century Gothic" w:cstheme="minorHAnsi"/>
          <w:sz w:val="22"/>
          <w:szCs w:val="22"/>
        </w:rPr>
        <w:t>nižšie</w:t>
      </w:r>
      <w:r w:rsidRPr="00FB6BF8">
        <w:rPr>
          <w:rFonts w:ascii="Century Gothic" w:hAnsi="Century Gothic" w:cstheme="minorHAnsi"/>
          <w:sz w:val="22"/>
          <w:szCs w:val="22"/>
        </w:rPr>
        <w:t>. Zároveň s geografickou dostupnosťou je zrejmá výrazná asymetria nemocníc z pohľadu poskytovania akú</w:t>
      </w:r>
      <w:r w:rsidR="00D66CEF">
        <w:rPr>
          <w:rFonts w:ascii="Century Gothic" w:hAnsi="Century Gothic" w:cstheme="minorHAnsi"/>
          <w:sz w:val="22"/>
          <w:szCs w:val="22"/>
        </w:rPr>
        <w:t>tnej zdravotnej starostlivosti.</w:t>
      </w:r>
    </w:p>
    <w:p w14:paraId="26060F36" w14:textId="77777777" w:rsidR="00DA7DF3" w:rsidRPr="00FB6BF8" w:rsidRDefault="00DA7DF3" w:rsidP="007B7154">
      <w:pPr>
        <w:spacing w:line="240" w:lineRule="auto"/>
        <w:rPr>
          <w:rFonts w:ascii="Century Gothic" w:hAnsi="Century Gothic" w:cstheme="minorHAnsi"/>
          <w:sz w:val="22"/>
          <w:szCs w:val="22"/>
        </w:rPr>
      </w:pPr>
    </w:p>
    <w:p w14:paraId="79A44B1C" w14:textId="4FC69960" w:rsidR="000E7059" w:rsidRPr="007B7154" w:rsidRDefault="000E7059" w:rsidP="000E7059">
      <w:pPr>
        <w:spacing w:line="240" w:lineRule="auto"/>
        <w:rPr>
          <w:rFonts w:ascii="Century Gothic" w:hAnsi="Century Gothic" w:cstheme="minorHAnsi"/>
          <w:sz w:val="22"/>
          <w:szCs w:val="22"/>
        </w:rPr>
      </w:pPr>
      <w:r w:rsidRPr="007B7154">
        <w:rPr>
          <w:rFonts w:ascii="Century Gothic" w:hAnsi="Century Gothic" w:cstheme="minorHAnsi"/>
          <w:sz w:val="22"/>
          <w:szCs w:val="22"/>
        </w:rPr>
        <w:lastRenderedPageBreak/>
        <w:t>Ž</w:t>
      </w:r>
      <w:r>
        <w:rPr>
          <w:rFonts w:ascii="Century Gothic" w:hAnsi="Century Gothic" w:cstheme="minorHAnsi"/>
          <w:sz w:val="22"/>
          <w:szCs w:val="22"/>
        </w:rPr>
        <w:t>ilinský kraj z hľadiska dostupnosti zdravotnej starostlivosti môžeme</w:t>
      </w:r>
      <w:r w:rsidR="00312A43">
        <w:rPr>
          <w:rFonts w:ascii="Century Gothic" w:hAnsi="Century Gothic" w:cstheme="minorHAnsi"/>
          <w:sz w:val="22"/>
          <w:szCs w:val="22"/>
        </w:rPr>
        <w:t xml:space="preserve"> teda</w:t>
      </w:r>
      <w:r>
        <w:rPr>
          <w:rFonts w:ascii="Century Gothic" w:hAnsi="Century Gothic" w:cstheme="minorHAnsi"/>
          <w:sz w:val="22"/>
          <w:szCs w:val="22"/>
        </w:rPr>
        <w:t xml:space="preserve"> </w:t>
      </w:r>
      <w:r w:rsidRPr="007B7154">
        <w:rPr>
          <w:rFonts w:ascii="Century Gothic" w:hAnsi="Century Gothic" w:cstheme="minorHAnsi"/>
          <w:sz w:val="22"/>
          <w:szCs w:val="22"/>
        </w:rPr>
        <w:t>rozdeliť na 4 logické celky (</w:t>
      </w:r>
      <w:proofErr w:type="spellStart"/>
      <w:r w:rsidRPr="007B7154">
        <w:rPr>
          <w:rFonts w:ascii="Century Gothic" w:hAnsi="Century Gothic" w:cstheme="minorHAnsi"/>
          <w:sz w:val="22"/>
          <w:szCs w:val="22"/>
        </w:rPr>
        <w:t>clustre</w:t>
      </w:r>
      <w:proofErr w:type="spellEnd"/>
      <w:r w:rsidRPr="007B7154">
        <w:rPr>
          <w:rFonts w:ascii="Century Gothic" w:hAnsi="Century Gothic" w:cstheme="minorHAnsi"/>
          <w:sz w:val="22"/>
          <w:szCs w:val="22"/>
        </w:rPr>
        <w:t>) a to:</w:t>
      </w:r>
    </w:p>
    <w:p w14:paraId="2EE270DA" w14:textId="77777777" w:rsidR="000E7059" w:rsidRPr="007B7154" w:rsidRDefault="000E7059" w:rsidP="000E7059">
      <w:pPr>
        <w:pStyle w:val="Odsekzoznamu"/>
        <w:numPr>
          <w:ilvl w:val="0"/>
          <w:numId w:val="41"/>
        </w:numPr>
        <w:spacing w:line="240" w:lineRule="auto"/>
        <w:jc w:val="left"/>
        <w:rPr>
          <w:rFonts w:ascii="Century Gothic" w:hAnsi="Century Gothic" w:cstheme="minorHAnsi"/>
          <w:sz w:val="22"/>
          <w:szCs w:val="22"/>
        </w:rPr>
      </w:pPr>
      <w:r w:rsidRPr="007B7154">
        <w:rPr>
          <w:rFonts w:ascii="Century Gothic" w:hAnsi="Century Gothic" w:cstheme="minorHAnsi"/>
          <w:sz w:val="22"/>
          <w:szCs w:val="22"/>
        </w:rPr>
        <w:t xml:space="preserve">Horne Považie a Kysuce - okresy Bytča, Čadca, Žilina, Kysucké Nové Mesto. </w:t>
      </w:r>
    </w:p>
    <w:p w14:paraId="40102274" w14:textId="77777777" w:rsidR="000E7059" w:rsidRPr="007B7154" w:rsidRDefault="000E7059" w:rsidP="000E7059">
      <w:pPr>
        <w:pStyle w:val="Odsekzoznamu"/>
        <w:numPr>
          <w:ilvl w:val="0"/>
          <w:numId w:val="41"/>
        </w:numPr>
        <w:spacing w:line="240" w:lineRule="auto"/>
        <w:jc w:val="left"/>
        <w:rPr>
          <w:rFonts w:ascii="Century Gothic" w:hAnsi="Century Gothic" w:cstheme="minorHAnsi"/>
          <w:sz w:val="22"/>
          <w:szCs w:val="22"/>
        </w:rPr>
      </w:pPr>
      <w:r w:rsidRPr="007B7154">
        <w:rPr>
          <w:rFonts w:ascii="Century Gothic" w:hAnsi="Century Gothic" w:cstheme="minorHAnsi"/>
          <w:sz w:val="22"/>
          <w:szCs w:val="22"/>
        </w:rPr>
        <w:t>Turiec - okresy Martin, Turčianske Teplice.</w:t>
      </w:r>
    </w:p>
    <w:p w14:paraId="46068C04" w14:textId="77777777" w:rsidR="000E7059" w:rsidRPr="007B7154" w:rsidRDefault="000E7059" w:rsidP="000E7059">
      <w:pPr>
        <w:pStyle w:val="Odsekzoznamu"/>
        <w:numPr>
          <w:ilvl w:val="0"/>
          <w:numId w:val="41"/>
        </w:numPr>
        <w:spacing w:line="240" w:lineRule="auto"/>
        <w:jc w:val="left"/>
        <w:rPr>
          <w:rFonts w:ascii="Century Gothic" w:hAnsi="Century Gothic" w:cstheme="minorHAnsi"/>
          <w:sz w:val="22"/>
          <w:szCs w:val="22"/>
        </w:rPr>
      </w:pPr>
      <w:r w:rsidRPr="007B7154">
        <w:rPr>
          <w:rFonts w:ascii="Century Gothic" w:hAnsi="Century Gothic" w:cstheme="minorHAnsi"/>
          <w:sz w:val="22"/>
          <w:szCs w:val="22"/>
        </w:rPr>
        <w:t>Orava - okresy Námestovo, Tvrdošín, Dolný Kubín, Ružomberok.</w:t>
      </w:r>
    </w:p>
    <w:p w14:paraId="0436410F" w14:textId="77777777" w:rsidR="000E7059" w:rsidRPr="007B7154" w:rsidRDefault="000E7059" w:rsidP="000E7059">
      <w:pPr>
        <w:pStyle w:val="Odsekzoznamu"/>
        <w:numPr>
          <w:ilvl w:val="0"/>
          <w:numId w:val="41"/>
        </w:numPr>
        <w:spacing w:line="240" w:lineRule="auto"/>
        <w:jc w:val="left"/>
        <w:rPr>
          <w:rFonts w:ascii="Century Gothic" w:hAnsi="Century Gothic" w:cstheme="minorHAnsi"/>
          <w:sz w:val="22"/>
          <w:szCs w:val="22"/>
        </w:rPr>
      </w:pPr>
      <w:r w:rsidRPr="007B7154">
        <w:rPr>
          <w:rFonts w:ascii="Century Gothic" w:hAnsi="Century Gothic" w:cstheme="minorHAnsi"/>
          <w:sz w:val="22"/>
          <w:szCs w:val="22"/>
        </w:rPr>
        <w:t>Liptov - okres Liptovský Mikuláš.</w:t>
      </w:r>
    </w:p>
    <w:p w14:paraId="306A9A7E" w14:textId="77777777" w:rsidR="000E7059" w:rsidRDefault="000E7059" w:rsidP="000E7059">
      <w:pPr>
        <w:spacing w:line="240" w:lineRule="auto"/>
        <w:rPr>
          <w:rFonts w:cstheme="minorHAnsi"/>
        </w:rPr>
      </w:pPr>
    </w:p>
    <w:p w14:paraId="455CD98A" w14:textId="4C5A7015" w:rsidR="000E7059" w:rsidRDefault="000E7059" w:rsidP="000E7059">
      <w:pPr>
        <w:pStyle w:val="Popis"/>
        <w:spacing w:before="0" w:after="0" w:line="240" w:lineRule="auto"/>
        <w:jc w:val="both"/>
        <w:rPr>
          <w:rFonts w:ascii="Century Gothic" w:hAnsi="Century Gothic" w:cstheme="minorHAnsi"/>
          <w:b w:val="0"/>
          <w:i/>
        </w:rPr>
      </w:pPr>
      <w:bookmarkStart w:id="55" w:name="_Toc145219910"/>
      <w:r w:rsidRPr="000E7059">
        <w:rPr>
          <w:rFonts w:ascii="Century Gothic" w:hAnsi="Century Gothic" w:cstheme="minorHAnsi"/>
          <w:b w:val="0"/>
          <w:i/>
        </w:rPr>
        <w:t xml:space="preserve">Tabuľka </w:t>
      </w:r>
      <w:r w:rsidRPr="000E7059">
        <w:rPr>
          <w:rFonts w:ascii="Century Gothic" w:hAnsi="Century Gothic" w:cstheme="minorHAnsi"/>
          <w:b w:val="0"/>
          <w:i/>
        </w:rPr>
        <w:fldChar w:fldCharType="begin"/>
      </w:r>
      <w:r w:rsidRPr="000E7059">
        <w:rPr>
          <w:rFonts w:ascii="Century Gothic" w:hAnsi="Century Gothic" w:cstheme="minorHAnsi"/>
          <w:b w:val="0"/>
          <w:i/>
        </w:rPr>
        <w:instrText xml:space="preserve"> SEQ Tabuľka \* ARABIC </w:instrText>
      </w:r>
      <w:r w:rsidRPr="000E7059">
        <w:rPr>
          <w:rFonts w:ascii="Century Gothic" w:hAnsi="Century Gothic" w:cstheme="minorHAnsi"/>
          <w:b w:val="0"/>
          <w:i/>
        </w:rPr>
        <w:fldChar w:fldCharType="separate"/>
      </w:r>
      <w:r w:rsidR="007D6A44">
        <w:rPr>
          <w:rFonts w:ascii="Century Gothic" w:hAnsi="Century Gothic" w:cstheme="minorHAnsi"/>
          <w:b w:val="0"/>
          <w:i/>
          <w:noProof/>
        </w:rPr>
        <w:t>9</w:t>
      </w:r>
      <w:r w:rsidRPr="000E7059">
        <w:rPr>
          <w:rFonts w:ascii="Century Gothic" w:hAnsi="Century Gothic" w:cstheme="minorHAnsi"/>
          <w:b w:val="0"/>
          <w:i/>
        </w:rPr>
        <w:fldChar w:fldCharType="end"/>
      </w:r>
      <w:r w:rsidRPr="000E7059">
        <w:rPr>
          <w:rFonts w:ascii="Century Gothic" w:hAnsi="Century Gothic" w:cstheme="minorHAnsi"/>
          <w:b w:val="0"/>
          <w:i/>
        </w:rPr>
        <w:t xml:space="preserve"> </w:t>
      </w:r>
      <w:proofErr w:type="spellStart"/>
      <w:r w:rsidRPr="002C009D">
        <w:rPr>
          <w:rFonts w:ascii="Century Gothic" w:hAnsi="Century Gothic" w:cstheme="minorHAnsi"/>
          <w:b w:val="0"/>
          <w:i/>
        </w:rPr>
        <w:t>Clustre</w:t>
      </w:r>
      <w:proofErr w:type="spellEnd"/>
      <w:r w:rsidRPr="002C009D">
        <w:rPr>
          <w:rFonts w:ascii="Century Gothic" w:hAnsi="Century Gothic" w:cstheme="minorHAnsi"/>
          <w:b w:val="0"/>
          <w:i/>
        </w:rPr>
        <w:t xml:space="preserve"> zdravotnej starostlivosti v Žilinskom kraji</w:t>
      </w:r>
      <w:bookmarkEnd w:id="55"/>
    </w:p>
    <w:tbl>
      <w:tblPr>
        <w:tblW w:w="9356" w:type="dxa"/>
        <w:jc w:val="center"/>
        <w:tblCellMar>
          <w:left w:w="70" w:type="dxa"/>
          <w:right w:w="70" w:type="dxa"/>
        </w:tblCellMar>
        <w:tblLook w:val="04A0" w:firstRow="1" w:lastRow="0" w:firstColumn="1" w:lastColumn="0" w:noHBand="0" w:noVBand="1"/>
      </w:tblPr>
      <w:tblGrid>
        <w:gridCol w:w="1838"/>
        <w:gridCol w:w="1240"/>
        <w:gridCol w:w="1020"/>
        <w:gridCol w:w="1120"/>
        <w:gridCol w:w="1120"/>
        <w:gridCol w:w="960"/>
        <w:gridCol w:w="960"/>
        <w:gridCol w:w="1098"/>
      </w:tblGrid>
      <w:tr w:rsidR="009C523D" w:rsidRPr="009C523D" w14:paraId="15E8B3E0" w14:textId="77777777" w:rsidTr="007B16E4">
        <w:trPr>
          <w:trHeight w:val="555"/>
          <w:jc w:val="center"/>
        </w:trPr>
        <w:tc>
          <w:tcPr>
            <w:tcW w:w="1838" w:type="dxa"/>
            <w:tcBorders>
              <w:top w:val="nil"/>
              <w:left w:val="nil"/>
              <w:bottom w:val="nil"/>
              <w:right w:val="nil"/>
            </w:tcBorders>
            <w:shd w:val="clear" w:color="000000" w:fill="595959"/>
            <w:vAlign w:val="center"/>
            <w:hideMark/>
          </w:tcPr>
          <w:p w14:paraId="1EC42E3E" w14:textId="77777777" w:rsidR="009C523D" w:rsidRPr="009C523D" w:rsidRDefault="009C523D" w:rsidP="009C523D">
            <w:pPr>
              <w:spacing w:line="240" w:lineRule="auto"/>
              <w:jc w:val="left"/>
              <w:rPr>
                <w:rFonts w:ascii="Arial Narrow" w:hAnsi="Arial Narrow" w:cs="Calibri"/>
                <w:b/>
                <w:bCs/>
                <w:color w:val="FFFFFF"/>
                <w:sz w:val="20"/>
                <w:szCs w:val="20"/>
              </w:rPr>
            </w:pPr>
            <w:r w:rsidRPr="009C523D">
              <w:rPr>
                <w:rFonts w:ascii="Arial Narrow" w:hAnsi="Arial Narrow" w:cs="Calibri"/>
                <w:b/>
                <w:bCs/>
                <w:color w:val="FFFFFF"/>
                <w:sz w:val="20"/>
                <w:szCs w:val="20"/>
              </w:rPr>
              <w:t>Okres</w:t>
            </w:r>
          </w:p>
        </w:tc>
        <w:tc>
          <w:tcPr>
            <w:tcW w:w="1240" w:type="dxa"/>
            <w:tcBorders>
              <w:top w:val="nil"/>
              <w:left w:val="nil"/>
              <w:bottom w:val="nil"/>
              <w:right w:val="nil"/>
            </w:tcBorders>
            <w:shd w:val="clear" w:color="000000" w:fill="595959"/>
            <w:vAlign w:val="center"/>
            <w:hideMark/>
          </w:tcPr>
          <w:p w14:paraId="672EBD4A" w14:textId="77777777"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obyvateľov</w:t>
            </w:r>
          </w:p>
        </w:tc>
        <w:tc>
          <w:tcPr>
            <w:tcW w:w="1020" w:type="dxa"/>
            <w:tcBorders>
              <w:top w:val="nil"/>
              <w:left w:val="nil"/>
              <w:bottom w:val="nil"/>
              <w:right w:val="nil"/>
            </w:tcBorders>
            <w:shd w:val="clear" w:color="000000" w:fill="595959"/>
            <w:vAlign w:val="center"/>
            <w:hideMark/>
          </w:tcPr>
          <w:p w14:paraId="0720A5A4" w14:textId="77777777"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z toho % žien</w:t>
            </w:r>
          </w:p>
        </w:tc>
        <w:tc>
          <w:tcPr>
            <w:tcW w:w="1120" w:type="dxa"/>
            <w:tcBorders>
              <w:top w:val="nil"/>
              <w:left w:val="nil"/>
              <w:bottom w:val="nil"/>
              <w:right w:val="nil"/>
            </w:tcBorders>
            <w:shd w:val="clear" w:color="000000" w:fill="595959"/>
            <w:vAlign w:val="center"/>
            <w:hideMark/>
          </w:tcPr>
          <w:p w14:paraId="0A7F2B52" w14:textId="77777777"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rozloha (km</w:t>
            </w:r>
            <w:r w:rsidRPr="009C523D">
              <w:rPr>
                <w:rFonts w:ascii="Arial Narrow" w:hAnsi="Arial Narrow" w:cs="Calibri"/>
                <w:b/>
                <w:bCs/>
                <w:color w:val="FFFFFF"/>
                <w:sz w:val="20"/>
                <w:szCs w:val="20"/>
                <w:vertAlign w:val="superscript"/>
              </w:rPr>
              <w:t>2</w:t>
            </w:r>
            <w:r w:rsidRPr="009C523D">
              <w:rPr>
                <w:rFonts w:ascii="Arial Narrow" w:hAnsi="Arial Narrow" w:cs="Calibri"/>
                <w:b/>
                <w:bCs/>
                <w:color w:val="FFFFFF"/>
                <w:sz w:val="20"/>
                <w:szCs w:val="20"/>
              </w:rPr>
              <w:t>)</w:t>
            </w:r>
          </w:p>
        </w:tc>
        <w:tc>
          <w:tcPr>
            <w:tcW w:w="1120" w:type="dxa"/>
            <w:tcBorders>
              <w:top w:val="nil"/>
              <w:left w:val="nil"/>
              <w:bottom w:val="nil"/>
              <w:right w:val="nil"/>
            </w:tcBorders>
            <w:shd w:val="clear" w:color="000000" w:fill="595959"/>
            <w:vAlign w:val="center"/>
            <w:hideMark/>
          </w:tcPr>
          <w:p w14:paraId="4BAD98BE" w14:textId="77777777"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hustota</w:t>
            </w:r>
          </w:p>
        </w:tc>
        <w:tc>
          <w:tcPr>
            <w:tcW w:w="960" w:type="dxa"/>
            <w:tcBorders>
              <w:top w:val="nil"/>
              <w:left w:val="nil"/>
              <w:bottom w:val="nil"/>
              <w:right w:val="nil"/>
            </w:tcBorders>
            <w:shd w:val="clear" w:color="000000" w:fill="595959"/>
            <w:vAlign w:val="center"/>
            <w:hideMark/>
          </w:tcPr>
          <w:p w14:paraId="5DC99474" w14:textId="77777777"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počet obcí</w:t>
            </w:r>
          </w:p>
        </w:tc>
        <w:tc>
          <w:tcPr>
            <w:tcW w:w="960" w:type="dxa"/>
            <w:tcBorders>
              <w:top w:val="nil"/>
              <w:left w:val="nil"/>
              <w:bottom w:val="nil"/>
              <w:right w:val="nil"/>
            </w:tcBorders>
            <w:shd w:val="clear" w:color="000000" w:fill="595959"/>
            <w:vAlign w:val="center"/>
            <w:hideMark/>
          </w:tcPr>
          <w:p w14:paraId="19510168" w14:textId="77777777"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z toho miest</w:t>
            </w:r>
          </w:p>
        </w:tc>
        <w:tc>
          <w:tcPr>
            <w:tcW w:w="1098" w:type="dxa"/>
            <w:tcBorders>
              <w:top w:val="nil"/>
              <w:left w:val="nil"/>
              <w:bottom w:val="nil"/>
              <w:right w:val="nil"/>
            </w:tcBorders>
            <w:shd w:val="clear" w:color="000000" w:fill="595959"/>
            <w:vAlign w:val="center"/>
            <w:hideMark/>
          </w:tcPr>
          <w:p w14:paraId="012C516E" w14:textId="77777777" w:rsidR="007B16E4"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Obyvateľov/</w:t>
            </w:r>
          </w:p>
          <w:p w14:paraId="53AFAF66" w14:textId="7BC64AB1" w:rsidR="009C523D" w:rsidRPr="009C523D" w:rsidRDefault="009C523D" w:rsidP="009C523D">
            <w:pPr>
              <w:spacing w:line="240" w:lineRule="auto"/>
              <w:jc w:val="center"/>
              <w:rPr>
                <w:rFonts w:ascii="Arial Narrow" w:hAnsi="Arial Narrow" w:cs="Calibri"/>
                <w:b/>
                <w:bCs/>
                <w:color w:val="FFFFFF"/>
                <w:sz w:val="20"/>
                <w:szCs w:val="20"/>
              </w:rPr>
            </w:pPr>
            <w:r w:rsidRPr="009C523D">
              <w:rPr>
                <w:rFonts w:ascii="Arial Narrow" w:hAnsi="Arial Narrow" w:cs="Calibri"/>
                <w:b/>
                <w:bCs/>
                <w:color w:val="FFFFFF"/>
                <w:sz w:val="20"/>
                <w:szCs w:val="20"/>
              </w:rPr>
              <w:t>lôžko</w:t>
            </w:r>
          </w:p>
        </w:tc>
      </w:tr>
      <w:tr w:rsidR="00312A43" w:rsidRPr="009C523D" w14:paraId="7E278CA7" w14:textId="77777777" w:rsidTr="004E231E">
        <w:trPr>
          <w:trHeight w:val="300"/>
          <w:jc w:val="center"/>
        </w:trPr>
        <w:tc>
          <w:tcPr>
            <w:tcW w:w="1838" w:type="dxa"/>
            <w:tcBorders>
              <w:top w:val="nil"/>
              <w:left w:val="nil"/>
              <w:bottom w:val="nil"/>
              <w:right w:val="nil"/>
            </w:tcBorders>
            <w:shd w:val="clear" w:color="000000" w:fill="FFF2CC"/>
            <w:vAlign w:val="center"/>
            <w:hideMark/>
          </w:tcPr>
          <w:p w14:paraId="1B49475C" w14:textId="77777777" w:rsidR="00312A43" w:rsidRPr="009C523D" w:rsidRDefault="003F238F" w:rsidP="009C523D">
            <w:pPr>
              <w:spacing w:line="240" w:lineRule="auto"/>
              <w:rPr>
                <w:rFonts w:ascii="Arial Narrow" w:hAnsi="Arial Narrow" w:cs="Calibri"/>
                <w:b/>
                <w:bCs/>
                <w:sz w:val="20"/>
                <w:szCs w:val="20"/>
              </w:rPr>
            </w:pPr>
            <w:hyperlink r:id="rId19" w:tooltip="Bytča (okres)" w:history="1">
              <w:r w:rsidR="00312A43" w:rsidRPr="009C523D">
                <w:rPr>
                  <w:rFonts w:ascii="Arial Narrow" w:hAnsi="Arial Narrow" w:cs="Calibri"/>
                  <w:b/>
                  <w:bCs/>
                  <w:sz w:val="20"/>
                  <w:szCs w:val="20"/>
                </w:rPr>
                <w:t>Bytča</w:t>
              </w:r>
            </w:hyperlink>
          </w:p>
        </w:tc>
        <w:tc>
          <w:tcPr>
            <w:tcW w:w="1240" w:type="dxa"/>
            <w:tcBorders>
              <w:top w:val="nil"/>
              <w:left w:val="nil"/>
              <w:bottom w:val="nil"/>
              <w:right w:val="nil"/>
            </w:tcBorders>
            <w:shd w:val="clear" w:color="000000" w:fill="FFF2CC"/>
            <w:vAlign w:val="center"/>
            <w:hideMark/>
          </w:tcPr>
          <w:p w14:paraId="654343A0"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30 965</w:t>
            </w:r>
          </w:p>
        </w:tc>
        <w:tc>
          <w:tcPr>
            <w:tcW w:w="1020" w:type="dxa"/>
            <w:tcBorders>
              <w:top w:val="nil"/>
              <w:left w:val="nil"/>
              <w:bottom w:val="nil"/>
              <w:right w:val="nil"/>
            </w:tcBorders>
            <w:shd w:val="clear" w:color="000000" w:fill="FFF2CC"/>
            <w:vAlign w:val="center"/>
            <w:hideMark/>
          </w:tcPr>
          <w:p w14:paraId="60863B99"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51</w:t>
            </w:r>
          </w:p>
        </w:tc>
        <w:tc>
          <w:tcPr>
            <w:tcW w:w="1120" w:type="dxa"/>
            <w:tcBorders>
              <w:top w:val="nil"/>
              <w:left w:val="nil"/>
              <w:bottom w:val="nil"/>
              <w:right w:val="nil"/>
            </w:tcBorders>
            <w:shd w:val="clear" w:color="000000" w:fill="FFF2CC"/>
            <w:vAlign w:val="center"/>
            <w:hideMark/>
          </w:tcPr>
          <w:p w14:paraId="18A93AB2"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282</w:t>
            </w:r>
          </w:p>
        </w:tc>
        <w:tc>
          <w:tcPr>
            <w:tcW w:w="1120" w:type="dxa"/>
            <w:tcBorders>
              <w:top w:val="nil"/>
              <w:left w:val="nil"/>
              <w:bottom w:val="nil"/>
              <w:right w:val="nil"/>
            </w:tcBorders>
            <w:shd w:val="clear" w:color="000000" w:fill="FFF2CC"/>
            <w:vAlign w:val="center"/>
            <w:hideMark/>
          </w:tcPr>
          <w:p w14:paraId="2F3D7789"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110</w:t>
            </w:r>
          </w:p>
        </w:tc>
        <w:tc>
          <w:tcPr>
            <w:tcW w:w="960" w:type="dxa"/>
            <w:tcBorders>
              <w:top w:val="nil"/>
              <w:left w:val="nil"/>
              <w:bottom w:val="nil"/>
              <w:right w:val="nil"/>
            </w:tcBorders>
            <w:shd w:val="clear" w:color="000000" w:fill="FFF2CC"/>
            <w:vAlign w:val="center"/>
            <w:hideMark/>
          </w:tcPr>
          <w:p w14:paraId="641F9770"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12</w:t>
            </w:r>
          </w:p>
        </w:tc>
        <w:tc>
          <w:tcPr>
            <w:tcW w:w="960" w:type="dxa"/>
            <w:tcBorders>
              <w:top w:val="nil"/>
              <w:left w:val="nil"/>
              <w:bottom w:val="nil"/>
              <w:right w:val="nil"/>
            </w:tcBorders>
            <w:shd w:val="clear" w:color="000000" w:fill="FFF2CC"/>
            <w:vAlign w:val="center"/>
            <w:hideMark/>
          </w:tcPr>
          <w:p w14:paraId="2B018745"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w:t>
            </w:r>
          </w:p>
        </w:tc>
        <w:tc>
          <w:tcPr>
            <w:tcW w:w="1098" w:type="dxa"/>
            <w:vMerge w:val="restart"/>
            <w:tcBorders>
              <w:top w:val="nil"/>
              <w:left w:val="nil"/>
              <w:right w:val="nil"/>
            </w:tcBorders>
            <w:shd w:val="clear" w:color="000000" w:fill="FFF2CC"/>
            <w:vAlign w:val="center"/>
            <w:hideMark/>
          </w:tcPr>
          <w:p w14:paraId="74AF24E6" w14:textId="7D081741"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b/>
                <w:bCs/>
                <w:sz w:val="20"/>
                <w:szCs w:val="20"/>
              </w:rPr>
              <w:t>262</w:t>
            </w:r>
          </w:p>
        </w:tc>
      </w:tr>
      <w:tr w:rsidR="00312A43" w:rsidRPr="009C523D" w14:paraId="58F8EAD4" w14:textId="77777777" w:rsidTr="004E231E">
        <w:trPr>
          <w:trHeight w:val="300"/>
          <w:jc w:val="center"/>
        </w:trPr>
        <w:tc>
          <w:tcPr>
            <w:tcW w:w="1838" w:type="dxa"/>
            <w:tcBorders>
              <w:top w:val="nil"/>
              <w:left w:val="nil"/>
              <w:bottom w:val="nil"/>
              <w:right w:val="nil"/>
            </w:tcBorders>
            <w:shd w:val="clear" w:color="000000" w:fill="FFF2CC"/>
            <w:vAlign w:val="center"/>
            <w:hideMark/>
          </w:tcPr>
          <w:p w14:paraId="4E4BE1AC" w14:textId="77777777" w:rsidR="00312A43" w:rsidRPr="009C523D" w:rsidRDefault="003F238F" w:rsidP="009C523D">
            <w:pPr>
              <w:spacing w:line="240" w:lineRule="auto"/>
              <w:rPr>
                <w:rFonts w:ascii="Arial Narrow" w:hAnsi="Arial Narrow" w:cs="Calibri"/>
                <w:b/>
                <w:bCs/>
                <w:sz w:val="20"/>
                <w:szCs w:val="20"/>
              </w:rPr>
            </w:pPr>
            <w:hyperlink r:id="rId20" w:tooltip="Čadca (okres)" w:history="1">
              <w:r w:rsidR="00312A43" w:rsidRPr="009C523D">
                <w:rPr>
                  <w:rFonts w:ascii="Arial Narrow" w:hAnsi="Arial Narrow" w:cs="Calibri"/>
                  <w:b/>
                  <w:bCs/>
                  <w:sz w:val="20"/>
                  <w:szCs w:val="20"/>
                </w:rPr>
                <w:t>Čadca</w:t>
              </w:r>
            </w:hyperlink>
          </w:p>
        </w:tc>
        <w:tc>
          <w:tcPr>
            <w:tcW w:w="1240" w:type="dxa"/>
            <w:tcBorders>
              <w:top w:val="nil"/>
              <w:left w:val="nil"/>
              <w:bottom w:val="nil"/>
              <w:right w:val="nil"/>
            </w:tcBorders>
            <w:shd w:val="clear" w:color="000000" w:fill="FFF2CC"/>
            <w:vAlign w:val="center"/>
            <w:hideMark/>
          </w:tcPr>
          <w:p w14:paraId="501D58D4"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89 952</w:t>
            </w:r>
          </w:p>
        </w:tc>
        <w:tc>
          <w:tcPr>
            <w:tcW w:w="1020" w:type="dxa"/>
            <w:tcBorders>
              <w:top w:val="nil"/>
              <w:left w:val="nil"/>
              <w:bottom w:val="nil"/>
              <w:right w:val="nil"/>
            </w:tcBorders>
            <w:shd w:val="clear" w:color="000000" w:fill="FFF2CC"/>
            <w:vAlign w:val="center"/>
            <w:hideMark/>
          </w:tcPr>
          <w:p w14:paraId="10E59296"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50</w:t>
            </w:r>
          </w:p>
        </w:tc>
        <w:tc>
          <w:tcPr>
            <w:tcW w:w="1120" w:type="dxa"/>
            <w:tcBorders>
              <w:top w:val="nil"/>
              <w:left w:val="nil"/>
              <w:bottom w:val="nil"/>
              <w:right w:val="nil"/>
            </w:tcBorders>
            <w:shd w:val="clear" w:color="000000" w:fill="FFF2CC"/>
            <w:vAlign w:val="center"/>
            <w:hideMark/>
          </w:tcPr>
          <w:p w14:paraId="5235489A"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761</w:t>
            </w:r>
          </w:p>
        </w:tc>
        <w:tc>
          <w:tcPr>
            <w:tcW w:w="1120" w:type="dxa"/>
            <w:tcBorders>
              <w:top w:val="nil"/>
              <w:left w:val="nil"/>
              <w:bottom w:val="nil"/>
              <w:right w:val="nil"/>
            </w:tcBorders>
            <w:shd w:val="clear" w:color="000000" w:fill="FFF2CC"/>
            <w:vAlign w:val="center"/>
            <w:hideMark/>
          </w:tcPr>
          <w:p w14:paraId="612F1A0E"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118</w:t>
            </w:r>
          </w:p>
        </w:tc>
        <w:tc>
          <w:tcPr>
            <w:tcW w:w="960" w:type="dxa"/>
            <w:tcBorders>
              <w:top w:val="nil"/>
              <w:left w:val="nil"/>
              <w:bottom w:val="nil"/>
              <w:right w:val="nil"/>
            </w:tcBorders>
            <w:shd w:val="clear" w:color="000000" w:fill="FFF2CC"/>
            <w:vAlign w:val="center"/>
            <w:hideMark/>
          </w:tcPr>
          <w:p w14:paraId="67076A51"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23</w:t>
            </w:r>
          </w:p>
        </w:tc>
        <w:tc>
          <w:tcPr>
            <w:tcW w:w="960" w:type="dxa"/>
            <w:tcBorders>
              <w:top w:val="nil"/>
              <w:left w:val="nil"/>
              <w:bottom w:val="nil"/>
              <w:right w:val="nil"/>
            </w:tcBorders>
            <w:shd w:val="clear" w:color="000000" w:fill="FFF2CC"/>
            <w:vAlign w:val="center"/>
            <w:hideMark/>
          </w:tcPr>
          <w:p w14:paraId="2286A076"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w:t>
            </w:r>
          </w:p>
        </w:tc>
        <w:tc>
          <w:tcPr>
            <w:tcW w:w="1098" w:type="dxa"/>
            <w:vMerge/>
            <w:tcBorders>
              <w:left w:val="nil"/>
              <w:right w:val="nil"/>
            </w:tcBorders>
            <w:shd w:val="clear" w:color="000000" w:fill="FFF2CC"/>
            <w:vAlign w:val="center"/>
            <w:hideMark/>
          </w:tcPr>
          <w:p w14:paraId="21C68C16" w14:textId="4A59DA77" w:rsidR="00312A43" w:rsidRPr="009C523D" w:rsidRDefault="00312A43" w:rsidP="009C523D">
            <w:pPr>
              <w:spacing w:line="240" w:lineRule="auto"/>
              <w:jc w:val="center"/>
              <w:rPr>
                <w:rFonts w:ascii="Arial Narrow" w:hAnsi="Arial Narrow" w:cs="Calibri"/>
                <w:sz w:val="20"/>
                <w:szCs w:val="20"/>
              </w:rPr>
            </w:pPr>
          </w:p>
        </w:tc>
      </w:tr>
      <w:tr w:rsidR="00312A43" w:rsidRPr="009C523D" w14:paraId="591B7BBB" w14:textId="77777777" w:rsidTr="004E231E">
        <w:trPr>
          <w:trHeight w:val="300"/>
          <w:jc w:val="center"/>
        </w:trPr>
        <w:tc>
          <w:tcPr>
            <w:tcW w:w="1838" w:type="dxa"/>
            <w:tcBorders>
              <w:top w:val="nil"/>
              <w:left w:val="nil"/>
              <w:bottom w:val="nil"/>
              <w:right w:val="nil"/>
            </w:tcBorders>
            <w:shd w:val="clear" w:color="000000" w:fill="FFF2CC"/>
            <w:vAlign w:val="center"/>
            <w:hideMark/>
          </w:tcPr>
          <w:p w14:paraId="6055A1C1" w14:textId="77777777" w:rsidR="00312A43" w:rsidRPr="009C523D" w:rsidRDefault="003F238F" w:rsidP="009C523D">
            <w:pPr>
              <w:spacing w:line="240" w:lineRule="auto"/>
              <w:rPr>
                <w:rFonts w:ascii="Arial Narrow" w:hAnsi="Arial Narrow" w:cs="Calibri"/>
                <w:b/>
                <w:bCs/>
                <w:sz w:val="20"/>
                <w:szCs w:val="20"/>
              </w:rPr>
            </w:pPr>
            <w:hyperlink r:id="rId21" w:tooltip="Žilina (okres)" w:history="1">
              <w:r w:rsidR="00312A43" w:rsidRPr="009C523D">
                <w:rPr>
                  <w:rFonts w:ascii="Arial Narrow" w:hAnsi="Arial Narrow" w:cs="Calibri"/>
                  <w:b/>
                  <w:bCs/>
                  <w:sz w:val="20"/>
                  <w:szCs w:val="20"/>
                </w:rPr>
                <w:t>Žilina</w:t>
              </w:r>
            </w:hyperlink>
          </w:p>
        </w:tc>
        <w:tc>
          <w:tcPr>
            <w:tcW w:w="1240" w:type="dxa"/>
            <w:tcBorders>
              <w:top w:val="nil"/>
              <w:left w:val="nil"/>
              <w:bottom w:val="nil"/>
              <w:right w:val="nil"/>
            </w:tcBorders>
            <w:shd w:val="clear" w:color="000000" w:fill="FFF2CC"/>
            <w:vAlign w:val="center"/>
            <w:hideMark/>
          </w:tcPr>
          <w:p w14:paraId="502B41AE"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158 279</w:t>
            </w:r>
          </w:p>
        </w:tc>
        <w:tc>
          <w:tcPr>
            <w:tcW w:w="1020" w:type="dxa"/>
            <w:tcBorders>
              <w:top w:val="nil"/>
              <w:left w:val="nil"/>
              <w:bottom w:val="nil"/>
              <w:right w:val="nil"/>
            </w:tcBorders>
            <w:shd w:val="clear" w:color="000000" w:fill="FFF2CC"/>
            <w:vAlign w:val="center"/>
            <w:hideMark/>
          </w:tcPr>
          <w:p w14:paraId="26837E83"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51</w:t>
            </w:r>
          </w:p>
        </w:tc>
        <w:tc>
          <w:tcPr>
            <w:tcW w:w="1120" w:type="dxa"/>
            <w:tcBorders>
              <w:top w:val="nil"/>
              <w:left w:val="nil"/>
              <w:bottom w:val="nil"/>
              <w:right w:val="nil"/>
            </w:tcBorders>
            <w:shd w:val="clear" w:color="000000" w:fill="FFF2CC"/>
            <w:vAlign w:val="center"/>
            <w:hideMark/>
          </w:tcPr>
          <w:p w14:paraId="1D993A50"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815</w:t>
            </w:r>
          </w:p>
        </w:tc>
        <w:tc>
          <w:tcPr>
            <w:tcW w:w="1120" w:type="dxa"/>
            <w:tcBorders>
              <w:top w:val="nil"/>
              <w:left w:val="nil"/>
              <w:bottom w:val="nil"/>
              <w:right w:val="nil"/>
            </w:tcBorders>
            <w:shd w:val="clear" w:color="000000" w:fill="FFF2CC"/>
            <w:vAlign w:val="center"/>
            <w:hideMark/>
          </w:tcPr>
          <w:p w14:paraId="1A5ED6EC"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194</w:t>
            </w:r>
          </w:p>
        </w:tc>
        <w:tc>
          <w:tcPr>
            <w:tcW w:w="960" w:type="dxa"/>
            <w:tcBorders>
              <w:top w:val="nil"/>
              <w:left w:val="nil"/>
              <w:bottom w:val="nil"/>
              <w:right w:val="nil"/>
            </w:tcBorders>
            <w:shd w:val="clear" w:color="000000" w:fill="FFF2CC"/>
            <w:vAlign w:val="center"/>
            <w:hideMark/>
          </w:tcPr>
          <w:p w14:paraId="4367D6A1"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53</w:t>
            </w:r>
          </w:p>
        </w:tc>
        <w:tc>
          <w:tcPr>
            <w:tcW w:w="960" w:type="dxa"/>
            <w:tcBorders>
              <w:top w:val="nil"/>
              <w:left w:val="nil"/>
              <w:bottom w:val="nil"/>
              <w:right w:val="nil"/>
            </w:tcBorders>
            <w:shd w:val="clear" w:color="000000" w:fill="FFF2CC"/>
            <w:vAlign w:val="center"/>
            <w:hideMark/>
          </w:tcPr>
          <w:p w14:paraId="01A1AF7D"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w:t>
            </w:r>
          </w:p>
        </w:tc>
        <w:tc>
          <w:tcPr>
            <w:tcW w:w="1098" w:type="dxa"/>
            <w:vMerge/>
            <w:tcBorders>
              <w:left w:val="nil"/>
              <w:right w:val="nil"/>
            </w:tcBorders>
            <w:shd w:val="clear" w:color="000000" w:fill="FFF2CC"/>
            <w:vAlign w:val="center"/>
            <w:hideMark/>
          </w:tcPr>
          <w:p w14:paraId="32D60F73" w14:textId="77974430" w:rsidR="00312A43" w:rsidRPr="009C523D" w:rsidRDefault="00312A43" w:rsidP="009C523D">
            <w:pPr>
              <w:spacing w:line="240" w:lineRule="auto"/>
              <w:jc w:val="center"/>
              <w:rPr>
                <w:rFonts w:ascii="Arial Narrow" w:hAnsi="Arial Narrow" w:cs="Calibri"/>
                <w:sz w:val="20"/>
                <w:szCs w:val="20"/>
              </w:rPr>
            </w:pPr>
          </w:p>
        </w:tc>
      </w:tr>
      <w:tr w:rsidR="00312A43" w:rsidRPr="009C523D" w14:paraId="24125A96" w14:textId="77777777" w:rsidTr="004E231E">
        <w:trPr>
          <w:trHeight w:val="300"/>
          <w:jc w:val="center"/>
        </w:trPr>
        <w:tc>
          <w:tcPr>
            <w:tcW w:w="1838" w:type="dxa"/>
            <w:tcBorders>
              <w:top w:val="nil"/>
              <w:left w:val="nil"/>
              <w:bottom w:val="nil"/>
              <w:right w:val="nil"/>
            </w:tcBorders>
            <w:shd w:val="clear" w:color="000000" w:fill="FFF2CC"/>
            <w:vAlign w:val="center"/>
            <w:hideMark/>
          </w:tcPr>
          <w:p w14:paraId="0E6688D2" w14:textId="77777777" w:rsidR="00312A43" w:rsidRPr="009C523D" w:rsidRDefault="003F238F" w:rsidP="009C523D">
            <w:pPr>
              <w:spacing w:line="240" w:lineRule="auto"/>
              <w:rPr>
                <w:rFonts w:ascii="Arial Narrow" w:hAnsi="Arial Narrow" w:cs="Calibri"/>
                <w:b/>
                <w:bCs/>
                <w:sz w:val="20"/>
                <w:szCs w:val="20"/>
              </w:rPr>
            </w:pPr>
            <w:hyperlink r:id="rId22" w:tooltip="Kysucké Nové Mesto (okres)" w:history="1">
              <w:r w:rsidR="00312A43" w:rsidRPr="009C523D">
                <w:rPr>
                  <w:rFonts w:ascii="Arial Narrow" w:hAnsi="Arial Narrow" w:cs="Calibri"/>
                  <w:b/>
                  <w:bCs/>
                  <w:sz w:val="20"/>
                  <w:szCs w:val="20"/>
                </w:rPr>
                <w:t>Kysucké Nové Mesto</w:t>
              </w:r>
            </w:hyperlink>
          </w:p>
        </w:tc>
        <w:tc>
          <w:tcPr>
            <w:tcW w:w="1240" w:type="dxa"/>
            <w:tcBorders>
              <w:top w:val="nil"/>
              <w:left w:val="nil"/>
              <w:bottom w:val="nil"/>
              <w:right w:val="nil"/>
            </w:tcBorders>
            <w:shd w:val="clear" w:color="000000" w:fill="FFF2CC"/>
            <w:vAlign w:val="center"/>
            <w:hideMark/>
          </w:tcPr>
          <w:p w14:paraId="0E9B8DD9"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32 890</w:t>
            </w:r>
          </w:p>
        </w:tc>
        <w:tc>
          <w:tcPr>
            <w:tcW w:w="1020" w:type="dxa"/>
            <w:tcBorders>
              <w:top w:val="nil"/>
              <w:left w:val="nil"/>
              <w:bottom w:val="nil"/>
              <w:right w:val="nil"/>
            </w:tcBorders>
            <w:shd w:val="clear" w:color="000000" w:fill="FFF2CC"/>
            <w:vAlign w:val="center"/>
            <w:hideMark/>
          </w:tcPr>
          <w:p w14:paraId="009D8219"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51</w:t>
            </w:r>
          </w:p>
        </w:tc>
        <w:tc>
          <w:tcPr>
            <w:tcW w:w="1120" w:type="dxa"/>
            <w:tcBorders>
              <w:top w:val="nil"/>
              <w:left w:val="nil"/>
              <w:bottom w:val="nil"/>
              <w:right w:val="nil"/>
            </w:tcBorders>
            <w:shd w:val="clear" w:color="000000" w:fill="FFF2CC"/>
            <w:vAlign w:val="center"/>
            <w:hideMark/>
          </w:tcPr>
          <w:p w14:paraId="35949867"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174</w:t>
            </w:r>
          </w:p>
        </w:tc>
        <w:tc>
          <w:tcPr>
            <w:tcW w:w="1120" w:type="dxa"/>
            <w:tcBorders>
              <w:top w:val="nil"/>
              <w:left w:val="nil"/>
              <w:bottom w:val="nil"/>
              <w:right w:val="nil"/>
            </w:tcBorders>
            <w:shd w:val="clear" w:color="000000" w:fill="FFF2CC"/>
            <w:vAlign w:val="center"/>
            <w:hideMark/>
          </w:tcPr>
          <w:p w14:paraId="20A77E6A"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190</w:t>
            </w:r>
          </w:p>
        </w:tc>
        <w:tc>
          <w:tcPr>
            <w:tcW w:w="960" w:type="dxa"/>
            <w:tcBorders>
              <w:top w:val="nil"/>
              <w:left w:val="nil"/>
              <w:bottom w:val="nil"/>
              <w:right w:val="nil"/>
            </w:tcBorders>
            <w:shd w:val="clear" w:color="000000" w:fill="FFF2CC"/>
            <w:vAlign w:val="center"/>
            <w:hideMark/>
          </w:tcPr>
          <w:p w14:paraId="54A96307"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14</w:t>
            </w:r>
          </w:p>
        </w:tc>
        <w:tc>
          <w:tcPr>
            <w:tcW w:w="960" w:type="dxa"/>
            <w:tcBorders>
              <w:top w:val="nil"/>
              <w:left w:val="nil"/>
              <w:bottom w:val="nil"/>
              <w:right w:val="nil"/>
            </w:tcBorders>
            <w:shd w:val="clear" w:color="000000" w:fill="FFF2CC"/>
            <w:vAlign w:val="center"/>
            <w:hideMark/>
          </w:tcPr>
          <w:p w14:paraId="0148D811"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w:t>
            </w:r>
          </w:p>
        </w:tc>
        <w:tc>
          <w:tcPr>
            <w:tcW w:w="1098" w:type="dxa"/>
            <w:vMerge/>
            <w:tcBorders>
              <w:left w:val="nil"/>
              <w:right w:val="nil"/>
            </w:tcBorders>
            <w:shd w:val="clear" w:color="000000" w:fill="FFF2CC"/>
            <w:vAlign w:val="center"/>
            <w:hideMark/>
          </w:tcPr>
          <w:p w14:paraId="6295B374" w14:textId="6977EB21" w:rsidR="00312A43" w:rsidRPr="009C523D" w:rsidRDefault="00312A43" w:rsidP="009C523D">
            <w:pPr>
              <w:spacing w:line="240" w:lineRule="auto"/>
              <w:jc w:val="center"/>
              <w:rPr>
                <w:rFonts w:ascii="Arial Narrow" w:hAnsi="Arial Narrow" w:cs="Calibri"/>
                <w:sz w:val="20"/>
                <w:szCs w:val="20"/>
              </w:rPr>
            </w:pPr>
          </w:p>
        </w:tc>
      </w:tr>
      <w:tr w:rsidR="00312A43" w:rsidRPr="009C523D" w14:paraId="5032126A" w14:textId="77777777" w:rsidTr="004E231E">
        <w:trPr>
          <w:trHeight w:val="300"/>
          <w:jc w:val="center"/>
        </w:trPr>
        <w:tc>
          <w:tcPr>
            <w:tcW w:w="1838" w:type="dxa"/>
            <w:tcBorders>
              <w:top w:val="nil"/>
              <w:left w:val="nil"/>
              <w:bottom w:val="nil"/>
              <w:right w:val="nil"/>
            </w:tcBorders>
            <w:shd w:val="clear" w:color="000000" w:fill="FFF2CC"/>
            <w:noWrap/>
            <w:vAlign w:val="center"/>
            <w:hideMark/>
          </w:tcPr>
          <w:p w14:paraId="6F29EB94" w14:textId="6AD92685" w:rsidR="00312A43" w:rsidRPr="009C523D" w:rsidRDefault="00D9475F" w:rsidP="00377663">
            <w:pPr>
              <w:spacing w:line="240" w:lineRule="auto"/>
              <w:jc w:val="left"/>
              <w:rPr>
                <w:rFonts w:ascii="Arial Narrow" w:hAnsi="Arial Narrow" w:cs="Calibri"/>
                <w:b/>
                <w:bCs/>
                <w:sz w:val="20"/>
                <w:szCs w:val="20"/>
              </w:rPr>
            </w:pPr>
            <w:r>
              <w:rPr>
                <w:rFonts w:ascii="Arial Narrow" w:hAnsi="Arial Narrow" w:cs="Calibri"/>
                <w:b/>
                <w:bCs/>
                <w:sz w:val="20"/>
                <w:szCs w:val="20"/>
              </w:rPr>
              <w:t xml:space="preserve">KLASTER 1 </w:t>
            </w:r>
            <w:r w:rsidR="00312A43" w:rsidRPr="009C523D">
              <w:rPr>
                <w:rFonts w:ascii="Arial Narrow" w:hAnsi="Arial Narrow" w:cs="Calibri"/>
                <w:b/>
                <w:bCs/>
                <w:sz w:val="20"/>
                <w:szCs w:val="20"/>
              </w:rPr>
              <w:t>POVAŽIE+KYSUCE</w:t>
            </w:r>
          </w:p>
        </w:tc>
        <w:tc>
          <w:tcPr>
            <w:tcW w:w="1240" w:type="dxa"/>
            <w:tcBorders>
              <w:top w:val="nil"/>
              <w:left w:val="nil"/>
              <w:bottom w:val="nil"/>
              <w:right w:val="nil"/>
            </w:tcBorders>
            <w:shd w:val="clear" w:color="000000" w:fill="FFF2CC"/>
            <w:noWrap/>
            <w:vAlign w:val="center"/>
            <w:hideMark/>
          </w:tcPr>
          <w:p w14:paraId="363F8AB9"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312 086</w:t>
            </w:r>
          </w:p>
        </w:tc>
        <w:tc>
          <w:tcPr>
            <w:tcW w:w="1020" w:type="dxa"/>
            <w:tcBorders>
              <w:top w:val="nil"/>
              <w:left w:val="nil"/>
              <w:bottom w:val="nil"/>
              <w:right w:val="nil"/>
            </w:tcBorders>
            <w:shd w:val="clear" w:color="000000" w:fill="FFF2CC"/>
            <w:noWrap/>
            <w:vAlign w:val="center"/>
            <w:hideMark/>
          </w:tcPr>
          <w:p w14:paraId="3EB99BB8"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1120" w:type="dxa"/>
            <w:tcBorders>
              <w:top w:val="nil"/>
              <w:left w:val="nil"/>
              <w:bottom w:val="nil"/>
              <w:right w:val="nil"/>
            </w:tcBorders>
            <w:shd w:val="clear" w:color="000000" w:fill="FFF2CC"/>
            <w:noWrap/>
            <w:vAlign w:val="center"/>
            <w:hideMark/>
          </w:tcPr>
          <w:p w14:paraId="7197CABE"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2032</w:t>
            </w:r>
          </w:p>
        </w:tc>
        <w:tc>
          <w:tcPr>
            <w:tcW w:w="1120" w:type="dxa"/>
            <w:tcBorders>
              <w:top w:val="nil"/>
              <w:left w:val="nil"/>
              <w:bottom w:val="nil"/>
              <w:right w:val="nil"/>
            </w:tcBorders>
            <w:shd w:val="clear" w:color="000000" w:fill="FFF2CC"/>
            <w:noWrap/>
            <w:vAlign w:val="center"/>
            <w:hideMark/>
          </w:tcPr>
          <w:p w14:paraId="6749C040"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960" w:type="dxa"/>
            <w:tcBorders>
              <w:top w:val="nil"/>
              <w:left w:val="nil"/>
              <w:bottom w:val="nil"/>
              <w:right w:val="nil"/>
            </w:tcBorders>
            <w:shd w:val="clear" w:color="000000" w:fill="FFF2CC"/>
            <w:noWrap/>
            <w:vAlign w:val="center"/>
            <w:hideMark/>
          </w:tcPr>
          <w:p w14:paraId="13614061"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102</w:t>
            </w:r>
          </w:p>
        </w:tc>
        <w:tc>
          <w:tcPr>
            <w:tcW w:w="960" w:type="dxa"/>
            <w:tcBorders>
              <w:top w:val="nil"/>
              <w:left w:val="nil"/>
              <w:bottom w:val="nil"/>
              <w:right w:val="nil"/>
            </w:tcBorders>
            <w:shd w:val="clear" w:color="000000" w:fill="FFF2CC"/>
            <w:noWrap/>
            <w:vAlign w:val="center"/>
            <w:hideMark/>
          </w:tcPr>
          <w:p w14:paraId="14EF76A6"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8</w:t>
            </w:r>
          </w:p>
        </w:tc>
        <w:tc>
          <w:tcPr>
            <w:tcW w:w="1098" w:type="dxa"/>
            <w:vMerge/>
            <w:tcBorders>
              <w:left w:val="nil"/>
              <w:bottom w:val="nil"/>
              <w:right w:val="nil"/>
            </w:tcBorders>
            <w:shd w:val="clear" w:color="000000" w:fill="FFF2CC"/>
            <w:vAlign w:val="center"/>
            <w:hideMark/>
          </w:tcPr>
          <w:p w14:paraId="41A774A1" w14:textId="5CED84F5" w:rsidR="00312A43" w:rsidRPr="009C523D" w:rsidRDefault="00312A43" w:rsidP="009C523D">
            <w:pPr>
              <w:spacing w:line="240" w:lineRule="auto"/>
              <w:jc w:val="center"/>
              <w:rPr>
                <w:rFonts w:ascii="Arial Narrow" w:hAnsi="Arial Narrow" w:cs="Calibri"/>
                <w:b/>
                <w:bCs/>
                <w:sz w:val="20"/>
                <w:szCs w:val="20"/>
              </w:rPr>
            </w:pPr>
          </w:p>
        </w:tc>
      </w:tr>
      <w:tr w:rsidR="00312A43" w:rsidRPr="009C523D" w14:paraId="1703140C" w14:textId="77777777" w:rsidTr="004E231E">
        <w:trPr>
          <w:trHeight w:val="300"/>
          <w:jc w:val="center"/>
        </w:trPr>
        <w:tc>
          <w:tcPr>
            <w:tcW w:w="1838" w:type="dxa"/>
            <w:tcBorders>
              <w:top w:val="nil"/>
              <w:left w:val="nil"/>
              <w:bottom w:val="nil"/>
              <w:right w:val="nil"/>
            </w:tcBorders>
            <w:shd w:val="clear" w:color="000000" w:fill="DDEBF7"/>
            <w:vAlign w:val="center"/>
            <w:hideMark/>
          </w:tcPr>
          <w:p w14:paraId="2BF942C0" w14:textId="77777777" w:rsidR="00312A43" w:rsidRPr="009C523D" w:rsidRDefault="003F238F" w:rsidP="009C523D">
            <w:pPr>
              <w:spacing w:line="240" w:lineRule="auto"/>
              <w:rPr>
                <w:rFonts w:ascii="Arial Narrow" w:hAnsi="Arial Narrow" w:cs="Calibri"/>
                <w:b/>
                <w:bCs/>
                <w:sz w:val="20"/>
                <w:szCs w:val="20"/>
              </w:rPr>
            </w:pPr>
            <w:hyperlink r:id="rId23" w:tooltip="Martin (okres)" w:history="1">
              <w:r w:rsidR="00312A43" w:rsidRPr="009C523D">
                <w:rPr>
                  <w:rFonts w:ascii="Arial Narrow" w:hAnsi="Arial Narrow" w:cs="Calibri"/>
                  <w:b/>
                  <w:bCs/>
                  <w:sz w:val="20"/>
                  <w:szCs w:val="20"/>
                </w:rPr>
                <w:t>Martin</w:t>
              </w:r>
            </w:hyperlink>
          </w:p>
        </w:tc>
        <w:tc>
          <w:tcPr>
            <w:tcW w:w="1240" w:type="dxa"/>
            <w:tcBorders>
              <w:top w:val="nil"/>
              <w:left w:val="nil"/>
              <w:bottom w:val="nil"/>
              <w:right w:val="nil"/>
            </w:tcBorders>
            <w:shd w:val="clear" w:color="000000" w:fill="DDEBF7"/>
            <w:vAlign w:val="center"/>
            <w:hideMark/>
          </w:tcPr>
          <w:p w14:paraId="14829C37"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96 171</w:t>
            </w:r>
          </w:p>
        </w:tc>
        <w:tc>
          <w:tcPr>
            <w:tcW w:w="1020" w:type="dxa"/>
            <w:tcBorders>
              <w:top w:val="nil"/>
              <w:left w:val="nil"/>
              <w:bottom w:val="nil"/>
              <w:right w:val="nil"/>
            </w:tcBorders>
            <w:shd w:val="clear" w:color="000000" w:fill="DDEBF7"/>
            <w:vAlign w:val="center"/>
            <w:hideMark/>
          </w:tcPr>
          <w:p w14:paraId="71AFA300"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51</w:t>
            </w:r>
          </w:p>
        </w:tc>
        <w:tc>
          <w:tcPr>
            <w:tcW w:w="1120" w:type="dxa"/>
            <w:tcBorders>
              <w:top w:val="nil"/>
              <w:left w:val="nil"/>
              <w:bottom w:val="nil"/>
              <w:right w:val="nil"/>
            </w:tcBorders>
            <w:shd w:val="clear" w:color="000000" w:fill="DDEBF7"/>
            <w:vAlign w:val="center"/>
            <w:hideMark/>
          </w:tcPr>
          <w:p w14:paraId="7A0D199A"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736</w:t>
            </w:r>
          </w:p>
        </w:tc>
        <w:tc>
          <w:tcPr>
            <w:tcW w:w="1120" w:type="dxa"/>
            <w:tcBorders>
              <w:top w:val="nil"/>
              <w:left w:val="nil"/>
              <w:bottom w:val="nil"/>
              <w:right w:val="nil"/>
            </w:tcBorders>
            <w:shd w:val="clear" w:color="000000" w:fill="DDEBF7"/>
            <w:vAlign w:val="center"/>
            <w:hideMark/>
          </w:tcPr>
          <w:p w14:paraId="639C2AA5"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131</w:t>
            </w:r>
          </w:p>
        </w:tc>
        <w:tc>
          <w:tcPr>
            <w:tcW w:w="960" w:type="dxa"/>
            <w:tcBorders>
              <w:top w:val="nil"/>
              <w:left w:val="nil"/>
              <w:bottom w:val="nil"/>
              <w:right w:val="nil"/>
            </w:tcBorders>
            <w:shd w:val="clear" w:color="000000" w:fill="DDEBF7"/>
            <w:vAlign w:val="center"/>
            <w:hideMark/>
          </w:tcPr>
          <w:p w14:paraId="791CE5F6"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43</w:t>
            </w:r>
          </w:p>
        </w:tc>
        <w:tc>
          <w:tcPr>
            <w:tcW w:w="960" w:type="dxa"/>
            <w:tcBorders>
              <w:top w:val="nil"/>
              <w:left w:val="nil"/>
              <w:bottom w:val="nil"/>
              <w:right w:val="nil"/>
            </w:tcBorders>
            <w:shd w:val="clear" w:color="000000" w:fill="DDEBF7"/>
            <w:vAlign w:val="center"/>
            <w:hideMark/>
          </w:tcPr>
          <w:p w14:paraId="64AF0F64"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w:t>
            </w:r>
          </w:p>
        </w:tc>
        <w:tc>
          <w:tcPr>
            <w:tcW w:w="1098" w:type="dxa"/>
            <w:vMerge w:val="restart"/>
            <w:tcBorders>
              <w:top w:val="nil"/>
              <w:left w:val="nil"/>
              <w:right w:val="nil"/>
            </w:tcBorders>
            <w:shd w:val="clear" w:color="000000" w:fill="DDEBF7"/>
            <w:vAlign w:val="center"/>
            <w:hideMark/>
          </w:tcPr>
          <w:p w14:paraId="2AEE6771" w14:textId="0C40CE63"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b/>
                <w:bCs/>
                <w:sz w:val="20"/>
                <w:szCs w:val="20"/>
              </w:rPr>
              <w:t>133</w:t>
            </w:r>
          </w:p>
        </w:tc>
      </w:tr>
      <w:tr w:rsidR="00312A43" w:rsidRPr="009C523D" w14:paraId="09BF481F" w14:textId="77777777" w:rsidTr="004E231E">
        <w:trPr>
          <w:trHeight w:val="300"/>
          <w:jc w:val="center"/>
        </w:trPr>
        <w:tc>
          <w:tcPr>
            <w:tcW w:w="1838" w:type="dxa"/>
            <w:tcBorders>
              <w:top w:val="nil"/>
              <w:left w:val="nil"/>
              <w:bottom w:val="nil"/>
              <w:right w:val="nil"/>
            </w:tcBorders>
            <w:shd w:val="clear" w:color="000000" w:fill="DDEBF7"/>
            <w:vAlign w:val="center"/>
            <w:hideMark/>
          </w:tcPr>
          <w:p w14:paraId="6C24DA76" w14:textId="77777777" w:rsidR="00312A43" w:rsidRPr="009C523D" w:rsidRDefault="003F238F" w:rsidP="009C523D">
            <w:pPr>
              <w:spacing w:line="240" w:lineRule="auto"/>
              <w:rPr>
                <w:rFonts w:ascii="Arial Narrow" w:hAnsi="Arial Narrow" w:cs="Calibri"/>
                <w:b/>
                <w:bCs/>
                <w:sz w:val="20"/>
                <w:szCs w:val="20"/>
              </w:rPr>
            </w:pPr>
            <w:hyperlink r:id="rId24" w:tooltip="Turčianske Teplice (okres)" w:history="1">
              <w:r w:rsidR="00312A43" w:rsidRPr="009C523D">
                <w:rPr>
                  <w:rFonts w:ascii="Arial Narrow" w:hAnsi="Arial Narrow" w:cs="Calibri"/>
                  <w:b/>
                  <w:bCs/>
                  <w:sz w:val="20"/>
                  <w:szCs w:val="20"/>
                </w:rPr>
                <w:t>Turčianske Teplice</w:t>
              </w:r>
            </w:hyperlink>
          </w:p>
        </w:tc>
        <w:tc>
          <w:tcPr>
            <w:tcW w:w="1240" w:type="dxa"/>
            <w:tcBorders>
              <w:top w:val="nil"/>
              <w:left w:val="nil"/>
              <w:bottom w:val="nil"/>
              <w:right w:val="nil"/>
            </w:tcBorders>
            <w:shd w:val="clear" w:color="000000" w:fill="DDEBF7"/>
            <w:vAlign w:val="center"/>
            <w:hideMark/>
          </w:tcPr>
          <w:p w14:paraId="5CDDD35B"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15 880</w:t>
            </w:r>
          </w:p>
        </w:tc>
        <w:tc>
          <w:tcPr>
            <w:tcW w:w="1020" w:type="dxa"/>
            <w:tcBorders>
              <w:top w:val="nil"/>
              <w:left w:val="nil"/>
              <w:bottom w:val="nil"/>
              <w:right w:val="nil"/>
            </w:tcBorders>
            <w:shd w:val="clear" w:color="000000" w:fill="DDEBF7"/>
            <w:vAlign w:val="center"/>
            <w:hideMark/>
          </w:tcPr>
          <w:p w14:paraId="450238E1"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51</w:t>
            </w:r>
          </w:p>
        </w:tc>
        <w:tc>
          <w:tcPr>
            <w:tcW w:w="1120" w:type="dxa"/>
            <w:tcBorders>
              <w:top w:val="nil"/>
              <w:left w:val="nil"/>
              <w:bottom w:val="nil"/>
              <w:right w:val="nil"/>
            </w:tcBorders>
            <w:shd w:val="clear" w:color="000000" w:fill="DDEBF7"/>
            <w:vAlign w:val="center"/>
            <w:hideMark/>
          </w:tcPr>
          <w:p w14:paraId="014CDC05"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393</w:t>
            </w:r>
          </w:p>
        </w:tc>
        <w:tc>
          <w:tcPr>
            <w:tcW w:w="1120" w:type="dxa"/>
            <w:tcBorders>
              <w:top w:val="nil"/>
              <w:left w:val="nil"/>
              <w:bottom w:val="nil"/>
              <w:right w:val="nil"/>
            </w:tcBorders>
            <w:shd w:val="clear" w:color="000000" w:fill="DDEBF7"/>
            <w:vAlign w:val="center"/>
            <w:hideMark/>
          </w:tcPr>
          <w:p w14:paraId="7CA15BD8"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40</w:t>
            </w:r>
          </w:p>
        </w:tc>
        <w:tc>
          <w:tcPr>
            <w:tcW w:w="960" w:type="dxa"/>
            <w:tcBorders>
              <w:top w:val="nil"/>
              <w:left w:val="nil"/>
              <w:bottom w:val="nil"/>
              <w:right w:val="nil"/>
            </w:tcBorders>
            <w:shd w:val="clear" w:color="000000" w:fill="DDEBF7"/>
            <w:vAlign w:val="center"/>
            <w:hideMark/>
          </w:tcPr>
          <w:p w14:paraId="554D57DE"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26</w:t>
            </w:r>
          </w:p>
        </w:tc>
        <w:tc>
          <w:tcPr>
            <w:tcW w:w="960" w:type="dxa"/>
            <w:tcBorders>
              <w:top w:val="nil"/>
              <w:left w:val="nil"/>
              <w:bottom w:val="nil"/>
              <w:right w:val="nil"/>
            </w:tcBorders>
            <w:shd w:val="clear" w:color="000000" w:fill="DDEBF7"/>
            <w:vAlign w:val="center"/>
            <w:hideMark/>
          </w:tcPr>
          <w:p w14:paraId="1330C255"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w:t>
            </w:r>
          </w:p>
        </w:tc>
        <w:tc>
          <w:tcPr>
            <w:tcW w:w="1098" w:type="dxa"/>
            <w:vMerge/>
            <w:tcBorders>
              <w:left w:val="nil"/>
              <w:right w:val="nil"/>
            </w:tcBorders>
            <w:shd w:val="clear" w:color="000000" w:fill="DDEBF7"/>
            <w:vAlign w:val="center"/>
            <w:hideMark/>
          </w:tcPr>
          <w:p w14:paraId="509BF2D2" w14:textId="30D72CCB" w:rsidR="00312A43" w:rsidRPr="009C523D" w:rsidRDefault="00312A43" w:rsidP="009C523D">
            <w:pPr>
              <w:spacing w:line="240" w:lineRule="auto"/>
              <w:jc w:val="center"/>
              <w:rPr>
                <w:rFonts w:ascii="Arial Narrow" w:hAnsi="Arial Narrow" w:cs="Calibri"/>
                <w:sz w:val="20"/>
                <w:szCs w:val="20"/>
              </w:rPr>
            </w:pPr>
          </w:p>
        </w:tc>
      </w:tr>
      <w:tr w:rsidR="00312A43" w:rsidRPr="009C523D" w14:paraId="6CBD14ED" w14:textId="77777777" w:rsidTr="004E231E">
        <w:trPr>
          <w:trHeight w:val="300"/>
          <w:jc w:val="center"/>
        </w:trPr>
        <w:tc>
          <w:tcPr>
            <w:tcW w:w="1838" w:type="dxa"/>
            <w:tcBorders>
              <w:top w:val="nil"/>
              <w:left w:val="nil"/>
              <w:bottom w:val="nil"/>
              <w:right w:val="nil"/>
            </w:tcBorders>
            <w:shd w:val="clear" w:color="000000" w:fill="DDEBF7"/>
            <w:noWrap/>
            <w:vAlign w:val="center"/>
            <w:hideMark/>
          </w:tcPr>
          <w:p w14:paraId="0A3E7AF9" w14:textId="0BB9B64B" w:rsidR="00312A43" w:rsidRPr="009C523D" w:rsidRDefault="00D9475F" w:rsidP="009C523D">
            <w:pPr>
              <w:spacing w:line="240" w:lineRule="auto"/>
              <w:rPr>
                <w:rFonts w:ascii="Arial Narrow" w:hAnsi="Arial Narrow" w:cs="Calibri"/>
                <w:b/>
                <w:bCs/>
                <w:sz w:val="20"/>
                <w:szCs w:val="20"/>
              </w:rPr>
            </w:pPr>
            <w:r>
              <w:rPr>
                <w:rFonts w:ascii="Arial Narrow" w:hAnsi="Arial Narrow" w:cs="Calibri"/>
                <w:b/>
                <w:bCs/>
                <w:sz w:val="20"/>
                <w:szCs w:val="20"/>
              </w:rPr>
              <w:t xml:space="preserve">KLASTER 2 </w:t>
            </w:r>
            <w:r w:rsidR="00312A43" w:rsidRPr="009C523D">
              <w:rPr>
                <w:rFonts w:ascii="Arial Narrow" w:hAnsi="Arial Narrow" w:cs="Calibri"/>
                <w:b/>
                <w:bCs/>
                <w:sz w:val="20"/>
                <w:szCs w:val="20"/>
              </w:rPr>
              <w:t xml:space="preserve">TURIEC </w:t>
            </w:r>
          </w:p>
        </w:tc>
        <w:tc>
          <w:tcPr>
            <w:tcW w:w="1240" w:type="dxa"/>
            <w:tcBorders>
              <w:top w:val="nil"/>
              <w:left w:val="nil"/>
              <w:bottom w:val="nil"/>
              <w:right w:val="nil"/>
            </w:tcBorders>
            <w:shd w:val="clear" w:color="000000" w:fill="DDEBF7"/>
            <w:vAlign w:val="center"/>
            <w:hideMark/>
          </w:tcPr>
          <w:p w14:paraId="1A004E4B"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112 051</w:t>
            </w:r>
          </w:p>
        </w:tc>
        <w:tc>
          <w:tcPr>
            <w:tcW w:w="1020" w:type="dxa"/>
            <w:tcBorders>
              <w:top w:val="nil"/>
              <w:left w:val="nil"/>
              <w:bottom w:val="nil"/>
              <w:right w:val="nil"/>
            </w:tcBorders>
            <w:shd w:val="clear" w:color="000000" w:fill="DDEBF7"/>
            <w:vAlign w:val="center"/>
            <w:hideMark/>
          </w:tcPr>
          <w:p w14:paraId="18C850B1"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1120" w:type="dxa"/>
            <w:tcBorders>
              <w:top w:val="nil"/>
              <w:left w:val="nil"/>
              <w:bottom w:val="nil"/>
              <w:right w:val="nil"/>
            </w:tcBorders>
            <w:shd w:val="clear" w:color="000000" w:fill="DDEBF7"/>
            <w:vAlign w:val="center"/>
            <w:hideMark/>
          </w:tcPr>
          <w:p w14:paraId="57CC47AD"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1129</w:t>
            </w:r>
          </w:p>
        </w:tc>
        <w:tc>
          <w:tcPr>
            <w:tcW w:w="1120" w:type="dxa"/>
            <w:tcBorders>
              <w:top w:val="nil"/>
              <w:left w:val="nil"/>
              <w:bottom w:val="nil"/>
              <w:right w:val="nil"/>
            </w:tcBorders>
            <w:shd w:val="clear" w:color="000000" w:fill="DDEBF7"/>
            <w:vAlign w:val="center"/>
            <w:hideMark/>
          </w:tcPr>
          <w:p w14:paraId="52E6AC96"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960" w:type="dxa"/>
            <w:tcBorders>
              <w:top w:val="nil"/>
              <w:left w:val="nil"/>
              <w:bottom w:val="nil"/>
              <w:right w:val="nil"/>
            </w:tcBorders>
            <w:shd w:val="clear" w:color="000000" w:fill="DDEBF7"/>
            <w:vAlign w:val="center"/>
            <w:hideMark/>
          </w:tcPr>
          <w:p w14:paraId="7677D02E"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69</w:t>
            </w:r>
          </w:p>
        </w:tc>
        <w:tc>
          <w:tcPr>
            <w:tcW w:w="960" w:type="dxa"/>
            <w:tcBorders>
              <w:top w:val="nil"/>
              <w:left w:val="nil"/>
              <w:bottom w:val="nil"/>
              <w:right w:val="nil"/>
            </w:tcBorders>
            <w:shd w:val="clear" w:color="000000" w:fill="DDEBF7"/>
            <w:vAlign w:val="center"/>
            <w:hideMark/>
          </w:tcPr>
          <w:p w14:paraId="6D7A5ECF"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4</w:t>
            </w:r>
          </w:p>
        </w:tc>
        <w:tc>
          <w:tcPr>
            <w:tcW w:w="1098" w:type="dxa"/>
            <w:vMerge/>
            <w:tcBorders>
              <w:left w:val="nil"/>
              <w:bottom w:val="nil"/>
              <w:right w:val="nil"/>
            </w:tcBorders>
            <w:shd w:val="clear" w:color="000000" w:fill="DDEBF7"/>
            <w:vAlign w:val="center"/>
            <w:hideMark/>
          </w:tcPr>
          <w:p w14:paraId="0A940CD6" w14:textId="0A6FC4F5" w:rsidR="00312A43" w:rsidRPr="009C523D" w:rsidRDefault="00312A43" w:rsidP="009C523D">
            <w:pPr>
              <w:spacing w:line="240" w:lineRule="auto"/>
              <w:jc w:val="center"/>
              <w:rPr>
                <w:rFonts w:ascii="Arial Narrow" w:hAnsi="Arial Narrow" w:cs="Calibri"/>
                <w:b/>
                <w:bCs/>
                <w:sz w:val="20"/>
                <w:szCs w:val="20"/>
              </w:rPr>
            </w:pPr>
          </w:p>
        </w:tc>
      </w:tr>
      <w:tr w:rsidR="00312A43" w:rsidRPr="009C523D" w14:paraId="7EE928E5" w14:textId="77777777" w:rsidTr="004E231E">
        <w:trPr>
          <w:trHeight w:val="300"/>
          <w:jc w:val="center"/>
        </w:trPr>
        <w:tc>
          <w:tcPr>
            <w:tcW w:w="1838" w:type="dxa"/>
            <w:tcBorders>
              <w:top w:val="nil"/>
              <w:left w:val="nil"/>
              <w:bottom w:val="nil"/>
              <w:right w:val="nil"/>
            </w:tcBorders>
            <w:shd w:val="clear" w:color="000000" w:fill="FCE4D6"/>
            <w:vAlign w:val="center"/>
            <w:hideMark/>
          </w:tcPr>
          <w:p w14:paraId="2CD8C83A" w14:textId="77777777" w:rsidR="00312A43" w:rsidRPr="009C523D" w:rsidRDefault="003F238F" w:rsidP="009C523D">
            <w:pPr>
              <w:spacing w:line="240" w:lineRule="auto"/>
              <w:rPr>
                <w:rFonts w:ascii="Arial Narrow" w:hAnsi="Arial Narrow" w:cs="Calibri"/>
                <w:b/>
                <w:bCs/>
                <w:sz w:val="20"/>
                <w:szCs w:val="20"/>
              </w:rPr>
            </w:pPr>
            <w:hyperlink r:id="rId25" w:tooltip="Námestovo (okres)" w:history="1">
              <w:r w:rsidR="00312A43" w:rsidRPr="009C523D">
                <w:rPr>
                  <w:rFonts w:ascii="Arial Narrow" w:hAnsi="Arial Narrow" w:cs="Calibri"/>
                  <w:b/>
                  <w:bCs/>
                  <w:sz w:val="20"/>
                  <w:szCs w:val="20"/>
                </w:rPr>
                <w:t>Námestovo</w:t>
              </w:r>
            </w:hyperlink>
          </w:p>
        </w:tc>
        <w:tc>
          <w:tcPr>
            <w:tcW w:w="1240" w:type="dxa"/>
            <w:tcBorders>
              <w:top w:val="nil"/>
              <w:left w:val="nil"/>
              <w:bottom w:val="nil"/>
              <w:right w:val="nil"/>
            </w:tcBorders>
            <w:shd w:val="clear" w:color="000000" w:fill="FCE4D6"/>
            <w:vAlign w:val="center"/>
            <w:hideMark/>
          </w:tcPr>
          <w:p w14:paraId="138623ED"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62 879</w:t>
            </w:r>
          </w:p>
        </w:tc>
        <w:tc>
          <w:tcPr>
            <w:tcW w:w="1020" w:type="dxa"/>
            <w:tcBorders>
              <w:top w:val="nil"/>
              <w:left w:val="nil"/>
              <w:bottom w:val="nil"/>
              <w:right w:val="nil"/>
            </w:tcBorders>
            <w:shd w:val="clear" w:color="000000" w:fill="FCE4D6"/>
            <w:vAlign w:val="center"/>
            <w:hideMark/>
          </w:tcPr>
          <w:p w14:paraId="1C1D002F"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50</w:t>
            </w:r>
          </w:p>
        </w:tc>
        <w:tc>
          <w:tcPr>
            <w:tcW w:w="1120" w:type="dxa"/>
            <w:tcBorders>
              <w:top w:val="nil"/>
              <w:left w:val="nil"/>
              <w:bottom w:val="nil"/>
              <w:right w:val="nil"/>
            </w:tcBorders>
            <w:shd w:val="clear" w:color="000000" w:fill="FCE4D6"/>
            <w:vAlign w:val="center"/>
            <w:hideMark/>
          </w:tcPr>
          <w:p w14:paraId="1F9CD0AF"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691</w:t>
            </w:r>
          </w:p>
        </w:tc>
        <w:tc>
          <w:tcPr>
            <w:tcW w:w="1120" w:type="dxa"/>
            <w:tcBorders>
              <w:top w:val="nil"/>
              <w:left w:val="nil"/>
              <w:bottom w:val="nil"/>
              <w:right w:val="nil"/>
            </w:tcBorders>
            <w:shd w:val="clear" w:color="000000" w:fill="FCE4D6"/>
            <w:vAlign w:val="center"/>
            <w:hideMark/>
          </w:tcPr>
          <w:p w14:paraId="5DFE9999"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91</w:t>
            </w:r>
          </w:p>
        </w:tc>
        <w:tc>
          <w:tcPr>
            <w:tcW w:w="960" w:type="dxa"/>
            <w:tcBorders>
              <w:top w:val="nil"/>
              <w:left w:val="nil"/>
              <w:bottom w:val="nil"/>
              <w:right w:val="nil"/>
            </w:tcBorders>
            <w:shd w:val="clear" w:color="000000" w:fill="FCE4D6"/>
            <w:vAlign w:val="center"/>
            <w:hideMark/>
          </w:tcPr>
          <w:p w14:paraId="0B575C20"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24</w:t>
            </w:r>
          </w:p>
        </w:tc>
        <w:tc>
          <w:tcPr>
            <w:tcW w:w="960" w:type="dxa"/>
            <w:tcBorders>
              <w:top w:val="nil"/>
              <w:left w:val="nil"/>
              <w:bottom w:val="nil"/>
              <w:right w:val="nil"/>
            </w:tcBorders>
            <w:shd w:val="clear" w:color="000000" w:fill="FCE4D6"/>
            <w:vAlign w:val="center"/>
            <w:hideMark/>
          </w:tcPr>
          <w:p w14:paraId="3175ED6D"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w:t>
            </w:r>
          </w:p>
        </w:tc>
        <w:tc>
          <w:tcPr>
            <w:tcW w:w="1098" w:type="dxa"/>
            <w:vMerge w:val="restart"/>
            <w:tcBorders>
              <w:top w:val="nil"/>
              <w:left w:val="nil"/>
              <w:right w:val="nil"/>
            </w:tcBorders>
            <w:shd w:val="clear" w:color="000000" w:fill="FCE4D6"/>
            <w:vAlign w:val="center"/>
            <w:hideMark/>
          </w:tcPr>
          <w:p w14:paraId="1422321C" w14:textId="65C29FE5"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b/>
                <w:bCs/>
                <w:sz w:val="20"/>
                <w:szCs w:val="20"/>
              </w:rPr>
              <w:t>178</w:t>
            </w:r>
          </w:p>
        </w:tc>
      </w:tr>
      <w:tr w:rsidR="00312A43" w:rsidRPr="009C523D" w14:paraId="04767027" w14:textId="77777777" w:rsidTr="004E231E">
        <w:trPr>
          <w:trHeight w:val="300"/>
          <w:jc w:val="center"/>
        </w:trPr>
        <w:tc>
          <w:tcPr>
            <w:tcW w:w="1838" w:type="dxa"/>
            <w:tcBorders>
              <w:top w:val="nil"/>
              <w:left w:val="nil"/>
              <w:bottom w:val="nil"/>
              <w:right w:val="nil"/>
            </w:tcBorders>
            <w:shd w:val="clear" w:color="000000" w:fill="FCE4D6"/>
            <w:vAlign w:val="center"/>
            <w:hideMark/>
          </w:tcPr>
          <w:p w14:paraId="51D2D965" w14:textId="77777777" w:rsidR="00312A43" w:rsidRPr="009C523D" w:rsidRDefault="003F238F" w:rsidP="009C523D">
            <w:pPr>
              <w:spacing w:line="240" w:lineRule="auto"/>
              <w:rPr>
                <w:rFonts w:ascii="Arial Narrow" w:hAnsi="Arial Narrow" w:cs="Calibri"/>
                <w:b/>
                <w:bCs/>
                <w:sz w:val="20"/>
                <w:szCs w:val="20"/>
              </w:rPr>
            </w:pPr>
            <w:hyperlink r:id="rId26" w:tooltip="Tvrdošín (okres)" w:history="1">
              <w:r w:rsidR="00312A43" w:rsidRPr="009C523D">
                <w:rPr>
                  <w:rFonts w:ascii="Arial Narrow" w:hAnsi="Arial Narrow" w:cs="Calibri"/>
                  <w:b/>
                  <w:bCs/>
                  <w:sz w:val="20"/>
                  <w:szCs w:val="20"/>
                </w:rPr>
                <w:t>Tvrdošín</w:t>
              </w:r>
            </w:hyperlink>
          </w:p>
        </w:tc>
        <w:tc>
          <w:tcPr>
            <w:tcW w:w="1240" w:type="dxa"/>
            <w:tcBorders>
              <w:top w:val="nil"/>
              <w:left w:val="nil"/>
              <w:bottom w:val="nil"/>
              <w:right w:val="nil"/>
            </w:tcBorders>
            <w:shd w:val="clear" w:color="000000" w:fill="FCE4D6"/>
            <w:vAlign w:val="center"/>
            <w:hideMark/>
          </w:tcPr>
          <w:p w14:paraId="20EAC971"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36 203</w:t>
            </w:r>
          </w:p>
        </w:tc>
        <w:tc>
          <w:tcPr>
            <w:tcW w:w="1020" w:type="dxa"/>
            <w:tcBorders>
              <w:top w:val="nil"/>
              <w:left w:val="nil"/>
              <w:bottom w:val="nil"/>
              <w:right w:val="nil"/>
            </w:tcBorders>
            <w:shd w:val="clear" w:color="000000" w:fill="FCE4D6"/>
            <w:vAlign w:val="center"/>
            <w:hideMark/>
          </w:tcPr>
          <w:p w14:paraId="6A3EAE0B"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50</w:t>
            </w:r>
          </w:p>
        </w:tc>
        <w:tc>
          <w:tcPr>
            <w:tcW w:w="1120" w:type="dxa"/>
            <w:tcBorders>
              <w:top w:val="nil"/>
              <w:left w:val="nil"/>
              <w:bottom w:val="nil"/>
              <w:right w:val="nil"/>
            </w:tcBorders>
            <w:shd w:val="clear" w:color="000000" w:fill="FCE4D6"/>
            <w:vAlign w:val="center"/>
            <w:hideMark/>
          </w:tcPr>
          <w:p w14:paraId="01A7CC78"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479</w:t>
            </w:r>
          </w:p>
        </w:tc>
        <w:tc>
          <w:tcPr>
            <w:tcW w:w="1120" w:type="dxa"/>
            <w:tcBorders>
              <w:top w:val="nil"/>
              <w:left w:val="nil"/>
              <w:bottom w:val="nil"/>
              <w:right w:val="nil"/>
            </w:tcBorders>
            <w:shd w:val="clear" w:color="000000" w:fill="FCE4D6"/>
            <w:vAlign w:val="center"/>
            <w:hideMark/>
          </w:tcPr>
          <w:p w14:paraId="1D5BBD5C"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76</w:t>
            </w:r>
          </w:p>
        </w:tc>
        <w:tc>
          <w:tcPr>
            <w:tcW w:w="960" w:type="dxa"/>
            <w:tcBorders>
              <w:top w:val="nil"/>
              <w:left w:val="nil"/>
              <w:bottom w:val="nil"/>
              <w:right w:val="nil"/>
            </w:tcBorders>
            <w:shd w:val="clear" w:color="000000" w:fill="FCE4D6"/>
            <w:vAlign w:val="center"/>
            <w:hideMark/>
          </w:tcPr>
          <w:p w14:paraId="637C3AE0"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15</w:t>
            </w:r>
          </w:p>
        </w:tc>
        <w:tc>
          <w:tcPr>
            <w:tcW w:w="960" w:type="dxa"/>
            <w:tcBorders>
              <w:top w:val="nil"/>
              <w:left w:val="nil"/>
              <w:bottom w:val="nil"/>
              <w:right w:val="nil"/>
            </w:tcBorders>
            <w:shd w:val="clear" w:color="000000" w:fill="FCE4D6"/>
            <w:vAlign w:val="center"/>
            <w:hideMark/>
          </w:tcPr>
          <w:p w14:paraId="2FEBA185"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w:t>
            </w:r>
          </w:p>
        </w:tc>
        <w:tc>
          <w:tcPr>
            <w:tcW w:w="1098" w:type="dxa"/>
            <w:vMerge/>
            <w:tcBorders>
              <w:left w:val="nil"/>
              <w:right w:val="nil"/>
            </w:tcBorders>
            <w:shd w:val="clear" w:color="000000" w:fill="FCE4D6"/>
            <w:vAlign w:val="center"/>
            <w:hideMark/>
          </w:tcPr>
          <w:p w14:paraId="7DA029F4" w14:textId="2D948FD4" w:rsidR="00312A43" w:rsidRPr="009C523D" w:rsidRDefault="00312A43" w:rsidP="009C523D">
            <w:pPr>
              <w:spacing w:line="240" w:lineRule="auto"/>
              <w:jc w:val="center"/>
              <w:rPr>
                <w:rFonts w:ascii="Arial Narrow" w:hAnsi="Arial Narrow" w:cs="Calibri"/>
                <w:sz w:val="20"/>
                <w:szCs w:val="20"/>
              </w:rPr>
            </w:pPr>
          </w:p>
        </w:tc>
      </w:tr>
      <w:tr w:rsidR="00312A43" w:rsidRPr="009C523D" w14:paraId="0BE2048B" w14:textId="77777777" w:rsidTr="004E231E">
        <w:trPr>
          <w:trHeight w:val="300"/>
          <w:jc w:val="center"/>
        </w:trPr>
        <w:tc>
          <w:tcPr>
            <w:tcW w:w="1838" w:type="dxa"/>
            <w:tcBorders>
              <w:top w:val="nil"/>
              <w:left w:val="nil"/>
              <w:bottom w:val="nil"/>
              <w:right w:val="nil"/>
            </w:tcBorders>
            <w:shd w:val="clear" w:color="000000" w:fill="FCE4D6"/>
            <w:vAlign w:val="center"/>
            <w:hideMark/>
          </w:tcPr>
          <w:p w14:paraId="4EB93B0B" w14:textId="77777777" w:rsidR="00312A43" w:rsidRPr="009C523D" w:rsidRDefault="003F238F" w:rsidP="009C523D">
            <w:pPr>
              <w:spacing w:line="240" w:lineRule="auto"/>
              <w:rPr>
                <w:rFonts w:ascii="Arial Narrow" w:hAnsi="Arial Narrow" w:cs="Calibri"/>
                <w:b/>
                <w:bCs/>
                <w:sz w:val="20"/>
                <w:szCs w:val="20"/>
              </w:rPr>
            </w:pPr>
            <w:hyperlink r:id="rId27" w:tooltip="Dolný Kubín (okres)" w:history="1">
              <w:r w:rsidR="00312A43" w:rsidRPr="009C523D">
                <w:rPr>
                  <w:rFonts w:ascii="Arial Narrow" w:hAnsi="Arial Narrow" w:cs="Calibri"/>
                  <w:b/>
                  <w:bCs/>
                  <w:sz w:val="20"/>
                  <w:szCs w:val="20"/>
                </w:rPr>
                <w:t>Dolný Kubín</w:t>
              </w:r>
            </w:hyperlink>
          </w:p>
        </w:tc>
        <w:tc>
          <w:tcPr>
            <w:tcW w:w="1240" w:type="dxa"/>
            <w:tcBorders>
              <w:top w:val="nil"/>
              <w:left w:val="nil"/>
              <w:bottom w:val="nil"/>
              <w:right w:val="nil"/>
            </w:tcBorders>
            <w:shd w:val="clear" w:color="000000" w:fill="FCE4D6"/>
            <w:vAlign w:val="center"/>
            <w:hideMark/>
          </w:tcPr>
          <w:p w14:paraId="331AFBA6"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39 417</w:t>
            </w:r>
          </w:p>
        </w:tc>
        <w:tc>
          <w:tcPr>
            <w:tcW w:w="1020" w:type="dxa"/>
            <w:tcBorders>
              <w:top w:val="nil"/>
              <w:left w:val="nil"/>
              <w:bottom w:val="nil"/>
              <w:right w:val="nil"/>
            </w:tcBorders>
            <w:shd w:val="clear" w:color="000000" w:fill="FCE4D6"/>
            <w:vAlign w:val="center"/>
            <w:hideMark/>
          </w:tcPr>
          <w:p w14:paraId="2D34E34D"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51</w:t>
            </w:r>
          </w:p>
        </w:tc>
        <w:tc>
          <w:tcPr>
            <w:tcW w:w="1120" w:type="dxa"/>
            <w:tcBorders>
              <w:top w:val="nil"/>
              <w:left w:val="nil"/>
              <w:bottom w:val="nil"/>
              <w:right w:val="nil"/>
            </w:tcBorders>
            <w:shd w:val="clear" w:color="000000" w:fill="FCE4D6"/>
            <w:vAlign w:val="center"/>
            <w:hideMark/>
          </w:tcPr>
          <w:p w14:paraId="6100CC33"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492</w:t>
            </w:r>
          </w:p>
        </w:tc>
        <w:tc>
          <w:tcPr>
            <w:tcW w:w="1120" w:type="dxa"/>
            <w:tcBorders>
              <w:top w:val="nil"/>
              <w:left w:val="nil"/>
              <w:bottom w:val="nil"/>
              <w:right w:val="nil"/>
            </w:tcBorders>
            <w:shd w:val="clear" w:color="000000" w:fill="FCE4D6"/>
            <w:vAlign w:val="center"/>
            <w:hideMark/>
          </w:tcPr>
          <w:p w14:paraId="76A6A873"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80</w:t>
            </w:r>
          </w:p>
        </w:tc>
        <w:tc>
          <w:tcPr>
            <w:tcW w:w="960" w:type="dxa"/>
            <w:tcBorders>
              <w:top w:val="nil"/>
              <w:left w:val="nil"/>
              <w:bottom w:val="nil"/>
              <w:right w:val="nil"/>
            </w:tcBorders>
            <w:shd w:val="clear" w:color="000000" w:fill="FCE4D6"/>
            <w:vAlign w:val="center"/>
            <w:hideMark/>
          </w:tcPr>
          <w:p w14:paraId="72994181"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24</w:t>
            </w:r>
          </w:p>
        </w:tc>
        <w:tc>
          <w:tcPr>
            <w:tcW w:w="960" w:type="dxa"/>
            <w:tcBorders>
              <w:top w:val="nil"/>
              <w:left w:val="nil"/>
              <w:bottom w:val="nil"/>
              <w:right w:val="nil"/>
            </w:tcBorders>
            <w:shd w:val="clear" w:color="000000" w:fill="FCE4D6"/>
            <w:vAlign w:val="center"/>
            <w:hideMark/>
          </w:tcPr>
          <w:p w14:paraId="7C72EA45"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w:t>
            </w:r>
          </w:p>
        </w:tc>
        <w:tc>
          <w:tcPr>
            <w:tcW w:w="1098" w:type="dxa"/>
            <w:vMerge/>
            <w:tcBorders>
              <w:left w:val="nil"/>
              <w:right w:val="nil"/>
            </w:tcBorders>
            <w:shd w:val="clear" w:color="000000" w:fill="FCE4D6"/>
            <w:vAlign w:val="center"/>
            <w:hideMark/>
          </w:tcPr>
          <w:p w14:paraId="5F92555F" w14:textId="65228DA1" w:rsidR="00312A43" w:rsidRPr="009C523D" w:rsidRDefault="00312A43" w:rsidP="009C523D">
            <w:pPr>
              <w:spacing w:line="240" w:lineRule="auto"/>
              <w:jc w:val="center"/>
              <w:rPr>
                <w:rFonts w:ascii="Arial Narrow" w:hAnsi="Arial Narrow" w:cs="Calibri"/>
                <w:sz w:val="20"/>
                <w:szCs w:val="20"/>
              </w:rPr>
            </w:pPr>
          </w:p>
        </w:tc>
      </w:tr>
      <w:tr w:rsidR="00312A43" w:rsidRPr="009C523D" w14:paraId="536DB33A" w14:textId="77777777" w:rsidTr="004E231E">
        <w:trPr>
          <w:trHeight w:val="300"/>
          <w:jc w:val="center"/>
        </w:trPr>
        <w:tc>
          <w:tcPr>
            <w:tcW w:w="1838" w:type="dxa"/>
            <w:tcBorders>
              <w:top w:val="nil"/>
              <w:left w:val="nil"/>
              <w:bottom w:val="nil"/>
              <w:right w:val="nil"/>
            </w:tcBorders>
            <w:shd w:val="clear" w:color="000000" w:fill="FCE4D6"/>
            <w:vAlign w:val="center"/>
            <w:hideMark/>
          </w:tcPr>
          <w:p w14:paraId="78D4F29A" w14:textId="77777777" w:rsidR="00312A43" w:rsidRPr="009C523D" w:rsidRDefault="003F238F" w:rsidP="009C523D">
            <w:pPr>
              <w:spacing w:line="240" w:lineRule="auto"/>
              <w:rPr>
                <w:rFonts w:ascii="Arial Narrow" w:hAnsi="Arial Narrow" w:cs="Calibri"/>
                <w:b/>
                <w:bCs/>
                <w:sz w:val="20"/>
                <w:szCs w:val="20"/>
              </w:rPr>
            </w:pPr>
            <w:hyperlink r:id="rId28" w:tooltip="Ružomberok (okres)" w:history="1">
              <w:r w:rsidR="00312A43" w:rsidRPr="009C523D">
                <w:rPr>
                  <w:rFonts w:ascii="Arial Narrow" w:hAnsi="Arial Narrow" w:cs="Calibri"/>
                  <w:b/>
                  <w:bCs/>
                  <w:sz w:val="20"/>
                  <w:szCs w:val="20"/>
                </w:rPr>
                <w:t>Ružomberok</w:t>
              </w:r>
            </w:hyperlink>
          </w:p>
        </w:tc>
        <w:tc>
          <w:tcPr>
            <w:tcW w:w="1240" w:type="dxa"/>
            <w:tcBorders>
              <w:top w:val="nil"/>
              <w:left w:val="nil"/>
              <w:bottom w:val="nil"/>
              <w:right w:val="nil"/>
            </w:tcBorders>
            <w:shd w:val="clear" w:color="000000" w:fill="FCE4D6"/>
            <w:vAlign w:val="center"/>
            <w:hideMark/>
          </w:tcPr>
          <w:p w14:paraId="1C6C014C"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56 657</w:t>
            </w:r>
          </w:p>
        </w:tc>
        <w:tc>
          <w:tcPr>
            <w:tcW w:w="1020" w:type="dxa"/>
            <w:tcBorders>
              <w:top w:val="nil"/>
              <w:left w:val="nil"/>
              <w:bottom w:val="nil"/>
              <w:right w:val="nil"/>
            </w:tcBorders>
            <w:shd w:val="clear" w:color="000000" w:fill="FCE4D6"/>
            <w:vAlign w:val="center"/>
            <w:hideMark/>
          </w:tcPr>
          <w:p w14:paraId="767A841E"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52</w:t>
            </w:r>
          </w:p>
        </w:tc>
        <w:tc>
          <w:tcPr>
            <w:tcW w:w="1120" w:type="dxa"/>
            <w:tcBorders>
              <w:top w:val="nil"/>
              <w:left w:val="nil"/>
              <w:bottom w:val="nil"/>
              <w:right w:val="nil"/>
            </w:tcBorders>
            <w:shd w:val="clear" w:color="000000" w:fill="FCE4D6"/>
            <w:vAlign w:val="center"/>
            <w:hideMark/>
          </w:tcPr>
          <w:p w14:paraId="552B65FD"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647</w:t>
            </w:r>
          </w:p>
        </w:tc>
        <w:tc>
          <w:tcPr>
            <w:tcW w:w="1120" w:type="dxa"/>
            <w:tcBorders>
              <w:top w:val="nil"/>
              <w:left w:val="nil"/>
              <w:bottom w:val="nil"/>
              <w:right w:val="nil"/>
            </w:tcBorders>
            <w:shd w:val="clear" w:color="000000" w:fill="FCE4D6"/>
            <w:vAlign w:val="center"/>
            <w:hideMark/>
          </w:tcPr>
          <w:p w14:paraId="7CF474BF"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88</w:t>
            </w:r>
          </w:p>
        </w:tc>
        <w:tc>
          <w:tcPr>
            <w:tcW w:w="960" w:type="dxa"/>
            <w:tcBorders>
              <w:top w:val="nil"/>
              <w:left w:val="nil"/>
              <w:bottom w:val="nil"/>
              <w:right w:val="nil"/>
            </w:tcBorders>
            <w:shd w:val="clear" w:color="000000" w:fill="FCE4D6"/>
            <w:vAlign w:val="center"/>
            <w:hideMark/>
          </w:tcPr>
          <w:p w14:paraId="492FBB6C"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25</w:t>
            </w:r>
          </w:p>
        </w:tc>
        <w:tc>
          <w:tcPr>
            <w:tcW w:w="960" w:type="dxa"/>
            <w:tcBorders>
              <w:top w:val="nil"/>
              <w:left w:val="nil"/>
              <w:bottom w:val="nil"/>
              <w:right w:val="nil"/>
            </w:tcBorders>
            <w:shd w:val="clear" w:color="000000" w:fill="FCE4D6"/>
            <w:vAlign w:val="center"/>
            <w:hideMark/>
          </w:tcPr>
          <w:p w14:paraId="4735F7C6" w14:textId="77777777" w:rsidR="00312A43" w:rsidRPr="009C523D" w:rsidRDefault="00312A43" w:rsidP="009C523D">
            <w:pPr>
              <w:spacing w:line="240" w:lineRule="auto"/>
              <w:jc w:val="center"/>
              <w:rPr>
                <w:rFonts w:ascii="Arial Narrow" w:hAnsi="Arial Narrow" w:cs="Calibri"/>
                <w:sz w:val="20"/>
                <w:szCs w:val="20"/>
              </w:rPr>
            </w:pPr>
            <w:r w:rsidRPr="009C523D">
              <w:rPr>
                <w:rFonts w:ascii="Arial Narrow" w:hAnsi="Arial Narrow" w:cs="Calibri"/>
                <w:sz w:val="20"/>
                <w:szCs w:val="20"/>
              </w:rPr>
              <w:t>1</w:t>
            </w:r>
          </w:p>
        </w:tc>
        <w:tc>
          <w:tcPr>
            <w:tcW w:w="1098" w:type="dxa"/>
            <w:vMerge/>
            <w:tcBorders>
              <w:left w:val="nil"/>
              <w:right w:val="nil"/>
            </w:tcBorders>
            <w:shd w:val="clear" w:color="000000" w:fill="FCE4D6"/>
            <w:vAlign w:val="center"/>
            <w:hideMark/>
          </w:tcPr>
          <w:p w14:paraId="7C6F4317" w14:textId="09173749" w:rsidR="00312A43" w:rsidRPr="009C523D" w:rsidRDefault="00312A43" w:rsidP="009C523D">
            <w:pPr>
              <w:spacing w:line="240" w:lineRule="auto"/>
              <w:jc w:val="center"/>
              <w:rPr>
                <w:rFonts w:ascii="Arial Narrow" w:hAnsi="Arial Narrow" w:cs="Calibri"/>
                <w:sz w:val="20"/>
                <w:szCs w:val="20"/>
              </w:rPr>
            </w:pPr>
          </w:p>
        </w:tc>
      </w:tr>
      <w:tr w:rsidR="00312A43" w:rsidRPr="009C523D" w14:paraId="204C87A1" w14:textId="77777777" w:rsidTr="004E231E">
        <w:trPr>
          <w:trHeight w:val="300"/>
          <w:jc w:val="center"/>
        </w:trPr>
        <w:tc>
          <w:tcPr>
            <w:tcW w:w="1838" w:type="dxa"/>
            <w:tcBorders>
              <w:top w:val="nil"/>
              <w:left w:val="nil"/>
              <w:bottom w:val="nil"/>
              <w:right w:val="nil"/>
            </w:tcBorders>
            <w:shd w:val="clear" w:color="000000" w:fill="FCE4D6"/>
            <w:noWrap/>
            <w:vAlign w:val="center"/>
            <w:hideMark/>
          </w:tcPr>
          <w:p w14:paraId="3281AB3C" w14:textId="7FE14F12" w:rsidR="00312A43" w:rsidRPr="009C523D" w:rsidRDefault="00D9475F" w:rsidP="009C523D">
            <w:pPr>
              <w:spacing w:line="240" w:lineRule="auto"/>
              <w:rPr>
                <w:rFonts w:ascii="Arial Narrow" w:hAnsi="Arial Narrow" w:cs="Calibri"/>
                <w:b/>
                <w:bCs/>
                <w:sz w:val="20"/>
                <w:szCs w:val="20"/>
              </w:rPr>
            </w:pPr>
            <w:r>
              <w:rPr>
                <w:rFonts w:ascii="Arial Narrow" w:hAnsi="Arial Narrow" w:cs="Calibri"/>
                <w:b/>
                <w:bCs/>
                <w:sz w:val="20"/>
                <w:szCs w:val="20"/>
              </w:rPr>
              <w:t xml:space="preserve">KLASTER 3 </w:t>
            </w:r>
            <w:r w:rsidR="00312A43" w:rsidRPr="009C523D">
              <w:rPr>
                <w:rFonts w:ascii="Arial Narrow" w:hAnsi="Arial Narrow" w:cs="Calibri"/>
                <w:b/>
                <w:bCs/>
                <w:sz w:val="20"/>
                <w:szCs w:val="20"/>
              </w:rPr>
              <w:t>ORAVA</w:t>
            </w:r>
          </w:p>
        </w:tc>
        <w:tc>
          <w:tcPr>
            <w:tcW w:w="1240" w:type="dxa"/>
            <w:tcBorders>
              <w:top w:val="nil"/>
              <w:left w:val="nil"/>
              <w:bottom w:val="nil"/>
              <w:right w:val="nil"/>
            </w:tcBorders>
            <w:shd w:val="clear" w:color="000000" w:fill="FCE4D6"/>
            <w:noWrap/>
            <w:vAlign w:val="center"/>
            <w:hideMark/>
          </w:tcPr>
          <w:p w14:paraId="3392FD9B"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195 156</w:t>
            </w:r>
          </w:p>
        </w:tc>
        <w:tc>
          <w:tcPr>
            <w:tcW w:w="1020" w:type="dxa"/>
            <w:tcBorders>
              <w:top w:val="nil"/>
              <w:left w:val="nil"/>
              <w:bottom w:val="nil"/>
              <w:right w:val="nil"/>
            </w:tcBorders>
            <w:shd w:val="clear" w:color="000000" w:fill="FCE4D6"/>
            <w:noWrap/>
            <w:vAlign w:val="center"/>
            <w:hideMark/>
          </w:tcPr>
          <w:p w14:paraId="2917F0DC"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1120" w:type="dxa"/>
            <w:tcBorders>
              <w:top w:val="nil"/>
              <w:left w:val="nil"/>
              <w:bottom w:val="nil"/>
              <w:right w:val="nil"/>
            </w:tcBorders>
            <w:shd w:val="clear" w:color="000000" w:fill="FCE4D6"/>
            <w:noWrap/>
            <w:vAlign w:val="center"/>
            <w:hideMark/>
          </w:tcPr>
          <w:p w14:paraId="168001B0"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2309</w:t>
            </w:r>
          </w:p>
        </w:tc>
        <w:tc>
          <w:tcPr>
            <w:tcW w:w="1120" w:type="dxa"/>
            <w:tcBorders>
              <w:top w:val="nil"/>
              <w:left w:val="nil"/>
              <w:bottom w:val="nil"/>
              <w:right w:val="nil"/>
            </w:tcBorders>
            <w:shd w:val="clear" w:color="000000" w:fill="FCE4D6"/>
            <w:noWrap/>
            <w:vAlign w:val="center"/>
            <w:hideMark/>
          </w:tcPr>
          <w:p w14:paraId="47CD87A4"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960" w:type="dxa"/>
            <w:tcBorders>
              <w:top w:val="nil"/>
              <w:left w:val="nil"/>
              <w:bottom w:val="nil"/>
              <w:right w:val="nil"/>
            </w:tcBorders>
            <w:shd w:val="clear" w:color="000000" w:fill="FCE4D6"/>
            <w:noWrap/>
            <w:vAlign w:val="center"/>
            <w:hideMark/>
          </w:tcPr>
          <w:p w14:paraId="32D97C17"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88</w:t>
            </w:r>
          </w:p>
        </w:tc>
        <w:tc>
          <w:tcPr>
            <w:tcW w:w="960" w:type="dxa"/>
            <w:tcBorders>
              <w:top w:val="nil"/>
              <w:left w:val="nil"/>
              <w:bottom w:val="nil"/>
              <w:right w:val="nil"/>
            </w:tcBorders>
            <w:shd w:val="clear" w:color="000000" w:fill="FCE4D6"/>
            <w:noWrap/>
            <w:vAlign w:val="center"/>
            <w:hideMark/>
          </w:tcPr>
          <w:p w14:paraId="5C7A4C34" w14:textId="77777777" w:rsidR="00312A43" w:rsidRPr="009C523D" w:rsidRDefault="00312A43"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5</w:t>
            </w:r>
          </w:p>
        </w:tc>
        <w:tc>
          <w:tcPr>
            <w:tcW w:w="1098" w:type="dxa"/>
            <w:vMerge/>
            <w:tcBorders>
              <w:left w:val="nil"/>
              <w:bottom w:val="nil"/>
              <w:right w:val="nil"/>
            </w:tcBorders>
            <w:shd w:val="clear" w:color="000000" w:fill="FCE4D6"/>
            <w:vAlign w:val="center"/>
            <w:hideMark/>
          </w:tcPr>
          <w:p w14:paraId="5ACA5C87" w14:textId="5D684575" w:rsidR="00312A43" w:rsidRPr="009C523D" w:rsidRDefault="00312A43" w:rsidP="009C523D">
            <w:pPr>
              <w:spacing w:line="240" w:lineRule="auto"/>
              <w:jc w:val="center"/>
              <w:rPr>
                <w:rFonts w:ascii="Arial Narrow" w:hAnsi="Arial Narrow" w:cs="Calibri"/>
                <w:b/>
                <w:bCs/>
                <w:sz w:val="20"/>
                <w:szCs w:val="20"/>
              </w:rPr>
            </w:pPr>
          </w:p>
        </w:tc>
      </w:tr>
      <w:tr w:rsidR="009C523D" w:rsidRPr="009C523D" w14:paraId="007B55D2" w14:textId="77777777" w:rsidTr="007B16E4">
        <w:trPr>
          <w:trHeight w:val="300"/>
          <w:jc w:val="center"/>
        </w:trPr>
        <w:tc>
          <w:tcPr>
            <w:tcW w:w="1838" w:type="dxa"/>
            <w:tcBorders>
              <w:top w:val="nil"/>
              <w:left w:val="nil"/>
              <w:bottom w:val="nil"/>
              <w:right w:val="nil"/>
            </w:tcBorders>
            <w:shd w:val="clear" w:color="000000" w:fill="E2EFDA"/>
            <w:vAlign w:val="center"/>
            <w:hideMark/>
          </w:tcPr>
          <w:p w14:paraId="32FBE423" w14:textId="77777777" w:rsidR="009C523D" w:rsidRPr="009C523D" w:rsidRDefault="003F238F" w:rsidP="009C523D">
            <w:pPr>
              <w:spacing w:line="240" w:lineRule="auto"/>
              <w:rPr>
                <w:rFonts w:ascii="Arial Narrow" w:hAnsi="Arial Narrow" w:cs="Calibri"/>
                <w:b/>
                <w:bCs/>
                <w:sz w:val="20"/>
                <w:szCs w:val="20"/>
              </w:rPr>
            </w:pPr>
            <w:hyperlink r:id="rId29" w:tooltip="Liptovský Mikuláš (okres)" w:history="1">
              <w:r w:rsidR="009C523D" w:rsidRPr="009C523D">
                <w:rPr>
                  <w:rFonts w:ascii="Arial Narrow" w:hAnsi="Arial Narrow" w:cs="Calibri"/>
                  <w:b/>
                  <w:bCs/>
                  <w:sz w:val="20"/>
                  <w:szCs w:val="20"/>
                </w:rPr>
                <w:t>Liptovský Mikuláš</w:t>
              </w:r>
            </w:hyperlink>
          </w:p>
        </w:tc>
        <w:tc>
          <w:tcPr>
            <w:tcW w:w="1240" w:type="dxa"/>
            <w:tcBorders>
              <w:top w:val="nil"/>
              <w:left w:val="nil"/>
              <w:bottom w:val="nil"/>
              <w:right w:val="nil"/>
            </w:tcBorders>
            <w:shd w:val="clear" w:color="000000" w:fill="E2EFDA"/>
            <w:vAlign w:val="center"/>
            <w:hideMark/>
          </w:tcPr>
          <w:p w14:paraId="046BD27C"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72 216</w:t>
            </w:r>
          </w:p>
        </w:tc>
        <w:tc>
          <w:tcPr>
            <w:tcW w:w="1020" w:type="dxa"/>
            <w:tcBorders>
              <w:top w:val="nil"/>
              <w:left w:val="nil"/>
              <w:bottom w:val="nil"/>
              <w:right w:val="nil"/>
            </w:tcBorders>
            <w:shd w:val="clear" w:color="000000" w:fill="E2EFDA"/>
            <w:vAlign w:val="center"/>
            <w:hideMark/>
          </w:tcPr>
          <w:p w14:paraId="37768244"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52</w:t>
            </w:r>
          </w:p>
        </w:tc>
        <w:tc>
          <w:tcPr>
            <w:tcW w:w="1120" w:type="dxa"/>
            <w:tcBorders>
              <w:top w:val="nil"/>
              <w:left w:val="nil"/>
              <w:bottom w:val="nil"/>
              <w:right w:val="nil"/>
            </w:tcBorders>
            <w:shd w:val="clear" w:color="000000" w:fill="E2EFDA"/>
            <w:vAlign w:val="center"/>
            <w:hideMark/>
          </w:tcPr>
          <w:p w14:paraId="58702C6A"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1 341,1</w:t>
            </w:r>
          </w:p>
        </w:tc>
        <w:tc>
          <w:tcPr>
            <w:tcW w:w="1120" w:type="dxa"/>
            <w:tcBorders>
              <w:top w:val="nil"/>
              <w:left w:val="nil"/>
              <w:bottom w:val="nil"/>
              <w:right w:val="nil"/>
            </w:tcBorders>
            <w:shd w:val="clear" w:color="000000" w:fill="E2EFDA"/>
            <w:vAlign w:val="center"/>
            <w:hideMark/>
          </w:tcPr>
          <w:p w14:paraId="6264C3CF"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54</w:t>
            </w:r>
          </w:p>
        </w:tc>
        <w:tc>
          <w:tcPr>
            <w:tcW w:w="960" w:type="dxa"/>
            <w:tcBorders>
              <w:top w:val="nil"/>
              <w:left w:val="nil"/>
              <w:bottom w:val="nil"/>
              <w:right w:val="nil"/>
            </w:tcBorders>
            <w:shd w:val="clear" w:color="000000" w:fill="E2EFDA"/>
            <w:vAlign w:val="center"/>
            <w:hideMark/>
          </w:tcPr>
          <w:p w14:paraId="4EB8CC37"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56</w:t>
            </w:r>
          </w:p>
        </w:tc>
        <w:tc>
          <w:tcPr>
            <w:tcW w:w="960" w:type="dxa"/>
            <w:tcBorders>
              <w:top w:val="nil"/>
              <w:left w:val="nil"/>
              <w:bottom w:val="nil"/>
              <w:right w:val="nil"/>
            </w:tcBorders>
            <w:shd w:val="clear" w:color="000000" w:fill="E2EFDA"/>
            <w:vAlign w:val="center"/>
            <w:hideMark/>
          </w:tcPr>
          <w:p w14:paraId="227F4907"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2</w:t>
            </w:r>
          </w:p>
        </w:tc>
        <w:tc>
          <w:tcPr>
            <w:tcW w:w="1098" w:type="dxa"/>
            <w:tcBorders>
              <w:top w:val="nil"/>
              <w:left w:val="nil"/>
              <w:bottom w:val="nil"/>
              <w:right w:val="nil"/>
            </w:tcBorders>
            <w:shd w:val="clear" w:color="000000" w:fill="E2EFDA"/>
            <w:vAlign w:val="center"/>
            <w:hideMark/>
          </w:tcPr>
          <w:p w14:paraId="08214C5E" w14:textId="77777777" w:rsidR="009C523D" w:rsidRPr="009C523D" w:rsidRDefault="009C523D" w:rsidP="009C523D">
            <w:pPr>
              <w:spacing w:line="240" w:lineRule="auto"/>
              <w:jc w:val="center"/>
              <w:rPr>
                <w:rFonts w:ascii="Arial Narrow" w:hAnsi="Arial Narrow" w:cs="Calibri"/>
                <w:sz w:val="20"/>
                <w:szCs w:val="20"/>
              </w:rPr>
            </w:pPr>
            <w:r w:rsidRPr="009C523D">
              <w:rPr>
                <w:rFonts w:ascii="Arial Narrow" w:hAnsi="Arial Narrow" w:cs="Calibri"/>
                <w:sz w:val="20"/>
                <w:szCs w:val="20"/>
              </w:rPr>
              <w:t> </w:t>
            </w:r>
          </w:p>
        </w:tc>
      </w:tr>
      <w:tr w:rsidR="009C523D" w:rsidRPr="009C523D" w14:paraId="4790C4A7" w14:textId="77777777" w:rsidTr="007B16E4">
        <w:trPr>
          <w:trHeight w:val="450"/>
          <w:jc w:val="center"/>
        </w:trPr>
        <w:tc>
          <w:tcPr>
            <w:tcW w:w="1838" w:type="dxa"/>
            <w:tcBorders>
              <w:top w:val="nil"/>
              <w:left w:val="nil"/>
              <w:bottom w:val="nil"/>
              <w:right w:val="nil"/>
            </w:tcBorders>
            <w:shd w:val="clear" w:color="000000" w:fill="E2EFDA"/>
            <w:noWrap/>
            <w:vAlign w:val="center"/>
            <w:hideMark/>
          </w:tcPr>
          <w:p w14:paraId="1697F816" w14:textId="6AAA2D89" w:rsidR="009C523D" w:rsidRPr="009C523D" w:rsidRDefault="00D9475F" w:rsidP="009C523D">
            <w:pPr>
              <w:spacing w:line="240" w:lineRule="auto"/>
              <w:rPr>
                <w:rFonts w:ascii="Arial Narrow" w:hAnsi="Arial Narrow" w:cs="Calibri"/>
                <w:b/>
                <w:bCs/>
                <w:sz w:val="20"/>
                <w:szCs w:val="20"/>
              </w:rPr>
            </w:pPr>
            <w:r>
              <w:rPr>
                <w:rFonts w:ascii="Arial Narrow" w:hAnsi="Arial Narrow" w:cs="Calibri"/>
                <w:b/>
                <w:bCs/>
                <w:sz w:val="20"/>
                <w:szCs w:val="20"/>
              </w:rPr>
              <w:t xml:space="preserve">KLASTER 4 </w:t>
            </w:r>
            <w:r w:rsidR="009C523D" w:rsidRPr="009C523D">
              <w:rPr>
                <w:rFonts w:ascii="Arial Narrow" w:hAnsi="Arial Narrow" w:cs="Calibri"/>
                <w:b/>
                <w:bCs/>
                <w:sz w:val="20"/>
                <w:szCs w:val="20"/>
              </w:rPr>
              <w:t>LIPTOV</w:t>
            </w:r>
          </w:p>
        </w:tc>
        <w:tc>
          <w:tcPr>
            <w:tcW w:w="1240" w:type="dxa"/>
            <w:tcBorders>
              <w:top w:val="nil"/>
              <w:left w:val="nil"/>
              <w:bottom w:val="nil"/>
              <w:right w:val="nil"/>
            </w:tcBorders>
            <w:shd w:val="clear" w:color="000000" w:fill="E2EFDA"/>
            <w:noWrap/>
            <w:vAlign w:val="center"/>
            <w:hideMark/>
          </w:tcPr>
          <w:p w14:paraId="5F153092"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72 216</w:t>
            </w:r>
          </w:p>
        </w:tc>
        <w:tc>
          <w:tcPr>
            <w:tcW w:w="1020" w:type="dxa"/>
            <w:tcBorders>
              <w:top w:val="nil"/>
              <w:left w:val="nil"/>
              <w:bottom w:val="nil"/>
              <w:right w:val="nil"/>
            </w:tcBorders>
            <w:shd w:val="clear" w:color="000000" w:fill="E2EFDA"/>
            <w:noWrap/>
            <w:vAlign w:val="center"/>
            <w:hideMark/>
          </w:tcPr>
          <w:p w14:paraId="4AF52871"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1120" w:type="dxa"/>
            <w:tcBorders>
              <w:top w:val="nil"/>
              <w:left w:val="nil"/>
              <w:bottom w:val="nil"/>
              <w:right w:val="nil"/>
            </w:tcBorders>
            <w:shd w:val="clear" w:color="000000" w:fill="E2EFDA"/>
            <w:noWrap/>
            <w:vAlign w:val="center"/>
            <w:hideMark/>
          </w:tcPr>
          <w:p w14:paraId="3A1D5FA7"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1 341,1</w:t>
            </w:r>
          </w:p>
        </w:tc>
        <w:tc>
          <w:tcPr>
            <w:tcW w:w="1120" w:type="dxa"/>
            <w:tcBorders>
              <w:top w:val="nil"/>
              <w:left w:val="nil"/>
              <w:bottom w:val="nil"/>
              <w:right w:val="nil"/>
            </w:tcBorders>
            <w:shd w:val="clear" w:color="000000" w:fill="E2EFDA"/>
            <w:noWrap/>
            <w:vAlign w:val="center"/>
            <w:hideMark/>
          </w:tcPr>
          <w:p w14:paraId="13EB5307"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w:t>
            </w:r>
          </w:p>
        </w:tc>
        <w:tc>
          <w:tcPr>
            <w:tcW w:w="960" w:type="dxa"/>
            <w:tcBorders>
              <w:top w:val="nil"/>
              <w:left w:val="nil"/>
              <w:bottom w:val="nil"/>
              <w:right w:val="nil"/>
            </w:tcBorders>
            <w:shd w:val="clear" w:color="000000" w:fill="E2EFDA"/>
            <w:noWrap/>
            <w:vAlign w:val="center"/>
            <w:hideMark/>
          </w:tcPr>
          <w:p w14:paraId="45DCE05A"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56</w:t>
            </w:r>
          </w:p>
        </w:tc>
        <w:tc>
          <w:tcPr>
            <w:tcW w:w="960" w:type="dxa"/>
            <w:tcBorders>
              <w:top w:val="nil"/>
              <w:left w:val="nil"/>
              <w:bottom w:val="nil"/>
              <w:right w:val="nil"/>
            </w:tcBorders>
            <w:shd w:val="clear" w:color="000000" w:fill="E2EFDA"/>
            <w:noWrap/>
            <w:vAlign w:val="center"/>
            <w:hideMark/>
          </w:tcPr>
          <w:p w14:paraId="4597A800"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2</w:t>
            </w:r>
          </w:p>
        </w:tc>
        <w:tc>
          <w:tcPr>
            <w:tcW w:w="1098" w:type="dxa"/>
            <w:tcBorders>
              <w:top w:val="nil"/>
              <w:left w:val="nil"/>
              <w:bottom w:val="nil"/>
              <w:right w:val="nil"/>
            </w:tcBorders>
            <w:shd w:val="clear" w:color="000000" w:fill="E2EFDA"/>
            <w:vAlign w:val="center"/>
            <w:hideMark/>
          </w:tcPr>
          <w:p w14:paraId="6614D087" w14:textId="77777777" w:rsidR="009C523D" w:rsidRPr="009C523D" w:rsidRDefault="009C523D" w:rsidP="009C523D">
            <w:pPr>
              <w:spacing w:line="240" w:lineRule="auto"/>
              <w:jc w:val="center"/>
              <w:rPr>
                <w:rFonts w:ascii="Arial Narrow" w:hAnsi="Arial Narrow" w:cs="Calibri"/>
                <w:b/>
                <w:bCs/>
                <w:sz w:val="20"/>
                <w:szCs w:val="20"/>
              </w:rPr>
            </w:pPr>
            <w:r w:rsidRPr="009C523D">
              <w:rPr>
                <w:rFonts w:ascii="Arial Narrow" w:hAnsi="Arial Narrow" w:cs="Calibri"/>
                <w:b/>
                <w:bCs/>
                <w:sz w:val="20"/>
                <w:szCs w:val="20"/>
              </w:rPr>
              <w:t xml:space="preserve">257                        </w:t>
            </w:r>
            <w:r w:rsidRPr="009C523D">
              <w:rPr>
                <w:rFonts w:ascii="Arial Narrow" w:hAnsi="Arial Narrow" w:cs="Calibri"/>
                <w:sz w:val="20"/>
                <w:szCs w:val="20"/>
              </w:rPr>
              <w:t>(194 Liptov +Orava)</w:t>
            </w:r>
          </w:p>
        </w:tc>
      </w:tr>
    </w:tbl>
    <w:p w14:paraId="7A83650C" w14:textId="59F2C937" w:rsidR="000E7059" w:rsidRPr="000E7059" w:rsidRDefault="000E7059" w:rsidP="000E7059">
      <w:pPr>
        <w:pStyle w:val="Popis"/>
        <w:spacing w:before="0" w:after="0" w:line="240" w:lineRule="auto"/>
        <w:rPr>
          <w:rFonts w:ascii="Century Gothic" w:hAnsi="Century Gothic" w:cstheme="minorHAnsi"/>
          <w:b w:val="0"/>
          <w:i/>
          <w:sz w:val="18"/>
          <w:szCs w:val="18"/>
        </w:rPr>
      </w:pPr>
      <w:r w:rsidRPr="002C009D">
        <w:rPr>
          <w:rFonts w:ascii="Century Gothic" w:hAnsi="Century Gothic" w:cstheme="minorHAnsi"/>
          <w:b w:val="0"/>
          <w:i/>
          <w:sz w:val="18"/>
          <w:szCs w:val="18"/>
        </w:rPr>
        <w:t xml:space="preserve">Zdroj: </w:t>
      </w:r>
      <w:r>
        <w:rPr>
          <w:rFonts w:ascii="Century Gothic" w:hAnsi="Century Gothic" w:cstheme="minorHAnsi"/>
          <w:b w:val="0"/>
          <w:i/>
          <w:sz w:val="18"/>
          <w:szCs w:val="18"/>
        </w:rPr>
        <w:t>Žilinský kraj v číslach 2020</w:t>
      </w:r>
      <w:r w:rsidRPr="002C009D">
        <w:rPr>
          <w:rFonts w:ascii="Century Gothic" w:hAnsi="Century Gothic" w:cstheme="minorHAnsi"/>
          <w:b w:val="0"/>
          <w:i/>
          <w:sz w:val="18"/>
          <w:szCs w:val="18"/>
        </w:rPr>
        <w:t>, stav k 31.</w:t>
      </w:r>
      <w:r>
        <w:rPr>
          <w:rFonts w:ascii="Century Gothic" w:hAnsi="Century Gothic" w:cstheme="minorHAnsi"/>
          <w:b w:val="0"/>
          <w:i/>
          <w:sz w:val="18"/>
          <w:szCs w:val="18"/>
        </w:rPr>
        <w:t>12.2019</w:t>
      </w:r>
    </w:p>
    <w:p w14:paraId="5D2707F1" w14:textId="77777777" w:rsidR="00AC54CF" w:rsidRDefault="00AC54CF" w:rsidP="007B7154">
      <w:pPr>
        <w:spacing w:line="240" w:lineRule="auto"/>
        <w:rPr>
          <w:rFonts w:cstheme="minorHAnsi"/>
        </w:rPr>
      </w:pPr>
    </w:p>
    <w:p w14:paraId="5B423716" w14:textId="5AF87715" w:rsidR="007B7154" w:rsidRPr="001B7885" w:rsidRDefault="007B7154" w:rsidP="007B7154">
      <w:pPr>
        <w:spacing w:line="240" w:lineRule="auto"/>
        <w:rPr>
          <w:rFonts w:ascii="Century Gothic" w:hAnsi="Century Gothic"/>
          <w:sz w:val="22"/>
          <w:szCs w:val="22"/>
        </w:rPr>
      </w:pPr>
      <w:r w:rsidRPr="001B7885">
        <w:rPr>
          <w:rFonts w:ascii="Century Gothic" w:hAnsi="Century Gothic"/>
          <w:sz w:val="22"/>
          <w:szCs w:val="22"/>
        </w:rPr>
        <w:t>Z uvedeného vyplýva, že v </w:t>
      </w:r>
      <w:proofErr w:type="spellStart"/>
      <w:r w:rsidRPr="001B7885">
        <w:rPr>
          <w:rFonts w:ascii="Century Gothic" w:hAnsi="Century Gothic"/>
          <w:sz w:val="22"/>
          <w:szCs w:val="22"/>
        </w:rPr>
        <w:t>clustri</w:t>
      </w:r>
      <w:proofErr w:type="spellEnd"/>
      <w:r w:rsidRPr="001B7885">
        <w:rPr>
          <w:rFonts w:ascii="Century Gothic" w:hAnsi="Century Gothic"/>
          <w:sz w:val="22"/>
          <w:szCs w:val="22"/>
        </w:rPr>
        <w:t xml:space="preserve"> 1 je najmenší absolútny počet lôžok na počet obyvateľov, v </w:t>
      </w:r>
      <w:proofErr w:type="spellStart"/>
      <w:r w:rsidRPr="001B7885">
        <w:rPr>
          <w:rFonts w:ascii="Century Gothic" w:hAnsi="Century Gothic"/>
          <w:sz w:val="22"/>
          <w:szCs w:val="22"/>
        </w:rPr>
        <w:t>clustri</w:t>
      </w:r>
      <w:proofErr w:type="spellEnd"/>
      <w:r w:rsidRPr="001B7885">
        <w:rPr>
          <w:rFonts w:ascii="Century Gothic" w:hAnsi="Century Gothic"/>
          <w:sz w:val="22"/>
          <w:szCs w:val="22"/>
        </w:rPr>
        <w:t xml:space="preserve"> 2 naopak najväčší. To však nie je jediný pohľad na vec - nemocnice, schopné poskytovať komplexnú starostlivosť o najťažších pacientov (polytrauma, akútny </w:t>
      </w:r>
      <w:proofErr w:type="spellStart"/>
      <w:r w:rsidRPr="001B7885">
        <w:rPr>
          <w:rFonts w:ascii="Century Gothic" w:hAnsi="Century Gothic"/>
          <w:sz w:val="22"/>
          <w:szCs w:val="22"/>
        </w:rPr>
        <w:t>imfart</w:t>
      </w:r>
      <w:proofErr w:type="spellEnd"/>
      <w:r w:rsidRPr="001B7885">
        <w:rPr>
          <w:rFonts w:ascii="Century Gothic" w:hAnsi="Century Gothic"/>
          <w:sz w:val="22"/>
          <w:szCs w:val="22"/>
        </w:rPr>
        <w:t xml:space="preserve"> myokardu, akútna mozgová príhoda) sú v kraji 3 (Žilina, Ružomberok a Martin) a pre tento účel musíme „</w:t>
      </w:r>
      <w:proofErr w:type="spellStart"/>
      <w:r w:rsidRPr="001B7885">
        <w:rPr>
          <w:rFonts w:ascii="Century Gothic" w:hAnsi="Century Gothic"/>
          <w:sz w:val="22"/>
          <w:szCs w:val="22"/>
        </w:rPr>
        <w:t>spádovosť</w:t>
      </w:r>
      <w:proofErr w:type="spellEnd"/>
      <w:r w:rsidRPr="001B7885">
        <w:rPr>
          <w:rFonts w:ascii="Century Gothic" w:hAnsi="Century Gothic"/>
          <w:sz w:val="22"/>
          <w:szCs w:val="22"/>
        </w:rPr>
        <w:t xml:space="preserve">“ pre tieto nemocnice uvažovať nasledovne – </w:t>
      </w:r>
      <w:proofErr w:type="spellStart"/>
      <w:r w:rsidRPr="001B7885">
        <w:rPr>
          <w:rFonts w:ascii="Century Gothic" w:hAnsi="Century Gothic"/>
          <w:sz w:val="22"/>
          <w:szCs w:val="22"/>
        </w:rPr>
        <w:t>cluster</w:t>
      </w:r>
      <w:proofErr w:type="spellEnd"/>
      <w:r w:rsidRPr="001B7885">
        <w:rPr>
          <w:rFonts w:ascii="Century Gothic" w:hAnsi="Century Gothic"/>
          <w:sz w:val="22"/>
          <w:szCs w:val="22"/>
        </w:rPr>
        <w:t xml:space="preserve"> 1. </w:t>
      </w:r>
      <w:proofErr w:type="spellStart"/>
      <w:r w:rsidRPr="001B7885">
        <w:rPr>
          <w:rFonts w:ascii="Century Gothic" w:hAnsi="Century Gothic"/>
          <w:sz w:val="22"/>
          <w:szCs w:val="22"/>
        </w:rPr>
        <w:t>FNsP</w:t>
      </w:r>
      <w:proofErr w:type="spellEnd"/>
      <w:r w:rsidRPr="001B7885">
        <w:rPr>
          <w:rFonts w:ascii="Century Gothic" w:hAnsi="Century Gothic"/>
          <w:sz w:val="22"/>
          <w:szCs w:val="22"/>
        </w:rPr>
        <w:t xml:space="preserve"> Žilina cca. 312 tis</w:t>
      </w:r>
      <w:r w:rsidR="003036CC">
        <w:rPr>
          <w:rFonts w:ascii="Century Gothic" w:hAnsi="Century Gothic"/>
          <w:sz w:val="22"/>
          <w:szCs w:val="22"/>
        </w:rPr>
        <w:t>.</w:t>
      </w:r>
      <w:r w:rsidRPr="001B7885">
        <w:rPr>
          <w:rFonts w:ascii="Century Gothic" w:hAnsi="Century Gothic"/>
          <w:sz w:val="22"/>
          <w:szCs w:val="22"/>
        </w:rPr>
        <w:t xml:space="preserve"> obyvateľov, </w:t>
      </w:r>
      <w:proofErr w:type="spellStart"/>
      <w:r w:rsidRPr="001B7885">
        <w:rPr>
          <w:rFonts w:ascii="Century Gothic" w:hAnsi="Century Gothic"/>
          <w:sz w:val="22"/>
          <w:szCs w:val="22"/>
        </w:rPr>
        <w:t>cluster</w:t>
      </w:r>
      <w:proofErr w:type="spellEnd"/>
      <w:r w:rsidRPr="001B7885">
        <w:rPr>
          <w:rFonts w:ascii="Century Gothic" w:hAnsi="Century Gothic"/>
          <w:sz w:val="22"/>
          <w:szCs w:val="22"/>
        </w:rPr>
        <w:t xml:space="preserve"> 2. Univerzitná nemocnica Martin cca. 112 tis</w:t>
      </w:r>
      <w:r w:rsidR="003036CC">
        <w:rPr>
          <w:rFonts w:ascii="Century Gothic" w:hAnsi="Century Gothic"/>
          <w:sz w:val="22"/>
          <w:szCs w:val="22"/>
        </w:rPr>
        <w:t>.</w:t>
      </w:r>
      <w:r w:rsidRPr="001B7885">
        <w:rPr>
          <w:rFonts w:ascii="Century Gothic" w:hAnsi="Century Gothic"/>
          <w:sz w:val="22"/>
          <w:szCs w:val="22"/>
        </w:rPr>
        <w:t xml:space="preserve"> obyvateľov a </w:t>
      </w:r>
      <w:proofErr w:type="spellStart"/>
      <w:r w:rsidRPr="001B7885">
        <w:rPr>
          <w:rFonts w:ascii="Century Gothic" w:hAnsi="Century Gothic"/>
          <w:sz w:val="22"/>
          <w:szCs w:val="22"/>
        </w:rPr>
        <w:t>cluster</w:t>
      </w:r>
      <w:proofErr w:type="spellEnd"/>
      <w:r w:rsidRPr="001B7885">
        <w:rPr>
          <w:rFonts w:ascii="Century Gothic" w:hAnsi="Century Gothic"/>
          <w:sz w:val="22"/>
          <w:szCs w:val="22"/>
        </w:rPr>
        <w:t xml:space="preserve"> 3+4 </w:t>
      </w:r>
      <w:r w:rsidR="00724522">
        <w:rPr>
          <w:rFonts w:ascii="Century Gothic" w:hAnsi="Century Gothic"/>
          <w:sz w:val="22"/>
          <w:szCs w:val="22"/>
        </w:rPr>
        <w:t>Ústredná v</w:t>
      </w:r>
      <w:r w:rsidRPr="001B7885">
        <w:rPr>
          <w:rFonts w:ascii="Century Gothic" w:hAnsi="Century Gothic"/>
          <w:sz w:val="22"/>
          <w:szCs w:val="22"/>
        </w:rPr>
        <w:t>ojenská nemocnica Ružomberok cca. 267 tis</w:t>
      </w:r>
      <w:r w:rsidR="003036CC">
        <w:rPr>
          <w:rFonts w:ascii="Century Gothic" w:hAnsi="Century Gothic"/>
          <w:sz w:val="22"/>
          <w:szCs w:val="22"/>
        </w:rPr>
        <w:t>.</w:t>
      </w:r>
      <w:r w:rsidRPr="001B7885">
        <w:rPr>
          <w:rFonts w:ascii="Century Gothic" w:hAnsi="Century Gothic"/>
          <w:sz w:val="22"/>
          <w:szCs w:val="22"/>
        </w:rPr>
        <w:t xml:space="preserve"> obyvateľov.</w:t>
      </w:r>
    </w:p>
    <w:p w14:paraId="1648234F" w14:textId="77777777" w:rsidR="007B7154" w:rsidRPr="001B7885" w:rsidRDefault="007B7154" w:rsidP="007B7154">
      <w:pPr>
        <w:spacing w:line="240" w:lineRule="auto"/>
        <w:rPr>
          <w:rFonts w:ascii="Century Gothic" w:hAnsi="Century Gothic" w:cs="Arial"/>
          <w:sz w:val="22"/>
          <w:szCs w:val="22"/>
        </w:rPr>
      </w:pPr>
    </w:p>
    <w:p w14:paraId="6361D43B" w14:textId="77777777" w:rsidR="003A0E6D" w:rsidRPr="0013235D" w:rsidRDefault="003A0E6D" w:rsidP="003A0E6D">
      <w:pPr>
        <w:spacing w:line="240" w:lineRule="auto"/>
        <w:rPr>
          <w:rFonts w:ascii="Century Gothic" w:hAnsi="Century Gothic" w:cs="Arial"/>
          <w:b/>
          <w:bCs/>
          <w:sz w:val="22"/>
          <w:szCs w:val="22"/>
        </w:rPr>
      </w:pPr>
      <w:r w:rsidRPr="0013235D">
        <w:rPr>
          <w:rFonts w:ascii="Century Gothic" w:hAnsi="Century Gothic" w:cs="Arial"/>
          <w:b/>
          <w:bCs/>
          <w:sz w:val="22"/>
          <w:szCs w:val="22"/>
        </w:rPr>
        <w:t>Neodkladná zdravotná starostlivosť</w:t>
      </w:r>
    </w:p>
    <w:p w14:paraId="3B17C070" w14:textId="77777777" w:rsidR="003A0E6D" w:rsidRDefault="003A0E6D" w:rsidP="003A0E6D">
      <w:pPr>
        <w:spacing w:line="240" w:lineRule="auto"/>
        <w:rPr>
          <w:rFonts w:ascii="Century Gothic" w:hAnsi="Century Gothic" w:cs="Arial"/>
          <w:sz w:val="22"/>
          <w:szCs w:val="22"/>
        </w:rPr>
      </w:pPr>
    </w:p>
    <w:p w14:paraId="193E5CD6" w14:textId="50E2E9E1" w:rsidR="003A0E6D" w:rsidRDefault="003A0E6D" w:rsidP="003A0E6D">
      <w:pPr>
        <w:spacing w:line="240" w:lineRule="auto"/>
        <w:rPr>
          <w:rFonts w:ascii="Century Gothic" w:hAnsi="Century Gothic" w:cs="Arial"/>
          <w:sz w:val="22"/>
          <w:szCs w:val="22"/>
        </w:rPr>
      </w:pPr>
      <w:r>
        <w:rPr>
          <w:rFonts w:ascii="Century Gothic" w:hAnsi="Century Gothic" w:cs="Arial"/>
          <w:sz w:val="22"/>
          <w:szCs w:val="22"/>
        </w:rPr>
        <w:t>Indikatívna vyťaženosť pre neodkladnú zdravotnú starostlivosť by sa dala odčítať v počte ošetrených pacientov na oddelen</w:t>
      </w:r>
      <w:r w:rsidR="001E714D">
        <w:rPr>
          <w:rFonts w:ascii="Century Gothic" w:hAnsi="Century Gothic" w:cs="Arial"/>
          <w:sz w:val="22"/>
          <w:szCs w:val="22"/>
        </w:rPr>
        <w:t>iach</w:t>
      </w:r>
      <w:r>
        <w:rPr>
          <w:rFonts w:ascii="Century Gothic" w:hAnsi="Century Gothic" w:cs="Arial"/>
          <w:sz w:val="22"/>
          <w:szCs w:val="22"/>
        </w:rPr>
        <w:t xml:space="preserve"> urgentných príjmov jednotli</w:t>
      </w:r>
      <w:r w:rsidR="00312A43">
        <w:rPr>
          <w:rFonts w:ascii="Century Gothic" w:hAnsi="Century Gothic" w:cs="Arial"/>
          <w:sz w:val="22"/>
          <w:szCs w:val="22"/>
        </w:rPr>
        <w:t>vých nemocníc a ešte lepšie aj z</w:t>
      </w:r>
      <w:r>
        <w:rPr>
          <w:rFonts w:ascii="Century Gothic" w:hAnsi="Century Gothic" w:cs="Arial"/>
          <w:sz w:val="22"/>
          <w:szCs w:val="22"/>
        </w:rPr>
        <w:t xml:space="preserve"> počtu pacientov akútne prijatých na ďalšiu lôžkovú starostlivosť. Žiaľ, takáto štatistika sa centrálne nevedie, preto je možné odčítať zaťaženie len z </w:t>
      </w:r>
      <w:r w:rsidR="005958EE">
        <w:rPr>
          <w:rFonts w:ascii="Century Gothic" w:hAnsi="Century Gothic" w:cs="Arial"/>
          <w:sz w:val="22"/>
          <w:szCs w:val="22"/>
        </w:rPr>
        <w:t>niektorých</w:t>
      </w:r>
      <w:r>
        <w:rPr>
          <w:rFonts w:ascii="Century Gothic" w:hAnsi="Century Gothic" w:cs="Arial"/>
          <w:sz w:val="22"/>
          <w:szCs w:val="22"/>
        </w:rPr>
        <w:t> podporných údajov.</w:t>
      </w:r>
    </w:p>
    <w:p w14:paraId="087C308C" w14:textId="77777777" w:rsidR="003A0E6D" w:rsidRDefault="003A0E6D" w:rsidP="003A0E6D">
      <w:pPr>
        <w:spacing w:line="240" w:lineRule="auto"/>
        <w:rPr>
          <w:rFonts w:ascii="Century Gothic" w:hAnsi="Century Gothic" w:cs="Arial"/>
          <w:sz w:val="22"/>
          <w:szCs w:val="22"/>
        </w:rPr>
      </w:pPr>
    </w:p>
    <w:p w14:paraId="1F5F242F" w14:textId="77777777" w:rsidR="003A0E6D" w:rsidRDefault="003A0E6D" w:rsidP="003A0E6D">
      <w:pPr>
        <w:spacing w:line="240" w:lineRule="auto"/>
        <w:rPr>
          <w:rFonts w:ascii="Century Gothic" w:hAnsi="Century Gothic" w:cs="Arial"/>
          <w:sz w:val="22"/>
          <w:szCs w:val="22"/>
        </w:rPr>
      </w:pPr>
      <w:r>
        <w:rPr>
          <w:rFonts w:ascii="Century Gothic" w:hAnsi="Century Gothic" w:cs="Arial"/>
          <w:sz w:val="22"/>
          <w:szCs w:val="22"/>
        </w:rPr>
        <w:t xml:space="preserve">Podľa štatistiky vedenej Operačným strediskom ZZS SR od roku 2019 je zrejmé zaťaženie jednotlivých nemocníc primárnymi a sekundárnymi prevozmi pacientov posádkami RZP a RLP do jednotlivých nemocníc. Ako ukazuje tabuľka nižšie počet výjazdov kopíruje naznačené </w:t>
      </w:r>
      <w:proofErr w:type="spellStart"/>
      <w:r>
        <w:rPr>
          <w:rFonts w:ascii="Century Gothic" w:hAnsi="Century Gothic" w:cs="Arial"/>
          <w:sz w:val="22"/>
          <w:szCs w:val="22"/>
        </w:rPr>
        <w:t>clustre</w:t>
      </w:r>
      <w:proofErr w:type="spellEnd"/>
      <w:r>
        <w:rPr>
          <w:rFonts w:ascii="Century Gothic" w:hAnsi="Century Gothic" w:cs="Arial"/>
          <w:sz w:val="22"/>
          <w:szCs w:val="22"/>
        </w:rPr>
        <w:t xml:space="preserve"> ako aj geografickú dostupnosť, resp. cestnú nedostupnosť.</w:t>
      </w:r>
    </w:p>
    <w:p w14:paraId="1FFBD0D4" w14:textId="05E7E625" w:rsidR="003A0E6D" w:rsidRDefault="003A0E6D" w:rsidP="003A0E6D">
      <w:pPr>
        <w:spacing w:line="240" w:lineRule="auto"/>
        <w:rPr>
          <w:rFonts w:ascii="Century Gothic" w:hAnsi="Century Gothic" w:cs="Arial"/>
          <w:sz w:val="22"/>
          <w:szCs w:val="22"/>
        </w:rPr>
      </w:pPr>
      <w:r>
        <w:rPr>
          <w:rFonts w:ascii="Century Gothic" w:hAnsi="Century Gothic" w:cs="Arial"/>
          <w:sz w:val="22"/>
          <w:szCs w:val="22"/>
        </w:rPr>
        <w:lastRenderedPageBreak/>
        <w:t xml:space="preserve">NsP Považská Bystrica pravdepodobne prijíma aj pacientov z okresu Bytča, naopak, pre niektoré stavy (neurochirurgia, polytrauma) </w:t>
      </w:r>
      <w:proofErr w:type="spellStart"/>
      <w:r>
        <w:rPr>
          <w:rFonts w:ascii="Century Gothic" w:hAnsi="Century Gothic" w:cs="Arial"/>
          <w:sz w:val="22"/>
          <w:szCs w:val="22"/>
        </w:rPr>
        <w:t>FNsP</w:t>
      </w:r>
      <w:proofErr w:type="spellEnd"/>
      <w:r>
        <w:rPr>
          <w:rFonts w:ascii="Century Gothic" w:hAnsi="Century Gothic" w:cs="Arial"/>
          <w:sz w:val="22"/>
          <w:szCs w:val="22"/>
        </w:rPr>
        <w:t xml:space="preserve"> Žilina prijíma aj pacientov z okresu Považská Bystrica.</w:t>
      </w:r>
      <w:r w:rsidR="002031AE">
        <w:rPr>
          <w:rFonts w:ascii="Century Gothic" w:hAnsi="Century Gothic" w:cs="Arial"/>
          <w:sz w:val="22"/>
          <w:szCs w:val="22"/>
        </w:rPr>
        <w:t xml:space="preserve"> </w:t>
      </w:r>
      <w:proofErr w:type="spellStart"/>
      <w:r w:rsidR="002031AE">
        <w:rPr>
          <w:rFonts w:ascii="Century Gothic" w:hAnsi="Century Gothic" w:cs="Arial"/>
          <w:sz w:val="22"/>
          <w:szCs w:val="22"/>
        </w:rPr>
        <w:t>FNsP</w:t>
      </w:r>
      <w:proofErr w:type="spellEnd"/>
      <w:r w:rsidR="002031AE">
        <w:rPr>
          <w:rFonts w:ascii="Century Gothic" w:hAnsi="Century Gothic" w:cs="Arial"/>
          <w:sz w:val="22"/>
          <w:szCs w:val="22"/>
        </w:rPr>
        <w:t xml:space="preserve"> Žilina je z pohľadu neodkladnej zdravotnej starostlivosti najvyťaženejšou nemocnicou</w:t>
      </w:r>
      <w:r w:rsidR="00312A43">
        <w:rPr>
          <w:rFonts w:ascii="Century Gothic" w:hAnsi="Century Gothic" w:cs="Arial"/>
          <w:sz w:val="22"/>
          <w:szCs w:val="22"/>
        </w:rPr>
        <w:t xml:space="preserve"> v Žilinskom samosprávnom kraji (</w:t>
      </w:r>
      <w:r w:rsidR="002031AE">
        <w:rPr>
          <w:rFonts w:ascii="Century Gothic" w:hAnsi="Century Gothic" w:cs="Arial"/>
          <w:sz w:val="22"/>
          <w:szCs w:val="22"/>
        </w:rPr>
        <w:t>ŽSK</w:t>
      </w:r>
      <w:r w:rsidR="00312A43">
        <w:rPr>
          <w:rFonts w:ascii="Century Gothic" w:hAnsi="Century Gothic" w:cs="Arial"/>
          <w:sz w:val="22"/>
          <w:szCs w:val="22"/>
        </w:rPr>
        <w:t>)</w:t>
      </w:r>
      <w:r w:rsidR="002031AE">
        <w:rPr>
          <w:rFonts w:ascii="Century Gothic" w:hAnsi="Century Gothic" w:cs="Arial"/>
          <w:sz w:val="22"/>
          <w:szCs w:val="22"/>
        </w:rPr>
        <w:t xml:space="preserve"> a tento stav nebude do budúcnosti iný.</w:t>
      </w:r>
    </w:p>
    <w:p w14:paraId="1A871FDF" w14:textId="77777777" w:rsidR="003A0E6D" w:rsidRDefault="003A0E6D" w:rsidP="003A0E6D">
      <w:pPr>
        <w:spacing w:line="240" w:lineRule="auto"/>
        <w:rPr>
          <w:rFonts w:ascii="Century Gothic" w:hAnsi="Century Gothic" w:cs="Arial"/>
          <w:sz w:val="22"/>
          <w:szCs w:val="22"/>
        </w:rPr>
      </w:pPr>
    </w:p>
    <w:p w14:paraId="4B556EA1" w14:textId="06DA0B7D" w:rsidR="0039692B" w:rsidRPr="0039692B" w:rsidRDefault="0039692B" w:rsidP="0039692B">
      <w:pPr>
        <w:keepNext/>
        <w:spacing w:line="240" w:lineRule="auto"/>
        <w:jc w:val="left"/>
        <w:rPr>
          <w:rFonts w:ascii="Century Gothic" w:hAnsi="Century Gothic" w:cs="Arial"/>
          <w:i/>
          <w:sz w:val="20"/>
          <w:szCs w:val="20"/>
        </w:rPr>
      </w:pPr>
      <w:bookmarkStart w:id="56" w:name="_Toc145219911"/>
      <w:r w:rsidRPr="0039692B">
        <w:rPr>
          <w:rFonts w:ascii="Century Gothic" w:hAnsi="Century Gothic" w:cs="Arial"/>
          <w:i/>
          <w:sz w:val="20"/>
          <w:szCs w:val="20"/>
        </w:rPr>
        <w:t xml:space="preserve">Tabuľka </w:t>
      </w:r>
      <w:r w:rsidRPr="0039692B">
        <w:rPr>
          <w:rFonts w:ascii="Century Gothic" w:hAnsi="Century Gothic" w:cs="Arial"/>
          <w:i/>
          <w:sz w:val="20"/>
          <w:szCs w:val="20"/>
        </w:rPr>
        <w:fldChar w:fldCharType="begin"/>
      </w:r>
      <w:r w:rsidRPr="0039692B">
        <w:rPr>
          <w:rFonts w:ascii="Century Gothic" w:hAnsi="Century Gothic" w:cs="Arial"/>
          <w:i/>
          <w:sz w:val="20"/>
          <w:szCs w:val="20"/>
        </w:rPr>
        <w:instrText xml:space="preserve"> SEQ Tabuľka \* ARABIC </w:instrText>
      </w:r>
      <w:r w:rsidRPr="0039692B">
        <w:rPr>
          <w:rFonts w:ascii="Century Gothic" w:hAnsi="Century Gothic" w:cs="Arial"/>
          <w:i/>
          <w:sz w:val="20"/>
          <w:szCs w:val="20"/>
        </w:rPr>
        <w:fldChar w:fldCharType="separate"/>
      </w:r>
      <w:r w:rsidR="007D6A44">
        <w:rPr>
          <w:rFonts w:ascii="Century Gothic" w:hAnsi="Century Gothic" w:cs="Arial"/>
          <w:i/>
          <w:noProof/>
          <w:sz w:val="20"/>
          <w:szCs w:val="20"/>
        </w:rPr>
        <w:t>10</w:t>
      </w:r>
      <w:r w:rsidRPr="0039692B">
        <w:rPr>
          <w:rFonts w:ascii="Century Gothic" w:hAnsi="Century Gothic" w:cs="Arial"/>
          <w:i/>
          <w:sz w:val="20"/>
          <w:szCs w:val="20"/>
        </w:rPr>
        <w:fldChar w:fldCharType="end"/>
      </w:r>
      <w:r w:rsidRPr="0039692B">
        <w:rPr>
          <w:rFonts w:ascii="Century Gothic" w:hAnsi="Century Gothic" w:cs="Arial"/>
          <w:i/>
          <w:sz w:val="20"/>
          <w:szCs w:val="20"/>
        </w:rPr>
        <w:t xml:space="preserve"> </w:t>
      </w:r>
      <w:r w:rsidRPr="002968D3">
        <w:rPr>
          <w:rFonts w:ascii="Century Gothic" w:hAnsi="Century Gothic" w:cs="Arial"/>
          <w:i/>
          <w:sz w:val="20"/>
          <w:szCs w:val="20"/>
        </w:rPr>
        <w:t>Počet primárnych zásahov posádok ZZS, ktoré skončili prevozom do vybraných ÚZZ</w:t>
      </w:r>
      <w:bookmarkEnd w:id="56"/>
    </w:p>
    <w:tbl>
      <w:tblPr>
        <w:tblW w:w="9420" w:type="dxa"/>
        <w:jc w:val="center"/>
        <w:tblCellMar>
          <w:left w:w="70" w:type="dxa"/>
          <w:right w:w="70" w:type="dxa"/>
        </w:tblCellMar>
        <w:tblLook w:val="04A0" w:firstRow="1" w:lastRow="0" w:firstColumn="1" w:lastColumn="0" w:noHBand="0" w:noVBand="1"/>
      </w:tblPr>
      <w:tblGrid>
        <w:gridCol w:w="2720"/>
        <w:gridCol w:w="1340"/>
        <w:gridCol w:w="1340"/>
        <w:gridCol w:w="1340"/>
        <w:gridCol w:w="1340"/>
        <w:gridCol w:w="1340"/>
      </w:tblGrid>
      <w:tr w:rsidR="007B16E4" w:rsidRPr="007B16E4" w14:paraId="4CE37E87" w14:textId="77777777" w:rsidTr="007B16E4">
        <w:trPr>
          <w:trHeight w:val="600"/>
          <w:jc w:val="center"/>
        </w:trPr>
        <w:tc>
          <w:tcPr>
            <w:tcW w:w="2720" w:type="dxa"/>
            <w:shd w:val="clear" w:color="auto" w:fill="595959" w:themeFill="text1" w:themeFillTint="A6"/>
            <w:vAlign w:val="center"/>
            <w:hideMark/>
          </w:tcPr>
          <w:p w14:paraId="464E9553" w14:textId="77777777" w:rsidR="003A0E6D" w:rsidRPr="00105F87" w:rsidRDefault="003A0E6D" w:rsidP="002968D3">
            <w:pPr>
              <w:spacing w:line="240" w:lineRule="auto"/>
              <w:jc w:val="center"/>
              <w:rPr>
                <w:rFonts w:ascii="Arial Narrow" w:hAnsi="Arial Narrow" w:cs="Calibri"/>
                <w:b/>
                <w:bCs/>
                <w:color w:val="FFFFFF" w:themeColor="background1"/>
                <w:sz w:val="20"/>
                <w:szCs w:val="20"/>
              </w:rPr>
            </w:pPr>
            <w:r w:rsidRPr="00105F87">
              <w:rPr>
                <w:rFonts w:ascii="Arial Narrow" w:hAnsi="Arial Narrow" w:cs="Calibri"/>
                <w:b/>
                <w:bCs/>
                <w:color w:val="FFFFFF" w:themeColor="background1"/>
                <w:sz w:val="20"/>
                <w:szCs w:val="20"/>
              </w:rPr>
              <w:t>KRAJ, NÁZOV ÚZZ</w:t>
            </w:r>
          </w:p>
        </w:tc>
        <w:tc>
          <w:tcPr>
            <w:tcW w:w="1340" w:type="dxa"/>
            <w:shd w:val="clear" w:color="auto" w:fill="595959" w:themeFill="text1" w:themeFillTint="A6"/>
            <w:vAlign w:val="center"/>
            <w:hideMark/>
          </w:tcPr>
          <w:p w14:paraId="4FC36AB1" w14:textId="77777777" w:rsidR="003A0E6D" w:rsidRPr="00105F87" w:rsidRDefault="003A0E6D" w:rsidP="003079F7">
            <w:pPr>
              <w:spacing w:line="240" w:lineRule="auto"/>
              <w:jc w:val="center"/>
              <w:rPr>
                <w:rFonts w:ascii="Arial Narrow" w:hAnsi="Arial Narrow" w:cs="Calibri"/>
                <w:b/>
                <w:bCs/>
                <w:color w:val="FFFFFF" w:themeColor="background1"/>
                <w:sz w:val="20"/>
                <w:szCs w:val="20"/>
              </w:rPr>
            </w:pPr>
            <w:r w:rsidRPr="00105F87">
              <w:rPr>
                <w:rFonts w:ascii="Arial Narrow" w:hAnsi="Arial Narrow" w:cs="Calibri"/>
                <w:b/>
                <w:bCs/>
                <w:color w:val="FFFFFF" w:themeColor="background1"/>
                <w:sz w:val="20"/>
                <w:szCs w:val="20"/>
              </w:rPr>
              <w:t>2019</w:t>
            </w:r>
          </w:p>
        </w:tc>
        <w:tc>
          <w:tcPr>
            <w:tcW w:w="1340" w:type="dxa"/>
            <w:shd w:val="clear" w:color="auto" w:fill="595959" w:themeFill="text1" w:themeFillTint="A6"/>
            <w:vAlign w:val="center"/>
            <w:hideMark/>
          </w:tcPr>
          <w:p w14:paraId="16E0E477" w14:textId="77777777" w:rsidR="003A0E6D" w:rsidRPr="00105F87" w:rsidRDefault="003A0E6D" w:rsidP="003079F7">
            <w:pPr>
              <w:spacing w:line="240" w:lineRule="auto"/>
              <w:jc w:val="center"/>
              <w:rPr>
                <w:rFonts w:ascii="Arial Narrow" w:hAnsi="Arial Narrow" w:cs="Calibri"/>
                <w:b/>
                <w:bCs/>
                <w:color w:val="FFFFFF" w:themeColor="background1"/>
                <w:sz w:val="20"/>
                <w:szCs w:val="20"/>
              </w:rPr>
            </w:pPr>
            <w:r w:rsidRPr="00105F87">
              <w:rPr>
                <w:rFonts w:ascii="Arial Narrow" w:hAnsi="Arial Narrow" w:cs="Calibri"/>
                <w:b/>
                <w:bCs/>
                <w:color w:val="FFFFFF" w:themeColor="background1"/>
                <w:sz w:val="20"/>
                <w:szCs w:val="20"/>
              </w:rPr>
              <w:t>2020</w:t>
            </w:r>
          </w:p>
        </w:tc>
        <w:tc>
          <w:tcPr>
            <w:tcW w:w="1340" w:type="dxa"/>
            <w:shd w:val="clear" w:color="auto" w:fill="595959" w:themeFill="text1" w:themeFillTint="A6"/>
            <w:vAlign w:val="center"/>
            <w:hideMark/>
          </w:tcPr>
          <w:p w14:paraId="4CA96CBE" w14:textId="77777777" w:rsidR="003A0E6D" w:rsidRPr="00105F87" w:rsidRDefault="003A0E6D" w:rsidP="003079F7">
            <w:pPr>
              <w:spacing w:line="240" w:lineRule="auto"/>
              <w:jc w:val="center"/>
              <w:rPr>
                <w:rFonts w:ascii="Arial Narrow" w:hAnsi="Arial Narrow" w:cs="Calibri"/>
                <w:b/>
                <w:bCs/>
                <w:color w:val="FFFFFF" w:themeColor="background1"/>
                <w:sz w:val="20"/>
                <w:szCs w:val="20"/>
              </w:rPr>
            </w:pPr>
            <w:r w:rsidRPr="00105F87">
              <w:rPr>
                <w:rFonts w:ascii="Arial Narrow" w:hAnsi="Arial Narrow" w:cs="Calibri"/>
                <w:b/>
                <w:bCs/>
                <w:color w:val="FFFFFF" w:themeColor="background1"/>
                <w:sz w:val="20"/>
                <w:szCs w:val="20"/>
              </w:rPr>
              <w:t>2021</w:t>
            </w:r>
          </w:p>
        </w:tc>
        <w:tc>
          <w:tcPr>
            <w:tcW w:w="1340" w:type="dxa"/>
            <w:shd w:val="clear" w:color="auto" w:fill="595959" w:themeFill="text1" w:themeFillTint="A6"/>
            <w:vAlign w:val="center"/>
            <w:hideMark/>
          </w:tcPr>
          <w:p w14:paraId="1ABD81C1" w14:textId="77777777" w:rsidR="003A0E6D" w:rsidRPr="00105F87" w:rsidRDefault="003A0E6D" w:rsidP="003079F7">
            <w:pPr>
              <w:spacing w:line="240" w:lineRule="auto"/>
              <w:jc w:val="center"/>
              <w:rPr>
                <w:rFonts w:ascii="Arial Narrow" w:hAnsi="Arial Narrow" w:cs="Calibri"/>
                <w:b/>
                <w:bCs/>
                <w:color w:val="FFFFFF" w:themeColor="background1"/>
                <w:sz w:val="20"/>
                <w:szCs w:val="20"/>
              </w:rPr>
            </w:pPr>
            <w:r w:rsidRPr="00105F87">
              <w:rPr>
                <w:rFonts w:ascii="Arial Narrow" w:hAnsi="Arial Narrow" w:cs="Calibri"/>
                <w:b/>
                <w:bCs/>
                <w:color w:val="FFFFFF" w:themeColor="background1"/>
                <w:sz w:val="20"/>
                <w:szCs w:val="20"/>
              </w:rPr>
              <w:t>2022</w:t>
            </w:r>
          </w:p>
        </w:tc>
        <w:tc>
          <w:tcPr>
            <w:tcW w:w="1340" w:type="dxa"/>
            <w:shd w:val="clear" w:color="auto" w:fill="595959" w:themeFill="text1" w:themeFillTint="A6"/>
            <w:vAlign w:val="center"/>
            <w:hideMark/>
          </w:tcPr>
          <w:p w14:paraId="73277C96" w14:textId="77777777" w:rsidR="003A0E6D" w:rsidRPr="00105F87" w:rsidRDefault="003A0E6D" w:rsidP="003079F7">
            <w:pPr>
              <w:spacing w:line="240" w:lineRule="auto"/>
              <w:jc w:val="center"/>
              <w:rPr>
                <w:rFonts w:ascii="Arial Narrow" w:hAnsi="Arial Narrow" w:cs="Calibri"/>
                <w:b/>
                <w:bCs/>
                <w:color w:val="FFFFFF" w:themeColor="background1"/>
                <w:sz w:val="20"/>
                <w:szCs w:val="20"/>
              </w:rPr>
            </w:pPr>
            <w:r w:rsidRPr="00105F87">
              <w:rPr>
                <w:rFonts w:ascii="Arial Narrow" w:hAnsi="Arial Narrow" w:cs="Calibri"/>
                <w:b/>
                <w:bCs/>
                <w:color w:val="FFFFFF" w:themeColor="background1"/>
                <w:sz w:val="20"/>
                <w:szCs w:val="20"/>
              </w:rPr>
              <w:t>SPOLU ZA ROKY</w:t>
            </w:r>
          </w:p>
        </w:tc>
      </w:tr>
      <w:tr w:rsidR="003A0E6D" w:rsidRPr="00C15EA5" w14:paraId="3AA807B3" w14:textId="77777777" w:rsidTr="005958EE">
        <w:trPr>
          <w:trHeight w:val="300"/>
          <w:jc w:val="center"/>
        </w:trPr>
        <w:tc>
          <w:tcPr>
            <w:tcW w:w="2720" w:type="dxa"/>
            <w:shd w:val="clear" w:color="auto" w:fill="auto"/>
            <w:noWrap/>
            <w:vAlign w:val="center"/>
            <w:hideMark/>
          </w:tcPr>
          <w:p w14:paraId="4E79DA95"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 xml:space="preserve">TN, NsP Považská Bystrica </w:t>
            </w:r>
          </w:p>
        </w:tc>
        <w:tc>
          <w:tcPr>
            <w:tcW w:w="1340" w:type="dxa"/>
            <w:shd w:val="clear" w:color="auto" w:fill="auto"/>
            <w:noWrap/>
            <w:hideMark/>
          </w:tcPr>
          <w:p w14:paraId="33C3624B" w14:textId="0FCEECBC"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8 428</w:t>
            </w:r>
          </w:p>
        </w:tc>
        <w:tc>
          <w:tcPr>
            <w:tcW w:w="1340" w:type="dxa"/>
            <w:shd w:val="clear" w:color="auto" w:fill="auto"/>
            <w:noWrap/>
            <w:hideMark/>
          </w:tcPr>
          <w:p w14:paraId="699E9AC1" w14:textId="105CB494"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7 850</w:t>
            </w:r>
          </w:p>
        </w:tc>
        <w:tc>
          <w:tcPr>
            <w:tcW w:w="1340" w:type="dxa"/>
            <w:shd w:val="clear" w:color="auto" w:fill="auto"/>
            <w:noWrap/>
            <w:hideMark/>
          </w:tcPr>
          <w:p w14:paraId="04A3D135" w14:textId="4F8841CB"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7 782</w:t>
            </w:r>
          </w:p>
        </w:tc>
        <w:tc>
          <w:tcPr>
            <w:tcW w:w="1340" w:type="dxa"/>
            <w:shd w:val="clear" w:color="auto" w:fill="auto"/>
            <w:noWrap/>
            <w:hideMark/>
          </w:tcPr>
          <w:p w14:paraId="1B9D91BB" w14:textId="3950F325"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7 118</w:t>
            </w:r>
          </w:p>
        </w:tc>
        <w:tc>
          <w:tcPr>
            <w:tcW w:w="1340" w:type="dxa"/>
            <w:shd w:val="clear" w:color="auto" w:fill="auto"/>
            <w:noWrap/>
            <w:hideMark/>
          </w:tcPr>
          <w:p w14:paraId="06EC849C" w14:textId="718CA995"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31 178</w:t>
            </w:r>
          </w:p>
        </w:tc>
      </w:tr>
      <w:tr w:rsidR="003A0E6D" w:rsidRPr="00C15EA5" w14:paraId="6ADE84FB" w14:textId="77777777" w:rsidTr="005958EE">
        <w:trPr>
          <w:trHeight w:val="300"/>
          <w:jc w:val="center"/>
        </w:trPr>
        <w:tc>
          <w:tcPr>
            <w:tcW w:w="2720" w:type="dxa"/>
            <w:shd w:val="clear" w:color="000000" w:fill="FFFF99"/>
            <w:noWrap/>
            <w:vAlign w:val="center"/>
            <w:hideMark/>
          </w:tcPr>
          <w:p w14:paraId="5B3C2C40"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 xml:space="preserve">ZA, NsP Čadca </w:t>
            </w:r>
          </w:p>
        </w:tc>
        <w:tc>
          <w:tcPr>
            <w:tcW w:w="1340" w:type="dxa"/>
            <w:shd w:val="clear" w:color="000000" w:fill="FFFF99"/>
            <w:noWrap/>
            <w:hideMark/>
          </w:tcPr>
          <w:p w14:paraId="2E7A855E" w14:textId="3C529C7C"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7 047</w:t>
            </w:r>
          </w:p>
        </w:tc>
        <w:tc>
          <w:tcPr>
            <w:tcW w:w="1340" w:type="dxa"/>
            <w:shd w:val="clear" w:color="000000" w:fill="FFFF99"/>
            <w:noWrap/>
            <w:hideMark/>
          </w:tcPr>
          <w:p w14:paraId="2D5B3321" w14:textId="484A157E"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6 721</w:t>
            </w:r>
          </w:p>
        </w:tc>
        <w:tc>
          <w:tcPr>
            <w:tcW w:w="1340" w:type="dxa"/>
            <w:shd w:val="clear" w:color="000000" w:fill="FFFF99"/>
            <w:noWrap/>
            <w:hideMark/>
          </w:tcPr>
          <w:p w14:paraId="1EC53382" w14:textId="5D275172"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7 480</w:t>
            </w:r>
          </w:p>
        </w:tc>
        <w:tc>
          <w:tcPr>
            <w:tcW w:w="1340" w:type="dxa"/>
            <w:shd w:val="clear" w:color="000000" w:fill="FFFF99"/>
            <w:noWrap/>
            <w:hideMark/>
          </w:tcPr>
          <w:p w14:paraId="0E55D6C0" w14:textId="486C77FA"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6 855</w:t>
            </w:r>
          </w:p>
        </w:tc>
        <w:tc>
          <w:tcPr>
            <w:tcW w:w="1340" w:type="dxa"/>
            <w:shd w:val="clear" w:color="000000" w:fill="FFFF99"/>
            <w:noWrap/>
            <w:hideMark/>
          </w:tcPr>
          <w:p w14:paraId="0E1C3308" w14:textId="04438B70"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28 103</w:t>
            </w:r>
          </w:p>
        </w:tc>
      </w:tr>
      <w:tr w:rsidR="003A0E6D" w:rsidRPr="00C15EA5" w14:paraId="51FA6AAE" w14:textId="77777777" w:rsidTr="005958EE">
        <w:trPr>
          <w:trHeight w:val="300"/>
          <w:jc w:val="center"/>
        </w:trPr>
        <w:tc>
          <w:tcPr>
            <w:tcW w:w="2720" w:type="dxa"/>
            <w:shd w:val="clear" w:color="000000" w:fill="FFFF99"/>
            <w:noWrap/>
            <w:vAlign w:val="center"/>
            <w:hideMark/>
          </w:tcPr>
          <w:p w14:paraId="75A09188"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 xml:space="preserve">ZA, FNP Žilina </w:t>
            </w:r>
          </w:p>
        </w:tc>
        <w:tc>
          <w:tcPr>
            <w:tcW w:w="1340" w:type="dxa"/>
            <w:shd w:val="clear" w:color="000000" w:fill="FFFF99"/>
            <w:noWrap/>
            <w:hideMark/>
          </w:tcPr>
          <w:p w14:paraId="2BFC1474" w14:textId="2E490475"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14 075</w:t>
            </w:r>
          </w:p>
        </w:tc>
        <w:tc>
          <w:tcPr>
            <w:tcW w:w="1340" w:type="dxa"/>
            <w:shd w:val="clear" w:color="000000" w:fill="FFFF99"/>
            <w:noWrap/>
            <w:hideMark/>
          </w:tcPr>
          <w:p w14:paraId="00A97E56" w14:textId="423CBBE5"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12 347</w:t>
            </w:r>
          </w:p>
        </w:tc>
        <w:tc>
          <w:tcPr>
            <w:tcW w:w="1340" w:type="dxa"/>
            <w:shd w:val="clear" w:color="000000" w:fill="FFFF99"/>
            <w:noWrap/>
            <w:hideMark/>
          </w:tcPr>
          <w:p w14:paraId="016054B4" w14:textId="2F010D4B"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12 759</w:t>
            </w:r>
          </w:p>
        </w:tc>
        <w:tc>
          <w:tcPr>
            <w:tcW w:w="1340" w:type="dxa"/>
            <w:shd w:val="clear" w:color="000000" w:fill="FFFF99"/>
            <w:noWrap/>
            <w:hideMark/>
          </w:tcPr>
          <w:p w14:paraId="679E3E5A" w14:textId="5667CC90"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12 096</w:t>
            </w:r>
          </w:p>
        </w:tc>
        <w:tc>
          <w:tcPr>
            <w:tcW w:w="1340" w:type="dxa"/>
            <w:shd w:val="clear" w:color="000000" w:fill="FFFF99"/>
            <w:noWrap/>
            <w:hideMark/>
          </w:tcPr>
          <w:p w14:paraId="3CCAFA8B" w14:textId="671F93BE"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51 277</w:t>
            </w:r>
          </w:p>
        </w:tc>
      </w:tr>
      <w:tr w:rsidR="003A0E6D" w:rsidRPr="00C15EA5" w14:paraId="156507B0" w14:textId="77777777" w:rsidTr="005958EE">
        <w:trPr>
          <w:trHeight w:val="300"/>
          <w:jc w:val="center"/>
        </w:trPr>
        <w:tc>
          <w:tcPr>
            <w:tcW w:w="2720" w:type="dxa"/>
            <w:shd w:val="clear" w:color="000000" w:fill="B8CCE4"/>
            <w:noWrap/>
            <w:vAlign w:val="center"/>
            <w:hideMark/>
          </w:tcPr>
          <w:p w14:paraId="0EDB7A4B" w14:textId="433F286F"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ZA, UN</w:t>
            </w:r>
            <w:r w:rsidR="003079F7" w:rsidRPr="00105F87">
              <w:rPr>
                <w:rFonts w:ascii="Arial Narrow" w:hAnsi="Arial Narrow" w:cs="Calibri"/>
                <w:b/>
                <w:bCs/>
                <w:color w:val="000000"/>
                <w:sz w:val="20"/>
                <w:szCs w:val="20"/>
              </w:rPr>
              <w:t>M</w:t>
            </w:r>
            <w:r w:rsidRPr="00105F87">
              <w:rPr>
                <w:rFonts w:ascii="Arial Narrow" w:hAnsi="Arial Narrow" w:cs="Calibri"/>
                <w:b/>
                <w:bCs/>
                <w:color w:val="000000"/>
                <w:sz w:val="20"/>
                <w:szCs w:val="20"/>
              </w:rPr>
              <w:t xml:space="preserve"> Martin </w:t>
            </w:r>
          </w:p>
        </w:tc>
        <w:tc>
          <w:tcPr>
            <w:tcW w:w="1340" w:type="dxa"/>
            <w:shd w:val="clear" w:color="000000" w:fill="B8CCE4"/>
            <w:noWrap/>
            <w:hideMark/>
          </w:tcPr>
          <w:p w14:paraId="14EF4400" w14:textId="4173BB49"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8 516</w:t>
            </w:r>
          </w:p>
        </w:tc>
        <w:tc>
          <w:tcPr>
            <w:tcW w:w="1340" w:type="dxa"/>
            <w:shd w:val="clear" w:color="000000" w:fill="B8CCE4"/>
            <w:noWrap/>
            <w:hideMark/>
          </w:tcPr>
          <w:p w14:paraId="3A1062AE" w14:textId="0FE4C281"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8 438</w:t>
            </w:r>
          </w:p>
        </w:tc>
        <w:tc>
          <w:tcPr>
            <w:tcW w:w="1340" w:type="dxa"/>
            <w:shd w:val="clear" w:color="000000" w:fill="B8CCE4"/>
            <w:noWrap/>
            <w:hideMark/>
          </w:tcPr>
          <w:p w14:paraId="21A68D45" w14:textId="56068051"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8 953</w:t>
            </w:r>
          </w:p>
        </w:tc>
        <w:tc>
          <w:tcPr>
            <w:tcW w:w="1340" w:type="dxa"/>
            <w:shd w:val="clear" w:color="000000" w:fill="B8CCE4"/>
            <w:noWrap/>
            <w:hideMark/>
          </w:tcPr>
          <w:p w14:paraId="0D8664AA" w14:textId="527578C5"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8 353</w:t>
            </w:r>
          </w:p>
        </w:tc>
        <w:tc>
          <w:tcPr>
            <w:tcW w:w="1340" w:type="dxa"/>
            <w:shd w:val="clear" w:color="000000" w:fill="B8CCE4"/>
            <w:noWrap/>
            <w:hideMark/>
          </w:tcPr>
          <w:p w14:paraId="77D08401" w14:textId="7FA6F322"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34 260</w:t>
            </w:r>
          </w:p>
        </w:tc>
      </w:tr>
      <w:tr w:rsidR="003A0E6D" w:rsidRPr="00C15EA5" w14:paraId="679781B4" w14:textId="77777777" w:rsidTr="005958EE">
        <w:trPr>
          <w:trHeight w:val="300"/>
          <w:jc w:val="center"/>
        </w:trPr>
        <w:tc>
          <w:tcPr>
            <w:tcW w:w="2720" w:type="dxa"/>
            <w:shd w:val="clear" w:color="000000" w:fill="E6B8B7"/>
            <w:noWrap/>
            <w:vAlign w:val="center"/>
            <w:hideMark/>
          </w:tcPr>
          <w:p w14:paraId="5FE49F03"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ZA, ÚVN Ružomberok - FN</w:t>
            </w:r>
          </w:p>
        </w:tc>
        <w:tc>
          <w:tcPr>
            <w:tcW w:w="1340" w:type="dxa"/>
            <w:shd w:val="clear" w:color="000000" w:fill="E6B8B7"/>
            <w:noWrap/>
            <w:hideMark/>
          </w:tcPr>
          <w:p w14:paraId="60B51925" w14:textId="42CA49D3"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3 555</w:t>
            </w:r>
          </w:p>
        </w:tc>
        <w:tc>
          <w:tcPr>
            <w:tcW w:w="1340" w:type="dxa"/>
            <w:shd w:val="clear" w:color="000000" w:fill="E6B8B7"/>
            <w:noWrap/>
            <w:hideMark/>
          </w:tcPr>
          <w:p w14:paraId="1E927F3A" w14:textId="657F01D6"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3 799</w:t>
            </w:r>
          </w:p>
        </w:tc>
        <w:tc>
          <w:tcPr>
            <w:tcW w:w="1340" w:type="dxa"/>
            <w:shd w:val="clear" w:color="000000" w:fill="E6B8B7"/>
            <w:noWrap/>
            <w:hideMark/>
          </w:tcPr>
          <w:p w14:paraId="7527A54A" w14:textId="547654F2"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3 946</w:t>
            </w:r>
          </w:p>
        </w:tc>
        <w:tc>
          <w:tcPr>
            <w:tcW w:w="1340" w:type="dxa"/>
            <w:shd w:val="clear" w:color="000000" w:fill="E6B8B7"/>
            <w:noWrap/>
            <w:hideMark/>
          </w:tcPr>
          <w:p w14:paraId="0CFD0431" w14:textId="5AA59876"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3 495</w:t>
            </w:r>
          </w:p>
        </w:tc>
        <w:tc>
          <w:tcPr>
            <w:tcW w:w="1340" w:type="dxa"/>
            <w:shd w:val="clear" w:color="000000" w:fill="E6B8B7"/>
            <w:noWrap/>
            <w:hideMark/>
          </w:tcPr>
          <w:p w14:paraId="61968C76" w14:textId="1DD6CAD3"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14 795</w:t>
            </w:r>
          </w:p>
        </w:tc>
      </w:tr>
      <w:tr w:rsidR="003A0E6D" w:rsidRPr="00C15EA5" w14:paraId="61A1B47E" w14:textId="77777777" w:rsidTr="005958EE">
        <w:trPr>
          <w:trHeight w:val="300"/>
          <w:jc w:val="center"/>
        </w:trPr>
        <w:tc>
          <w:tcPr>
            <w:tcW w:w="2720" w:type="dxa"/>
            <w:shd w:val="clear" w:color="000000" w:fill="E6B8B7"/>
            <w:noWrap/>
            <w:vAlign w:val="center"/>
            <w:hideMark/>
          </w:tcPr>
          <w:p w14:paraId="3A57B361"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 xml:space="preserve">ZA, NsP Trstená </w:t>
            </w:r>
          </w:p>
        </w:tc>
        <w:tc>
          <w:tcPr>
            <w:tcW w:w="1340" w:type="dxa"/>
            <w:shd w:val="clear" w:color="000000" w:fill="E6B8B7"/>
            <w:noWrap/>
            <w:hideMark/>
          </w:tcPr>
          <w:p w14:paraId="518953AC" w14:textId="542FBFF7"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3 270</w:t>
            </w:r>
          </w:p>
        </w:tc>
        <w:tc>
          <w:tcPr>
            <w:tcW w:w="1340" w:type="dxa"/>
            <w:shd w:val="clear" w:color="000000" w:fill="E6B8B7"/>
            <w:noWrap/>
            <w:hideMark/>
          </w:tcPr>
          <w:p w14:paraId="1C5BD99C" w14:textId="46E4533A"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3 003</w:t>
            </w:r>
          </w:p>
        </w:tc>
        <w:tc>
          <w:tcPr>
            <w:tcW w:w="1340" w:type="dxa"/>
            <w:shd w:val="clear" w:color="000000" w:fill="E6B8B7"/>
            <w:noWrap/>
            <w:hideMark/>
          </w:tcPr>
          <w:p w14:paraId="0AB7ED46" w14:textId="4059B282"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3 030</w:t>
            </w:r>
          </w:p>
        </w:tc>
        <w:tc>
          <w:tcPr>
            <w:tcW w:w="1340" w:type="dxa"/>
            <w:shd w:val="clear" w:color="000000" w:fill="E6B8B7"/>
            <w:noWrap/>
            <w:hideMark/>
          </w:tcPr>
          <w:p w14:paraId="4D16415D" w14:textId="4C220848"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2 725</w:t>
            </w:r>
          </w:p>
        </w:tc>
        <w:tc>
          <w:tcPr>
            <w:tcW w:w="1340" w:type="dxa"/>
            <w:shd w:val="clear" w:color="000000" w:fill="E6B8B7"/>
            <w:noWrap/>
            <w:hideMark/>
          </w:tcPr>
          <w:p w14:paraId="69D669B2" w14:textId="50A490F1"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12 028</w:t>
            </w:r>
          </w:p>
        </w:tc>
      </w:tr>
      <w:tr w:rsidR="003A0E6D" w:rsidRPr="00C15EA5" w14:paraId="473F86A7" w14:textId="77777777" w:rsidTr="005958EE">
        <w:trPr>
          <w:trHeight w:val="300"/>
          <w:jc w:val="center"/>
        </w:trPr>
        <w:tc>
          <w:tcPr>
            <w:tcW w:w="2720" w:type="dxa"/>
            <w:shd w:val="clear" w:color="000000" w:fill="E6B8B7"/>
            <w:noWrap/>
            <w:vAlign w:val="center"/>
            <w:hideMark/>
          </w:tcPr>
          <w:p w14:paraId="13963605"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ZA, NsP Dolný Kubín</w:t>
            </w:r>
          </w:p>
        </w:tc>
        <w:tc>
          <w:tcPr>
            <w:tcW w:w="1340" w:type="dxa"/>
            <w:shd w:val="clear" w:color="000000" w:fill="E6B8B7"/>
            <w:noWrap/>
            <w:hideMark/>
          </w:tcPr>
          <w:p w14:paraId="04A3150B" w14:textId="54593EC6"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3 534</w:t>
            </w:r>
          </w:p>
        </w:tc>
        <w:tc>
          <w:tcPr>
            <w:tcW w:w="1340" w:type="dxa"/>
            <w:shd w:val="clear" w:color="000000" w:fill="E6B8B7"/>
            <w:noWrap/>
            <w:hideMark/>
          </w:tcPr>
          <w:p w14:paraId="7F6AF573" w14:textId="7ECA07DE"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3 239</w:t>
            </w:r>
          </w:p>
        </w:tc>
        <w:tc>
          <w:tcPr>
            <w:tcW w:w="1340" w:type="dxa"/>
            <w:shd w:val="clear" w:color="000000" w:fill="E6B8B7"/>
            <w:noWrap/>
            <w:hideMark/>
          </w:tcPr>
          <w:p w14:paraId="45572E4B" w14:textId="279CDCF7"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3 502</w:t>
            </w:r>
          </w:p>
        </w:tc>
        <w:tc>
          <w:tcPr>
            <w:tcW w:w="1340" w:type="dxa"/>
            <w:shd w:val="clear" w:color="000000" w:fill="E6B8B7"/>
            <w:noWrap/>
            <w:hideMark/>
          </w:tcPr>
          <w:p w14:paraId="3C97D447" w14:textId="47D5B963"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3 285</w:t>
            </w:r>
          </w:p>
        </w:tc>
        <w:tc>
          <w:tcPr>
            <w:tcW w:w="1340" w:type="dxa"/>
            <w:shd w:val="clear" w:color="000000" w:fill="E6B8B7"/>
            <w:noWrap/>
            <w:hideMark/>
          </w:tcPr>
          <w:p w14:paraId="27B78A40" w14:textId="6D35D3A5"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13 560</w:t>
            </w:r>
          </w:p>
        </w:tc>
      </w:tr>
      <w:tr w:rsidR="003A0E6D" w:rsidRPr="00C15EA5" w14:paraId="65820D6D" w14:textId="77777777" w:rsidTr="005958EE">
        <w:trPr>
          <w:trHeight w:val="300"/>
          <w:jc w:val="center"/>
        </w:trPr>
        <w:tc>
          <w:tcPr>
            <w:tcW w:w="2720" w:type="dxa"/>
            <w:shd w:val="clear" w:color="000000" w:fill="C4D79B"/>
            <w:noWrap/>
            <w:vAlign w:val="center"/>
            <w:hideMark/>
          </w:tcPr>
          <w:p w14:paraId="6B1D807E" w14:textId="77777777" w:rsidR="003A0E6D" w:rsidRPr="00105F87" w:rsidRDefault="003A0E6D" w:rsidP="002968D3">
            <w:pPr>
              <w:spacing w:line="240" w:lineRule="auto"/>
              <w:jc w:val="left"/>
              <w:rPr>
                <w:rFonts w:ascii="Arial Narrow" w:hAnsi="Arial Narrow" w:cs="Calibri"/>
                <w:b/>
                <w:bCs/>
                <w:color w:val="000000"/>
                <w:sz w:val="20"/>
                <w:szCs w:val="20"/>
              </w:rPr>
            </w:pPr>
            <w:r w:rsidRPr="00105F87">
              <w:rPr>
                <w:rFonts w:ascii="Arial Narrow" w:hAnsi="Arial Narrow" w:cs="Calibri"/>
                <w:b/>
                <w:bCs/>
                <w:color w:val="000000"/>
                <w:sz w:val="20"/>
                <w:szCs w:val="20"/>
              </w:rPr>
              <w:t xml:space="preserve">ZA, NsP Liptovský Mikuláš </w:t>
            </w:r>
          </w:p>
        </w:tc>
        <w:tc>
          <w:tcPr>
            <w:tcW w:w="1340" w:type="dxa"/>
            <w:shd w:val="clear" w:color="000000" w:fill="C4D79B"/>
            <w:noWrap/>
            <w:hideMark/>
          </w:tcPr>
          <w:p w14:paraId="65D75B15" w14:textId="45054220"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5 701</w:t>
            </w:r>
          </w:p>
        </w:tc>
        <w:tc>
          <w:tcPr>
            <w:tcW w:w="1340" w:type="dxa"/>
            <w:shd w:val="clear" w:color="000000" w:fill="C4D79B"/>
            <w:noWrap/>
            <w:hideMark/>
          </w:tcPr>
          <w:p w14:paraId="11CE1178" w14:textId="75C68FBA"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5 439</w:t>
            </w:r>
          </w:p>
        </w:tc>
        <w:tc>
          <w:tcPr>
            <w:tcW w:w="1340" w:type="dxa"/>
            <w:shd w:val="clear" w:color="000000" w:fill="C4D79B"/>
            <w:noWrap/>
            <w:hideMark/>
          </w:tcPr>
          <w:p w14:paraId="2980DE18" w14:textId="5D84C50F"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5 662</w:t>
            </w:r>
          </w:p>
        </w:tc>
        <w:tc>
          <w:tcPr>
            <w:tcW w:w="1340" w:type="dxa"/>
            <w:shd w:val="clear" w:color="000000" w:fill="C4D79B"/>
            <w:noWrap/>
            <w:hideMark/>
          </w:tcPr>
          <w:p w14:paraId="4FD50CB8" w14:textId="4988BF45" w:rsidR="003A0E6D" w:rsidRPr="00105F87" w:rsidRDefault="003A0E6D" w:rsidP="003079F7">
            <w:pPr>
              <w:spacing w:line="240" w:lineRule="auto"/>
              <w:jc w:val="center"/>
              <w:rPr>
                <w:rFonts w:ascii="Arial Narrow" w:hAnsi="Arial Narrow" w:cs="Calibri"/>
                <w:color w:val="000000"/>
                <w:sz w:val="20"/>
                <w:szCs w:val="20"/>
              </w:rPr>
            </w:pPr>
            <w:r w:rsidRPr="00105F87">
              <w:rPr>
                <w:rFonts w:ascii="Arial Narrow" w:hAnsi="Arial Narrow" w:cs="Calibri"/>
                <w:color w:val="000000"/>
                <w:sz w:val="20"/>
                <w:szCs w:val="20"/>
              </w:rPr>
              <w:t>5 494</w:t>
            </w:r>
          </w:p>
        </w:tc>
        <w:tc>
          <w:tcPr>
            <w:tcW w:w="1340" w:type="dxa"/>
            <w:shd w:val="clear" w:color="000000" w:fill="C4D79B"/>
            <w:noWrap/>
            <w:hideMark/>
          </w:tcPr>
          <w:p w14:paraId="3B55CC0E" w14:textId="1E1E8659" w:rsidR="003A0E6D" w:rsidRPr="00105F87" w:rsidRDefault="003A0E6D" w:rsidP="003079F7">
            <w:pPr>
              <w:spacing w:line="240" w:lineRule="auto"/>
              <w:jc w:val="center"/>
              <w:rPr>
                <w:rFonts w:ascii="Arial Narrow" w:hAnsi="Arial Narrow" w:cs="Calibri"/>
                <w:b/>
                <w:bCs/>
                <w:color w:val="000000"/>
                <w:sz w:val="20"/>
                <w:szCs w:val="20"/>
              </w:rPr>
            </w:pPr>
            <w:r w:rsidRPr="00105F87">
              <w:rPr>
                <w:rFonts w:ascii="Arial Narrow" w:hAnsi="Arial Narrow" w:cs="Calibri"/>
                <w:b/>
                <w:bCs/>
                <w:color w:val="000000"/>
                <w:sz w:val="20"/>
                <w:szCs w:val="20"/>
              </w:rPr>
              <w:t>22 296</w:t>
            </w:r>
          </w:p>
        </w:tc>
      </w:tr>
    </w:tbl>
    <w:p w14:paraId="3449F825" w14:textId="442DBD72" w:rsidR="003A0E6D" w:rsidRPr="002968D3" w:rsidRDefault="003A0E6D" w:rsidP="003A0E6D">
      <w:pPr>
        <w:spacing w:line="240" w:lineRule="auto"/>
        <w:rPr>
          <w:rFonts w:ascii="Century Gothic" w:hAnsi="Century Gothic"/>
          <w:i/>
          <w:sz w:val="18"/>
          <w:szCs w:val="18"/>
        </w:rPr>
      </w:pPr>
      <w:r w:rsidRPr="002968D3">
        <w:rPr>
          <w:rFonts w:ascii="Century Gothic" w:hAnsi="Century Gothic"/>
          <w:i/>
          <w:sz w:val="18"/>
          <w:szCs w:val="18"/>
        </w:rPr>
        <w:t xml:space="preserve">Zdroj: OS ZZS SR, k 30.11.2022, </w:t>
      </w:r>
      <w:r w:rsidR="0039692B">
        <w:rPr>
          <w:rFonts w:ascii="Century Gothic" w:hAnsi="Century Gothic"/>
          <w:i/>
          <w:sz w:val="18"/>
          <w:szCs w:val="18"/>
        </w:rPr>
        <w:t>vlastné spracovanie</w:t>
      </w:r>
    </w:p>
    <w:p w14:paraId="14C16A2D" w14:textId="77777777" w:rsidR="003A0E6D" w:rsidRDefault="003A0E6D" w:rsidP="003A0E6D">
      <w:pPr>
        <w:spacing w:line="240" w:lineRule="auto"/>
        <w:rPr>
          <w:rFonts w:ascii="Century Gothic" w:hAnsi="Century Gothic"/>
        </w:rPr>
      </w:pPr>
    </w:p>
    <w:p w14:paraId="5B1305CE" w14:textId="6ACD1875" w:rsidR="003A0E6D" w:rsidRPr="002968D3" w:rsidRDefault="003A0E6D" w:rsidP="003A0E6D">
      <w:pPr>
        <w:spacing w:line="240" w:lineRule="auto"/>
        <w:rPr>
          <w:rFonts w:ascii="Century Gothic" w:hAnsi="Century Gothic"/>
          <w:sz w:val="22"/>
          <w:szCs w:val="22"/>
        </w:rPr>
      </w:pPr>
      <w:r w:rsidRPr="002968D3">
        <w:rPr>
          <w:rFonts w:ascii="Century Gothic" w:hAnsi="Century Gothic"/>
          <w:sz w:val="22"/>
          <w:szCs w:val="22"/>
        </w:rPr>
        <w:t>Ak premietneme počet výjazdov na počet obyvateľov, tak je zrejmé, že niet zásadných rozdielov v zvoze pacientov do jednotlivých nemocníc, z titulu skladby ich oddelení a UN</w:t>
      </w:r>
      <w:r w:rsidR="00312A43">
        <w:rPr>
          <w:rFonts w:ascii="Century Gothic" w:hAnsi="Century Gothic"/>
          <w:sz w:val="22"/>
          <w:szCs w:val="22"/>
        </w:rPr>
        <w:t>M</w:t>
      </w:r>
      <w:r w:rsidRPr="002968D3">
        <w:rPr>
          <w:rFonts w:ascii="Century Gothic" w:hAnsi="Century Gothic"/>
          <w:sz w:val="22"/>
          <w:szCs w:val="22"/>
        </w:rPr>
        <w:t xml:space="preserve"> Martin reálne na seba viaže akútnu zdravotnú starostlivosť najmä geograficky a nie odborne.</w:t>
      </w:r>
      <w:r w:rsidR="002031AE">
        <w:rPr>
          <w:rFonts w:ascii="Century Gothic" w:hAnsi="Century Gothic"/>
          <w:sz w:val="22"/>
          <w:szCs w:val="22"/>
        </w:rPr>
        <w:t xml:space="preserve"> Zároveň v </w:t>
      </w:r>
      <w:proofErr w:type="spellStart"/>
      <w:r w:rsidR="002031AE">
        <w:rPr>
          <w:rFonts w:ascii="Century Gothic" w:hAnsi="Century Gothic"/>
          <w:sz w:val="22"/>
          <w:szCs w:val="22"/>
        </w:rPr>
        <w:t>clustri</w:t>
      </w:r>
      <w:proofErr w:type="spellEnd"/>
      <w:r w:rsidR="002031AE">
        <w:rPr>
          <w:rFonts w:ascii="Century Gothic" w:hAnsi="Century Gothic"/>
          <w:sz w:val="22"/>
          <w:szCs w:val="22"/>
        </w:rPr>
        <w:t xml:space="preserve"> Turiec a </w:t>
      </w:r>
      <w:proofErr w:type="spellStart"/>
      <w:r w:rsidR="002031AE">
        <w:rPr>
          <w:rFonts w:ascii="Century Gothic" w:hAnsi="Century Gothic"/>
          <w:sz w:val="22"/>
          <w:szCs w:val="22"/>
        </w:rPr>
        <w:t>clustri</w:t>
      </w:r>
      <w:proofErr w:type="spellEnd"/>
      <w:r w:rsidR="002031AE">
        <w:rPr>
          <w:rFonts w:ascii="Century Gothic" w:hAnsi="Century Gothic"/>
          <w:sz w:val="22"/>
          <w:szCs w:val="22"/>
        </w:rPr>
        <w:t xml:space="preserve"> Liptov</w:t>
      </w:r>
      <w:r w:rsidR="00312A43">
        <w:rPr>
          <w:rFonts w:ascii="Century Gothic" w:hAnsi="Century Gothic"/>
          <w:sz w:val="22"/>
          <w:szCs w:val="22"/>
        </w:rPr>
        <w:t xml:space="preserve"> </w:t>
      </w:r>
      <w:r w:rsidR="002031AE">
        <w:rPr>
          <w:rFonts w:ascii="Century Gothic" w:hAnsi="Century Gothic"/>
          <w:sz w:val="22"/>
          <w:szCs w:val="22"/>
        </w:rPr>
        <w:t>je ZZS výrazne vyťaženejšia ako v </w:t>
      </w:r>
      <w:proofErr w:type="spellStart"/>
      <w:r w:rsidR="002031AE">
        <w:rPr>
          <w:rFonts w:ascii="Century Gothic" w:hAnsi="Century Gothic"/>
          <w:sz w:val="22"/>
          <w:szCs w:val="22"/>
        </w:rPr>
        <w:t>clustri</w:t>
      </w:r>
      <w:proofErr w:type="spellEnd"/>
      <w:r w:rsidR="002031AE">
        <w:rPr>
          <w:rFonts w:ascii="Century Gothic" w:hAnsi="Century Gothic"/>
          <w:sz w:val="22"/>
          <w:szCs w:val="22"/>
        </w:rPr>
        <w:t xml:space="preserve"> Považ</w:t>
      </w:r>
      <w:r w:rsidR="00312A43">
        <w:rPr>
          <w:rFonts w:ascii="Century Gothic" w:hAnsi="Century Gothic"/>
          <w:sz w:val="22"/>
          <w:szCs w:val="22"/>
        </w:rPr>
        <w:t>i</w:t>
      </w:r>
      <w:r w:rsidR="002031AE">
        <w:rPr>
          <w:rFonts w:ascii="Century Gothic" w:hAnsi="Century Gothic"/>
          <w:sz w:val="22"/>
          <w:szCs w:val="22"/>
        </w:rPr>
        <w:t xml:space="preserve">e a Kysuce. Najmenej </w:t>
      </w:r>
      <w:r w:rsidR="00312A43">
        <w:rPr>
          <w:rFonts w:ascii="Century Gothic" w:hAnsi="Century Gothic"/>
          <w:sz w:val="22"/>
          <w:szCs w:val="22"/>
        </w:rPr>
        <w:t>„si sanitku volajú“ obyvatelia O</w:t>
      </w:r>
      <w:r w:rsidR="002031AE">
        <w:rPr>
          <w:rFonts w:ascii="Century Gothic" w:hAnsi="Century Gothic"/>
          <w:sz w:val="22"/>
          <w:szCs w:val="22"/>
        </w:rPr>
        <w:t xml:space="preserve">ravy. </w:t>
      </w:r>
      <w:r w:rsidRPr="002968D3">
        <w:rPr>
          <w:rFonts w:ascii="Century Gothic" w:hAnsi="Century Gothic"/>
          <w:sz w:val="22"/>
          <w:szCs w:val="22"/>
        </w:rPr>
        <w:t xml:space="preserve"> Z pohľadu </w:t>
      </w:r>
      <w:proofErr w:type="spellStart"/>
      <w:r w:rsidRPr="002968D3">
        <w:rPr>
          <w:rFonts w:ascii="Century Gothic" w:hAnsi="Century Gothic"/>
          <w:sz w:val="22"/>
          <w:szCs w:val="22"/>
        </w:rPr>
        <w:t>FNsP</w:t>
      </w:r>
      <w:proofErr w:type="spellEnd"/>
      <w:r w:rsidRPr="002968D3">
        <w:rPr>
          <w:rFonts w:ascii="Century Gothic" w:hAnsi="Century Gothic"/>
          <w:sz w:val="22"/>
          <w:szCs w:val="22"/>
        </w:rPr>
        <w:t xml:space="preserve"> Žilina ide zároveň o pokrytie troch okresov a z toho rezultuje aj jej zaťaženie uvedené vyššie. Zároveň tieto počty naznačujú vývoj do budúcnosti v prípade redukcií medicínskych služieb pre nemocnice nižších typov I.+II. (najmä nemocnice ŽSK) a potrebu ponechania minimálne troch nemocníc vyššieho typu III. resp. IV. Z hľadiska týchto parametrov ja najmenej zaťaženou UN</w:t>
      </w:r>
      <w:r w:rsidR="00312A43">
        <w:rPr>
          <w:rFonts w:ascii="Century Gothic" w:hAnsi="Century Gothic"/>
          <w:sz w:val="22"/>
          <w:szCs w:val="22"/>
        </w:rPr>
        <w:t>M</w:t>
      </w:r>
      <w:r w:rsidRPr="002968D3">
        <w:rPr>
          <w:rFonts w:ascii="Century Gothic" w:hAnsi="Century Gothic"/>
          <w:sz w:val="22"/>
          <w:szCs w:val="22"/>
        </w:rPr>
        <w:t xml:space="preserve"> Martin a ak to pravdepodobne aj zostane. ÚVN v Ružomberku má naopak </w:t>
      </w:r>
      <w:r w:rsidR="00312A43">
        <w:rPr>
          <w:rFonts w:ascii="Century Gothic" w:hAnsi="Century Gothic"/>
          <w:sz w:val="22"/>
          <w:szCs w:val="22"/>
        </w:rPr>
        <w:t>kapacitu prevziať aj pacientov z</w:t>
      </w:r>
      <w:r w:rsidRPr="002968D3">
        <w:rPr>
          <w:rFonts w:ascii="Century Gothic" w:hAnsi="Century Gothic"/>
          <w:sz w:val="22"/>
          <w:szCs w:val="22"/>
        </w:rPr>
        <w:t> NsP Liptovský Mikuláš.</w:t>
      </w:r>
    </w:p>
    <w:p w14:paraId="03D2984A" w14:textId="77777777" w:rsidR="003A0E6D" w:rsidRDefault="003A0E6D" w:rsidP="003A0E6D">
      <w:pPr>
        <w:spacing w:line="240" w:lineRule="auto"/>
        <w:rPr>
          <w:rFonts w:ascii="Century Gothic" w:hAnsi="Century Gothic"/>
        </w:rPr>
      </w:pPr>
    </w:p>
    <w:p w14:paraId="253E89E7" w14:textId="11BA8C12" w:rsidR="0039692B" w:rsidRPr="002968D3" w:rsidRDefault="0039692B" w:rsidP="0039692B">
      <w:pPr>
        <w:keepNext/>
        <w:spacing w:line="240" w:lineRule="auto"/>
        <w:rPr>
          <w:rFonts w:ascii="Century Gothic" w:hAnsi="Century Gothic" w:cs="Arial"/>
          <w:i/>
          <w:sz w:val="20"/>
          <w:szCs w:val="20"/>
        </w:rPr>
      </w:pPr>
      <w:bookmarkStart w:id="57" w:name="_Toc145219912"/>
      <w:r w:rsidRPr="0039692B">
        <w:rPr>
          <w:rFonts w:ascii="Century Gothic" w:hAnsi="Century Gothic" w:cs="Arial"/>
          <w:i/>
          <w:sz w:val="20"/>
          <w:szCs w:val="20"/>
        </w:rPr>
        <w:t xml:space="preserve">Tabuľka </w:t>
      </w:r>
      <w:r w:rsidRPr="0039692B">
        <w:rPr>
          <w:rFonts w:ascii="Century Gothic" w:hAnsi="Century Gothic" w:cs="Arial"/>
          <w:i/>
          <w:sz w:val="20"/>
          <w:szCs w:val="20"/>
        </w:rPr>
        <w:fldChar w:fldCharType="begin"/>
      </w:r>
      <w:r w:rsidRPr="0039692B">
        <w:rPr>
          <w:rFonts w:ascii="Century Gothic" w:hAnsi="Century Gothic" w:cs="Arial"/>
          <w:i/>
          <w:sz w:val="20"/>
          <w:szCs w:val="20"/>
        </w:rPr>
        <w:instrText xml:space="preserve"> SEQ Tabuľka \* ARABIC </w:instrText>
      </w:r>
      <w:r w:rsidRPr="0039692B">
        <w:rPr>
          <w:rFonts w:ascii="Century Gothic" w:hAnsi="Century Gothic" w:cs="Arial"/>
          <w:i/>
          <w:sz w:val="20"/>
          <w:szCs w:val="20"/>
        </w:rPr>
        <w:fldChar w:fldCharType="separate"/>
      </w:r>
      <w:r w:rsidR="007D6A44">
        <w:rPr>
          <w:rFonts w:ascii="Century Gothic" w:hAnsi="Century Gothic" w:cs="Arial"/>
          <w:i/>
          <w:noProof/>
          <w:sz w:val="20"/>
          <w:szCs w:val="20"/>
        </w:rPr>
        <w:t>11</w:t>
      </w:r>
      <w:r w:rsidRPr="0039692B">
        <w:rPr>
          <w:rFonts w:ascii="Century Gothic" w:hAnsi="Century Gothic" w:cs="Arial"/>
          <w:i/>
          <w:sz w:val="20"/>
          <w:szCs w:val="20"/>
        </w:rPr>
        <w:fldChar w:fldCharType="end"/>
      </w:r>
      <w:r w:rsidRPr="0039692B">
        <w:rPr>
          <w:rFonts w:ascii="Century Gothic" w:hAnsi="Century Gothic" w:cs="Arial"/>
          <w:i/>
          <w:sz w:val="20"/>
          <w:szCs w:val="20"/>
        </w:rPr>
        <w:t xml:space="preserve"> </w:t>
      </w:r>
      <w:r w:rsidRPr="002968D3">
        <w:rPr>
          <w:rFonts w:ascii="Century Gothic" w:hAnsi="Century Gothic" w:cs="Arial"/>
          <w:i/>
          <w:sz w:val="20"/>
          <w:szCs w:val="20"/>
        </w:rPr>
        <w:t xml:space="preserve">Priemerný počet primárnych zásahov posádok ZZS (2019-2022), ktoré skončili prevozom do vybraných ÚZZ na počet obyvateľov jednotlivých </w:t>
      </w:r>
      <w:proofErr w:type="spellStart"/>
      <w:r w:rsidRPr="002968D3">
        <w:rPr>
          <w:rFonts w:ascii="Century Gothic" w:hAnsi="Century Gothic" w:cs="Arial"/>
          <w:i/>
          <w:sz w:val="20"/>
          <w:szCs w:val="20"/>
        </w:rPr>
        <w:t>clustrov</w:t>
      </w:r>
      <w:proofErr w:type="spellEnd"/>
      <w:r w:rsidRPr="002968D3">
        <w:rPr>
          <w:rFonts w:ascii="Century Gothic" w:hAnsi="Century Gothic" w:cs="Arial"/>
          <w:i/>
          <w:sz w:val="20"/>
          <w:szCs w:val="20"/>
        </w:rPr>
        <w:t xml:space="preserve"> ŽSK</w:t>
      </w:r>
      <w:bookmarkEnd w:id="57"/>
    </w:p>
    <w:tbl>
      <w:tblPr>
        <w:tblW w:w="7700" w:type="dxa"/>
        <w:jc w:val="center"/>
        <w:tblCellMar>
          <w:left w:w="70" w:type="dxa"/>
          <w:right w:w="70" w:type="dxa"/>
        </w:tblCellMar>
        <w:tblLook w:val="04A0" w:firstRow="1" w:lastRow="0" w:firstColumn="1" w:lastColumn="0" w:noHBand="0" w:noVBand="1"/>
      </w:tblPr>
      <w:tblGrid>
        <w:gridCol w:w="960"/>
        <w:gridCol w:w="2720"/>
        <w:gridCol w:w="1340"/>
        <w:gridCol w:w="1340"/>
        <w:gridCol w:w="1340"/>
      </w:tblGrid>
      <w:tr w:rsidR="007B16E4" w:rsidRPr="007B16E4" w14:paraId="1CB79D5A" w14:textId="77777777" w:rsidTr="00105F87">
        <w:trPr>
          <w:trHeight w:val="791"/>
          <w:jc w:val="center"/>
        </w:trPr>
        <w:tc>
          <w:tcPr>
            <w:tcW w:w="960" w:type="dxa"/>
            <w:shd w:val="clear" w:color="auto" w:fill="595959" w:themeFill="text1" w:themeFillTint="A6"/>
            <w:vAlign w:val="center"/>
            <w:hideMark/>
          </w:tcPr>
          <w:p w14:paraId="41E52DED" w14:textId="77777777" w:rsidR="002031AE" w:rsidRPr="007B16E4" w:rsidRDefault="002031AE" w:rsidP="002031AE">
            <w:pPr>
              <w:spacing w:line="240" w:lineRule="auto"/>
              <w:jc w:val="center"/>
              <w:rPr>
                <w:rFonts w:ascii="Arial Narrow" w:hAnsi="Arial Narrow" w:cs="Calibri"/>
                <w:b/>
                <w:bCs/>
                <w:color w:val="FFFFFF" w:themeColor="background1"/>
                <w:sz w:val="20"/>
                <w:szCs w:val="20"/>
              </w:rPr>
            </w:pPr>
            <w:proofErr w:type="spellStart"/>
            <w:r w:rsidRPr="007B16E4">
              <w:rPr>
                <w:rFonts w:ascii="Arial Narrow" w:hAnsi="Arial Narrow" w:cs="Calibri"/>
                <w:b/>
                <w:bCs/>
                <w:color w:val="FFFFFF" w:themeColor="background1"/>
                <w:sz w:val="20"/>
                <w:szCs w:val="20"/>
              </w:rPr>
              <w:t>cluster</w:t>
            </w:r>
            <w:proofErr w:type="spellEnd"/>
          </w:p>
        </w:tc>
        <w:tc>
          <w:tcPr>
            <w:tcW w:w="2720" w:type="dxa"/>
            <w:shd w:val="clear" w:color="auto" w:fill="595959" w:themeFill="text1" w:themeFillTint="A6"/>
            <w:vAlign w:val="center"/>
            <w:hideMark/>
          </w:tcPr>
          <w:p w14:paraId="101FA63B" w14:textId="77777777" w:rsidR="002031AE" w:rsidRPr="007B16E4" w:rsidRDefault="002031AE" w:rsidP="002031AE">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KRAJ, NÁZOV ÚZZ</w:t>
            </w:r>
          </w:p>
        </w:tc>
        <w:tc>
          <w:tcPr>
            <w:tcW w:w="1340" w:type="dxa"/>
            <w:shd w:val="clear" w:color="auto" w:fill="595959" w:themeFill="text1" w:themeFillTint="A6"/>
            <w:vAlign w:val="center"/>
            <w:hideMark/>
          </w:tcPr>
          <w:p w14:paraId="2938E3B3" w14:textId="77777777" w:rsidR="002031AE" w:rsidRPr="007B16E4" w:rsidRDefault="002031AE" w:rsidP="002031AE">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priemerne ročne</w:t>
            </w:r>
          </w:p>
        </w:tc>
        <w:tc>
          <w:tcPr>
            <w:tcW w:w="1340" w:type="dxa"/>
            <w:shd w:val="clear" w:color="auto" w:fill="595959" w:themeFill="text1" w:themeFillTint="A6"/>
            <w:vAlign w:val="center"/>
            <w:hideMark/>
          </w:tcPr>
          <w:p w14:paraId="068421B3" w14:textId="77777777" w:rsidR="002031AE" w:rsidRPr="007B16E4" w:rsidRDefault="002031AE" w:rsidP="002031AE">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 xml:space="preserve">ročne na </w:t>
            </w:r>
            <w:proofErr w:type="spellStart"/>
            <w:r w:rsidRPr="007B16E4">
              <w:rPr>
                <w:rFonts w:ascii="Arial Narrow" w:hAnsi="Arial Narrow" w:cs="Calibri"/>
                <w:b/>
                <w:bCs/>
                <w:color w:val="FFFFFF" w:themeColor="background1"/>
                <w:sz w:val="20"/>
                <w:szCs w:val="20"/>
              </w:rPr>
              <w:t>cluster</w:t>
            </w:r>
            <w:proofErr w:type="spellEnd"/>
          </w:p>
        </w:tc>
        <w:tc>
          <w:tcPr>
            <w:tcW w:w="1340" w:type="dxa"/>
            <w:shd w:val="clear" w:color="auto" w:fill="595959" w:themeFill="text1" w:themeFillTint="A6"/>
            <w:vAlign w:val="center"/>
            <w:hideMark/>
          </w:tcPr>
          <w:p w14:paraId="160D7113" w14:textId="77777777" w:rsidR="002031AE" w:rsidRPr="007B16E4" w:rsidRDefault="002031AE" w:rsidP="002031AE">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 xml:space="preserve"> výjazdov na 1000 obyvateľov</w:t>
            </w:r>
          </w:p>
        </w:tc>
      </w:tr>
      <w:tr w:rsidR="002031AE" w:rsidRPr="002031AE" w14:paraId="1D109AE8" w14:textId="77777777" w:rsidTr="005958EE">
        <w:trPr>
          <w:trHeight w:val="300"/>
          <w:jc w:val="center"/>
        </w:trPr>
        <w:tc>
          <w:tcPr>
            <w:tcW w:w="960" w:type="dxa"/>
            <w:vMerge w:val="restart"/>
            <w:shd w:val="clear" w:color="000000" w:fill="FFFF99"/>
            <w:vAlign w:val="center"/>
            <w:hideMark/>
          </w:tcPr>
          <w:p w14:paraId="4B1C490E" w14:textId="77777777" w:rsidR="002031AE" w:rsidRPr="003079F7" w:rsidRDefault="002031AE" w:rsidP="002031AE">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Považie + Kysuce</w:t>
            </w:r>
          </w:p>
        </w:tc>
        <w:tc>
          <w:tcPr>
            <w:tcW w:w="2720" w:type="dxa"/>
            <w:shd w:val="clear" w:color="000000" w:fill="FFFF99"/>
            <w:noWrap/>
            <w:vAlign w:val="center"/>
            <w:hideMark/>
          </w:tcPr>
          <w:p w14:paraId="172B833E" w14:textId="77777777"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Čadca </w:t>
            </w:r>
          </w:p>
        </w:tc>
        <w:tc>
          <w:tcPr>
            <w:tcW w:w="1340" w:type="dxa"/>
            <w:shd w:val="clear" w:color="000000" w:fill="FFFF99"/>
            <w:noWrap/>
            <w:vAlign w:val="bottom"/>
            <w:hideMark/>
          </w:tcPr>
          <w:p w14:paraId="7B569D3D"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7025,75</w:t>
            </w:r>
          </w:p>
        </w:tc>
        <w:tc>
          <w:tcPr>
            <w:tcW w:w="1340" w:type="dxa"/>
            <w:vMerge w:val="restart"/>
            <w:shd w:val="clear" w:color="000000" w:fill="FFFF99"/>
            <w:noWrap/>
            <w:vAlign w:val="center"/>
            <w:hideMark/>
          </w:tcPr>
          <w:p w14:paraId="44DB2472"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19845</w:t>
            </w:r>
          </w:p>
        </w:tc>
        <w:tc>
          <w:tcPr>
            <w:tcW w:w="1340" w:type="dxa"/>
            <w:vMerge w:val="restart"/>
            <w:shd w:val="clear" w:color="000000" w:fill="FFFF99"/>
            <w:noWrap/>
            <w:vAlign w:val="center"/>
            <w:hideMark/>
          </w:tcPr>
          <w:p w14:paraId="261209D9"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6,3627</w:t>
            </w:r>
          </w:p>
        </w:tc>
      </w:tr>
      <w:tr w:rsidR="002031AE" w:rsidRPr="002031AE" w14:paraId="5F4EF20B" w14:textId="77777777" w:rsidTr="005958EE">
        <w:trPr>
          <w:trHeight w:val="300"/>
          <w:jc w:val="center"/>
        </w:trPr>
        <w:tc>
          <w:tcPr>
            <w:tcW w:w="960" w:type="dxa"/>
            <w:vMerge/>
            <w:vAlign w:val="center"/>
            <w:hideMark/>
          </w:tcPr>
          <w:p w14:paraId="21137E4A" w14:textId="77777777" w:rsidR="002031AE" w:rsidRPr="003079F7" w:rsidRDefault="002031AE" w:rsidP="002031AE">
            <w:pPr>
              <w:spacing w:line="240" w:lineRule="auto"/>
              <w:jc w:val="left"/>
              <w:rPr>
                <w:rFonts w:ascii="Arial Narrow" w:hAnsi="Arial Narrow" w:cs="Calibri"/>
                <w:color w:val="000000"/>
                <w:sz w:val="20"/>
                <w:szCs w:val="20"/>
              </w:rPr>
            </w:pPr>
          </w:p>
        </w:tc>
        <w:tc>
          <w:tcPr>
            <w:tcW w:w="2720" w:type="dxa"/>
            <w:shd w:val="clear" w:color="000000" w:fill="FFFF99"/>
            <w:noWrap/>
            <w:vAlign w:val="center"/>
            <w:hideMark/>
          </w:tcPr>
          <w:p w14:paraId="03E0A5B8" w14:textId="2D59E180"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w:t>
            </w:r>
            <w:proofErr w:type="spellStart"/>
            <w:r w:rsidRPr="003079F7">
              <w:rPr>
                <w:rFonts w:ascii="Arial Narrow" w:hAnsi="Arial Narrow" w:cs="Calibri"/>
                <w:b/>
                <w:bCs/>
                <w:color w:val="000000"/>
                <w:sz w:val="20"/>
                <w:szCs w:val="20"/>
              </w:rPr>
              <w:t>FN</w:t>
            </w:r>
            <w:r w:rsidR="003079F7" w:rsidRPr="003079F7">
              <w:rPr>
                <w:rFonts w:ascii="Arial Narrow" w:hAnsi="Arial Narrow" w:cs="Calibri"/>
                <w:b/>
                <w:bCs/>
                <w:color w:val="000000"/>
                <w:sz w:val="20"/>
                <w:szCs w:val="20"/>
              </w:rPr>
              <w:t>s</w:t>
            </w:r>
            <w:r w:rsidRPr="003079F7">
              <w:rPr>
                <w:rFonts w:ascii="Arial Narrow" w:hAnsi="Arial Narrow" w:cs="Calibri"/>
                <w:b/>
                <w:bCs/>
                <w:color w:val="000000"/>
                <w:sz w:val="20"/>
                <w:szCs w:val="20"/>
              </w:rPr>
              <w:t>P</w:t>
            </w:r>
            <w:proofErr w:type="spellEnd"/>
            <w:r w:rsidRPr="003079F7">
              <w:rPr>
                <w:rFonts w:ascii="Arial Narrow" w:hAnsi="Arial Narrow" w:cs="Calibri"/>
                <w:b/>
                <w:bCs/>
                <w:color w:val="000000"/>
                <w:sz w:val="20"/>
                <w:szCs w:val="20"/>
              </w:rPr>
              <w:t xml:space="preserve"> Žilina </w:t>
            </w:r>
          </w:p>
        </w:tc>
        <w:tc>
          <w:tcPr>
            <w:tcW w:w="1340" w:type="dxa"/>
            <w:shd w:val="clear" w:color="000000" w:fill="FFFF99"/>
            <w:noWrap/>
            <w:vAlign w:val="bottom"/>
            <w:hideMark/>
          </w:tcPr>
          <w:p w14:paraId="5C42263C"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12819,25</w:t>
            </w:r>
          </w:p>
        </w:tc>
        <w:tc>
          <w:tcPr>
            <w:tcW w:w="1340" w:type="dxa"/>
            <w:vMerge/>
            <w:vAlign w:val="center"/>
            <w:hideMark/>
          </w:tcPr>
          <w:p w14:paraId="70C1B3F2" w14:textId="77777777" w:rsidR="002031AE" w:rsidRPr="003079F7" w:rsidRDefault="002031AE" w:rsidP="003079F7">
            <w:pPr>
              <w:spacing w:line="240" w:lineRule="auto"/>
              <w:jc w:val="center"/>
              <w:rPr>
                <w:rFonts w:ascii="Arial Narrow" w:hAnsi="Arial Narrow" w:cs="Calibri"/>
                <w:color w:val="000000"/>
                <w:sz w:val="20"/>
                <w:szCs w:val="20"/>
              </w:rPr>
            </w:pPr>
          </w:p>
        </w:tc>
        <w:tc>
          <w:tcPr>
            <w:tcW w:w="1340" w:type="dxa"/>
            <w:vMerge/>
            <w:vAlign w:val="center"/>
            <w:hideMark/>
          </w:tcPr>
          <w:p w14:paraId="5221372F" w14:textId="77777777" w:rsidR="002031AE" w:rsidRPr="003079F7" w:rsidRDefault="002031AE" w:rsidP="003079F7">
            <w:pPr>
              <w:spacing w:line="240" w:lineRule="auto"/>
              <w:jc w:val="center"/>
              <w:rPr>
                <w:rFonts w:ascii="Arial Narrow" w:hAnsi="Arial Narrow" w:cs="Calibri"/>
                <w:color w:val="000000"/>
                <w:sz w:val="20"/>
                <w:szCs w:val="20"/>
              </w:rPr>
            </w:pPr>
          </w:p>
        </w:tc>
      </w:tr>
      <w:tr w:rsidR="002031AE" w:rsidRPr="002031AE" w14:paraId="39F6BB6C" w14:textId="77777777" w:rsidTr="005958EE">
        <w:trPr>
          <w:trHeight w:val="300"/>
          <w:jc w:val="center"/>
        </w:trPr>
        <w:tc>
          <w:tcPr>
            <w:tcW w:w="960" w:type="dxa"/>
            <w:shd w:val="clear" w:color="000000" w:fill="B8CCE4"/>
            <w:vAlign w:val="center"/>
            <w:hideMark/>
          </w:tcPr>
          <w:p w14:paraId="72A88661" w14:textId="77777777" w:rsidR="002031AE" w:rsidRPr="003079F7" w:rsidRDefault="002031AE" w:rsidP="002031AE">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Turiec</w:t>
            </w:r>
          </w:p>
        </w:tc>
        <w:tc>
          <w:tcPr>
            <w:tcW w:w="2720" w:type="dxa"/>
            <w:shd w:val="clear" w:color="000000" w:fill="B8CCE4"/>
            <w:noWrap/>
            <w:vAlign w:val="center"/>
            <w:hideMark/>
          </w:tcPr>
          <w:p w14:paraId="46383724" w14:textId="53793076"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UN</w:t>
            </w:r>
            <w:r w:rsidR="003079F7" w:rsidRPr="003079F7">
              <w:rPr>
                <w:rFonts w:ascii="Arial Narrow" w:hAnsi="Arial Narrow" w:cs="Calibri"/>
                <w:b/>
                <w:bCs/>
                <w:color w:val="000000"/>
                <w:sz w:val="20"/>
                <w:szCs w:val="20"/>
              </w:rPr>
              <w:t>M</w:t>
            </w:r>
            <w:r w:rsidRPr="003079F7">
              <w:rPr>
                <w:rFonts w:ascii="Arial Narrow" w:hAnsi="Arial Narrow" w:cs="Calibri"/>
                <w:b/>
                <w:bCs/>
                <w:color w:val="000000"/>
                <w:sz w:val="20"/>
                <w:szCs w:val="20"/>
              </w:rPr>
              <w:t xml:space="preserve"> Martin </w:t>
            </w:r>
          </w:p>
        </w:tc>
        <w:tc>
          <w:tcPr>
            <w:tcW w:w="1340" w:type="dxa"/>
            <w:shd w:val="clear" w:color="000000" w:fill="B8CCE4"/>
            <w:noWrap/>
            <w:vAlign w:val="bottom"/>
            <w:hideMark/>
          </w:tcPr>
          <w:p w14:paraId="75A83C50"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8565</w:t>
            </w:r>
          </w:p>
        </w:tc>
        <w:tc>
          <w:tcPr>
            <w:tcW w:w="1340" w:type="dxa"/>
            <w:shd w:val="clear" w:color="000000" w:fill="B8CCE4"/>
            <w:noWrap/>
            <w:vAlign w:val="center"/>
            <w:hideMark/>
          </w:tcPr>
          <w:p w14:paraId="521EB9E7"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8565</w:t>
            </w:r>
          </w:p>
        </w:tc>
        <w:tc>
          <w:tcPr>
            <w:tcW w:w="1340" w:type="dxa"/>
            <w:shd w:val="clear" w:color="000000" w:fill="B8CCE4"/>
            <w:noWrap/>
            <w:vAlign w:val="center"/>
            <w:hideMark/>
          </w:tcPr>
          <w:p w14:paraId="7FCEC208"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7,6627</w:t>
            </w:r>
          </w:p>
        </w:tc>
      </w:tr>
      <w:tr w:rsidR="002031AE" w:rsidRPr="002031AE" w14:paraId="54ADDD21" w14:textId="77777777" w:rsidTr="005958EE">
        <w:trPr>
          <w:trHeight w:val="300"/>
          <w:jc w:val="center"/>
        </w:trPr>
        <w:tc>
          <w:tcPr>
            <w:tcW w:w="960" w:type="dxa"/>
            <w:vMerge w:val="restart"/>
            <w:shd w:val="clear" w:color="000000" w:fill="E6B8B7"/>
            <w:vAlign w:val="center"/>
            <w:hideMark/>
          </w:tcPr>
          <w:p w14:paraId="4980E44B" w14:textId="77777777" w:rsidR="002031AE" w:rsidRPr="003079F7" w:rsidRDefault="002031AE" w:rsidP="002031AE">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Orava</w:t>
            </w:r>
          </w:p>
        </w:tc>
        <w:tc>
          <w:tcPr>
            <w:tcW w:w="2720" w:type="dxa"/>
            <w:shd w:val="clear" w:color="000000" w:fill="E6B8B7"/>
            <w:noWrap/>
            <w:vAlign w:val="center"/>
            <w:hideMark/>
          </w:tcPr>
          <w:p w14:paraId="70C2E4B7" w14:textId="77777777"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ÚVN Ružomberok - FN</w:t>
            </w:r>
          </w:p>
        </w:tc>
        <w:tc>
          <w:tcPr>
            <w:tcW w:w="1340" w:type="dxa"/>
            <w:shd w:val="clear" w:color="000000" w:fill="E6B8B7"/>
            <w:noWrap/>
            <w:vAlign w:val="bottom"/>
            <w:hideMark/>
          </w:tcPr>
          <w:p w14:paraId="7FCD27A7"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3698,75</w:t>
            </w:r>
          </w:p>
        </w:tc>
        <w:tc>
          <w:tcPr>
            <w:tcW w:w="1340" w:type="dxa"/>
            <w:vMerge w:val="restart"/>
            <w:shd w:val="clear" w:color="000000" w:fill="E6B8B7"/>
            <w:noWrap/>
            <w:vAlign w:val="center"/>
            <w:hideMark/>
          </w:tcPr>
          <w:p w14:paraId="7C773683"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10095,75</w:t>
            </w:r>
          </w:p>
        </w:tc>
        <w:tc>
          <w:tcPr>
            <w:tcW w:w="1340" w:type="dxa"/>
            <w:vMerge w:val="restart"/>
            <w:shd w:val="clear" w:color="000000" w:fill="E6B8B7"/>
            <w:noWrap/>
            <w:vAlign w:val="center"/>
            <w:hideMark/>
          </w:tcPr>
          <w:p w14:paraId="047341BF"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5,1664</w:t>
            </w:r>
          </w:p>
        </w:tc>
      </w:tr>
      <w:tr w:rsidR="002031AE" w:rsidRPr="002031AE" w14:paraId="4B405E37" w14:textId="77777777" w:rsidTr="005958EE">
        <w:trPr>
          <w:trHeight w:val="300"/>
          <w:jc w:val="center"/>
        </w:trPr>
        <w:tc>
          <w:tcPr>
            <w:tcW w:w="960" w:type="dxa"/>
            <w:vMerge/>
            <w:vAlign w:val="center"/>
            <w:hideMark/>
          </w:tcPr>
          <w:p w14:paraId="2D09234A" w14:textId="77777777" w:rsidR="002031AE" w:rsidRPr="003079F7" w:rsidRDefault="002031AE" w:rsidP="002031AE">
            <w:pPr>
              <w:spacing w:line="240" w:lineRule="auto"/>
              <w:jc w:val="left"/>
              <w:rPr>
                <w:rFonts w:ascii="Arial Narrow" w:hAnsi="Arial Narrow" w:cs="Calibri"/>
                <w:color w:val="000000"/>
                <w:sz w:val="20"/>
                <w:szCs w:val="20"/>
              </w:rPr>
            </w:pPr>
          </w:p>
        </w:tc>
        <w:tc>
          <w:tcPr>
            <w:tcW w:w="2720" w:type="dxa"/>
            <w:shd w:val="clear" w:color="000000" w:fill="E6B8B7"/>
            <w:noWrap/>
            <w:vAlign w:val="center"/>
            <w:hideMark/>
          </w:tcPr>
          <w:p w14:paraId="529BA1BA" w14:textId="77777777"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Trstená </w:t>
            </w:r>
          </w:p>
        </w:tc>
        <w:tc>
          <w:tcPr>
            <w:tcW w:w="1340" w:type="dxa"/>
            <w:shd w:val="clear" w:color="000000" w:fill="E6B8B7"/>
            <w:noWrap/>
            <w:vAlign w:val="bottom"/>
            <w:hideMark/>
          </w:tcPr>
          <w:p w14:paraId="3798403A"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3007</w:t>
            </w:r>
          </w:p>
        </w:tc>
        <w:tc>
          <w:tcPr>
            <w:tcW w:w="1340" w:type="dxa"/>
            <w:vMerge/>
            <w:vAlign w:val="center"/>
            <w:hideMark/>
          </w:tcPr>
          <w:p w14:paraId="66E4BADF" w14:textId="77777777" w:rsidR="002031AE" w:rsidRPr="003079F7" w:rsidRDefault="002031AE" w:rsidP="003079F7">
            <w:pPr>
              <w:spacing w:line="240" w:lineRule="auto"/>
              <w:jc w:val="center"/>
              <w:rPr>
                <w:rFonts w:ascii="Arial Narrow" w:hAnsi="Arial Narrow" w:cs="Calibri"/>
                <w:color w:val="000000"/>
                <w:sz w:val="20"/>
                <w:szCs w:val="20"/>
              </w:rPr>
            </w:pPr>
          </w:p>
        </w:tc>
        <w:tc>
          <w:tcPr>
            <w:tcW w:w="1340" w:type="dxa"/>
            <w:vMerge/>
            <w:vAlign w:val="center"/>
            <w:hideMark/>
          </w:tcPr>
          <w:p w14:paraId="6FE1F9FD" w14:textId="77777777" w:rsidR="002031AE" w:rsidRPr="003079F7" w:rsidRDefault="002031AE" w:rsidP="003079F7">
            <w:pPr>
              <w:spacing w:line="240" w:lineRule="auto"/>
              <w:jc w:val="center"/>
              <w:rPr>
                <w:rFonts w:ascii="Arial Narrow" w:hAnsi="Arial Narrow" w:cs="Calibri"/>
                <w:color w:val="000000"/>
                <w:sz w:val="20"/>
                <w:szCs w:val="20"/>
              </w:rPr>
            </w:pPr>
          </w:p>
        </w:tc>
      </w:tr>
      <w:tr w:rsidR="002031AE" w:rsidRPr="002031AE" w14:paraId="627AC389" w14:textId="77777777" w:rsidTr="005958EE">
        <w:trPr>
          <w:trHeight w:val="300"/>
          <w:jc w:val="center"/>
        </w:trPr>
        <w:tc>
          <w:tcPr>
            <w:tcW w:w="960" w:type="dxa"/>
            <w:vMerge/>
            <w:vAlign w:val="center"/>
            <w:hideMark/>
          </w:tcPr>
          <w:p w14:paraId="7F6B2ED5" w14:textId="77777777" w:rsidR="002031AE" w:rsidRPr="003079F7" w:rsidRDefault="002031AE" w:rsidP="002031AE">
            <w:pPr>
              <w:spacing w:line="240" w:lineRule="auto"/>
              <w:jc w:val="left"/>
              <w:rPr>
                <w:rFonts w:ascii="Arial Narrow" w:hAnsi="Arial Narrow" w:cs="Calibri"/>
                <w:color w:val="000000"/>
                <w:sz w:val="20"/>
                <w:szCs w:val="20"/>
              </w:rPr>
            </w:pPr>
          </w:p>
        </w:tc>
        <w:tc>
          <w:tcPr>
            <w:tcW w:w="2720" w:type="dxa"/>
            <w:shd w:val="clear" w:color="000000" w:fill="E6B8B7"/>
            <w:noWrap/>
            <w:vAlign w:val="center"/>
            <w:hideMark/>
          </w:tcPr>
          <w:p w14:paraId="4DF08CD3" w14:textId="77777777"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NsP Dolný Kubín</w:t>
            </w:r>
          </w:p>
        </w:tc>
        <w:tc>
          <w:tcPr>
            <w:tcW w:w="1340" w:type="dxa"/>
            <w:shd w:val="clear" w:color="000000" w:fill="E6B8B7"/>
            <w:noWrap/>
            <w:vAlign w:val="bottom"/>
            <w:hideMark/>
          </w:tcPr>
          <w:p w14:paraId="205766C7"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3390</w:t>
            </w:r>
          </w:p>
        </w:tc>
        <w:tc>
          <w:tcPr>
            <w:tcW w:w="1340" w:type="dxa"/>
            <w:vMerge/>
            <w:vAlign w:val="center"/>
            <w:hideMark/>
          </w:tcPr>
          <w:p w14:paraId="540E97E4" w14:textId="77777777" w:rsidR="002031AE" w:rsidRPr="003079F7" w:rsidRDefault="002031AE" w:rsidP="003079F7">
            <w:pPr>
              <w:spacing w:line="240" w:lineRule="auto"/>
              <w:jc w:val="center"/>
              <w:rPr>
                <w:rFonts w:ascii="Arial Narrow" w:hAnsi="Arial Narrow" w:cs="Calibri"/>
                <w:color w:val="000000"/>
                <w:sz w:val="20"/>
                <w:szCs w:val="20"/>
              </w:rPr>
            </w:pPr>
          </w:p>
        </w:tc>
        <w:tc>
          <w:tcPr>
            <w:tcW w:w="1340" w:type="dxa"/>
            <w:vMerge/>
            <w:vAlign w:val="center"/>
            <w:hideMark/>
          </w:tcPr>
          <w:p w14:paraId="4EE5D720" w14:textId="77777777" w:rsidR="002031AE" w:rsidRPr="003079F7" w:rsidRDefault="002031AE" w:rsidP="003079F7">
            <w:pPr>
              <w:spacing w:line="240" w:lineRule="auto"/>
              <w:jc w:val="center"/>
              <w:rPr>
                <w:rFonts w:ascii="Arial Narrow" w:hAnsi="Arial Narrow" w:cs="Calibri"/>
                <w:color w:val="000000"/>
                <w:sz w:val="20"/>
                <w:szCs w:val="20"/>
              </w:rPr>
            </w:pPr>
          </w:p>
        </w:tc>
      </w:tr>
      <w:tr w:rsidR="002031AE" w:rsidRPr="002031AE" w14:paraId="0E564A47" w14:textId="77777777" w:rsidTr="005958EE">
        <w:trPr>
          <w:trHeight w:val="300"/>
          <w:jc w:val="center"/>
        </w:trPr>
        <w:tc>
          <w:tcPr>
            <w:tcW w:w="960" w:type="dxa"/>
            <w:shd w:val="clear" w:color="000000" w:fill="C4D79B"/>
            <w:vAlign w:val="center"/>
            <w:hideMark/>
          </w:tcPr>
          <w:p w14:paraId="1AAC419A" w14:textId="77777777" w:rsidR="002031AE" w:rsidRPr="003079F7" w:rsidRDefault="002031AE" w:rsidP="002031AE">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Liptov</w:t>
            </w:r>
          </w:p>
        </w:tc>
        <w:tc>
          <w:tcPr>
            <w:tcW w:w="2720" w:type="dxa"/>
            <w:shd w:val="clear" w:color="000000" w:fill="C4D79B"/>
            <w:noWrap/>
            <w:vAlign w:val="center"/>
            <w:hideMark/>
          </w:tcPr>
          <w:p w14:paraId="5D5D7AD3" w14:textId="77777777" w:rsidR="002031AE" w:rsidRPr="003079F7" w:rsidRDefault="002031AE" w:rsidP="002031AE">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Liptovský Mikuláš </w:t>
            </w:r>
          </w:p>
        </w:tc>
        <w:tc>
          <w:tcPr>
            <w:tcW w:w="1340" w:type="dxa"/>
            <w:shd w:val="clear" w:color="000000" w:fill="C4D79B"/>
            <w:noWrap/>
            <w:vAlign w:val="bottom"/>
            <w:hideMark/>
          </w:tcPr>
          <w:p w14:paraId="663DCE3C"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5574</w:t>
            </w:r>
          </w:p>
        </w:tc>
        <w:tc>
          <w:tcPr>
            <w:tcW w:w="1340" w:type="dxa"/>
            <w:shd w:val="clear" w:color="000000" w:fill="C4D79B"/>
            <w:noWrap/>
            <w:vAlign w:val="center"/>
            <w:hideMark/>
          </w:tcPr>
          <w:p w14:paraId="6C1DCEFA"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5574</w:t>
            </w:r>
          </w:p>
        </w:tc>
        <w:tc>
          <w:tcPr>
            <w:tcW w:w="1340" w:type="dxa"/>
            <w:shd w:val="clear" w:color="000000" w:fill="C4D79B"/>
            <w:noWrap/>
            <w:vAlign w:val="center"/>
            <w:hideMark/>
          </w:tcPr>
          <w:p w14:paraId="4E9A3E56" w14:textId="77777777" w:rsidR="002031AE" w:rsidRPr="003079F7" w:rsidRDefault="002031AE"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7,7359</w:t>
            </w:r>
          </w:p>
        </w:tc>
      </w:tr>
    </w:tbl>
    <w:p w14:paraId="6054AD27" w14:textId="44FD2C53" w:rsidR="003A0E6D" w:rsidRDefault="003A0E6D" w:rsidP="003A0E6D">
      <w:pPr>
        <w:spacing w:line="240" w:lineRule="auto"/>
        <w:rPr>
          <w:rFonts w:ascii="Century Gothic" w:hAnsi="Century Gothic"/>
          <w:i/>
          <w:sz w:val="18"/>
          <w:szCs w:val="18"/>
        </w:rPr>
      </w:pPr>
      <w:r w:rsidRPr="002968D3">
        <w:rPr>
          <w:rFonts w:ascii="Century Gothic" w:hAnsi="Century Gothic"/>
          <w:i/>
          <w:sz w:val="18"/>
          <w:szCs w:val="18"/>
        </w:rPr>
        <w:t xml:space="preserve">Zdroj: OS ZZS SR, k 30.11.2022, </w:t>
      </w:r>
      <w:r w:rsidR="0039692B">
        <w:rPr>
          <w:rFonts w:ascii="Century Gothic" w:hAnsi="Century Gothic"/>
          <w:i/>
          <w:sz w:val="18"/>
          <w:szCs w:val="18"/>
        </w:rPr>
        <w:t>vlastné spracovanie</w:t>
      </w:r>
    </w:p>
    <w:p w14:paraId="2B83AC0D" w14:textId="77777777" w:rsidR="003A0E6D" w:rsidRDefault="003A0E6D" w:rsidP="003A0E6D">
      <w:pPr>
        <w:spacing w:line="240" w:lineRule="auto"/>
        <w:rPr>
          <w:rFonts w:ascii="Century Gothic" w:hAnsi="Century Gothic"/>
        </w:rPr>
      </w:pPr>
    </w:p>
    <w:p w14:paraId="756C445D" w14:textId="77777777" w:rsidR="003A0E6D" w:rsidRPr="002968D3" w:rsidRDefault="003A0E6D" w:rsidP="003A0E6D">
      <w:pPr>
        <w:spacing w:line="240" w:lineRule="auto"/>
        <w:rPr>
          <w:rFonts w:ascii="Century Gothic" w:hAnsi="Century Gothic"/>
          <w:sz w:val="22"/>
          <w:szCs w:val="22"/>
        </w:rPr>
      </w:pPr>
      <w:r w:rsidRPr="002968D3">
        <w:rPr>
          <w:rFonts w:ascii="Century Gothic" w:hAnsi="Century Gothic"/>
          <w:sz w:val="22"/>
          <w:szCs w:val="22"/>
        </w:rPr>
        <w:t xml:space="preserve">Zaťaženosť jednotlivých nemocníc so širšou skladbou oddelení dobre dokumentuje štatistika sekundárnych prevozov systémom ZZS. Už samotný celkový počet prevozov je na nemocnice budúceho III./IV. typu vyšší.  </w:t>
      </w:r>
    </w:p>
    <w:p w14:paraId="5B42EB43" w14:textId="6948E48E" w:rsidR="0039692B" w:rsidRPr="002968D3" w:rsidRDefault="0039692B" w:rsidP="0039692B">
      <w:pPr>
        <w:keepNext/>
        <w:spacing w:line="240" w:lineRule="auto"/>
        <w:jc w:val="left"/>
        <w:rPr>
          <w:rFonts w:ascii="Century Gothic" w:hAnsi="Century Gothic" w:cs="Arial"/>
          <w:i/>
          <w:sz w:val="20"/>
          <w:szCs w:val="20"/>
        </w:rPr>
      </w:pPr>
      <w:bookmarkStart w:id="58" w:name="_Toc145219913"/>
      <w:r w:rsidRPr="0039692B">
        <w:rPr>
          <w:rFonts w:ascii="Century Gothic" w:hAnsi="Century Gothic" w:cs="Arial"/>
          <w:i/>
          <w:sz w:val="20"/>
          <w:szCs w:val="20"/>
        </w:rPr>
        <w:lastRenderedPageBreak/>
        <w:t xml:space="preserve">Tabuľka </w:t>
      </w:r>
      <w:r w:rsidRPr="0039692B">
        <w:rPr>
          <w:rFonts w:ascii="Century Gothic" w:hAnsi="Century Gothic" w:cs="Arial"/>
          <w:i/>
          <w:sz w:val="20"/>
          <w:szCs w:val="20"/>
        </w:rPr>
        <w:fldChar w:fldCharType="begin"/>
      </w:r>
      <w:r w:rsidRPr="0039692B">
        <w:rPr>
          <w:rFonts w:ascii="Century Gothic" w:hAnsi="Century Gothic" w:cs="Arial"/>
          <w:i/>
          <w:sz w:val="20"/>
          <w:szCs w:val="20"/>
        </w:rPr>
        <w:instrText xml:space="preserve"> SEQ Tabuľka \* ARABIC </w:instrText>
      </w:r>
      <w:r w:rsidRPr="0039692B">
        <w:rPr>
          <w:rFonts w:ascii="Century Gothic" w:hAnsi="Century Gothic" w:cs="Arial"/>
          <w:i/>
          <w:sz w:val="20"/>
          <w:szCs w:val="20"/>
        </w:rPr>
        <w:fldChar w:fldCharType="separate"/>
      </w:r>
      <w:r w:rsidR="007D6A44">
        <w:rPr>
          <w:rFonts w:ascii="Century Gothic" w:hAnsi="Century Gothic" w:cs="Arial"/>
          <w:i/>
          <w:noProof/>
          <w:sz w:val="20"/>
          <w:szCs w:val="20"/>
        </w:rPr>
        <w:t>12</w:t>
      </w:r>
      <w:r w:rsidRPr="0039692B">
        <w:rPr>
          <w:rFonts w:ascii="Century Gothic" w:hAnsi="Century Gothic" w:cs="Arial"/>
          <w:i/>
          <w:sz w:val="20"/>
          <w:szCs w:val="20"/>
        </w:rPr>
        <w:fldChar w:fldCharType="end"/>
      </w:r>
      <w:r w:rsidRPr="0039692B">
        <w:rPr>
          <w:rFonts w:ascii="Century Gothic" w:hAnsi="Century Gothic" w:cs="Arial"/>
          <w:i/>
          <w:sz w:val="20"/>
          <w:szCs w:val="20"/>
        </w:rPr>
        <w:t xml:space="preserve"> </w:t>
      </w:r>
      <w:r w:rsidRPr="002968D3">
        <w:rPr>
          <w:rFonts w:ascii="Century Gothic" w:hAnsi="Century Gothic" w:cs="Arial"/>
          <w:i/>
          <w:sz w:val="20"/>
          <w:szCs w:val="20"/>
        </w:rPr>
        <w:t>Počet sekundárnych prevozov v rámci ŽSK</w:t>
      </w:r>
      <w:bookmarkEnd w:id="58"/>
    </w:p>
    <w:tbl>
      <w:tblPr>
        <w:tblW w:w="8460" w:type="dxa"/>
        <w:jc w:val="center"/>
        <w:tblCellMar>
          <w:left w:w="70" w:type="dxa"/>
          <w:right w:w="70" w:type="dxa"/>
        </w:tblCellMar>
        <w:tblLook w:val="04A0" w:firstRow="1" w:lastRow="0" w:firstColumn="1" w:lastColumn="0" w:noHBand="0" w:noVBand="1"/>
      </w:tblPr>
      <w:tblGrid>
        <w:gridCol w:w="2860"/>
        <w:gridCol w:w="1120"/>
        <w:gridCol w:w="1120"/>
        <w:gridCol w:w="1120"/>
        <w:gridCol w:w="1120"/>
        <w:gridCol w:w="1120"/>
      </w:tblGrid>
      <w:tr w:rsidR="007B16E4" w:rsidRPr="007B16E4" w14:paraId="71EC1126" w14:textId="77777777" w:rsidTr="00105F87">
        <w:trPr>
          <w:trHeight w:val="750"/>
          <w:jc w:val="center"/>
        </w:trPr>
        <w:tc>
          <w:tcPr>
            <w:tcW w:w="2860" w:type="dxa"/>
            <w:shd w:val="clear" w:color="auto" w:fill="595959" w:themeFill="text1" w:themeFillTint="A6"/>
            <w:vAlign w:val="center"/>
            <w:hideMark/>
          </w:tcPr>
          <w:p w14:paraId="524B3361" w14:textId="77777777" w:rsidR="003A0E6D" w:rsidRPr="007B16E4" w:rsidRDefault="003A0E6D" w:rsidP="002968D3">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KRAJ, NÁZOV ÚZZ</w:t>
            </w:r>
          </w:p>
        </w:tc>
        <w:tc>
          <w:tcPr>
            <w:tcW w:w="1120" w:type="dxa"/>
            <w:shd w:val="clear" w:color="auto" w:fill="595959" w:themeFill="text1" w:themeFillTint="A6"/>
            <w:vAlign w:val="center"/>
            <w:hideMark/>
          </w:tcPr>
          <w:p w14:paraId="29FEDFF7" w14:textId="77777777" w:rsidR="003A0E6D" w:rsidRPr="007B16E4" w:rsidRDefault="003A0E6D" w:rsidP="002968D3">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2019</w:t>
            </w:r>
          </w:p>
        </w:tc>
        <w:tc>
          <w:tcPr>
            <w:tcW w:w="1120" w:type="dxa"/>
            <w:shd w:val="clear" w:color="auto" w:fill="595959" w:themeFill="text1" w:themeFillTint="A6"/>
            <w:vAlign w:val="center"/>
            <w:hideMark/>
          </w:tcPr>
          <w:p w14:paraId="31E2C466" w14:textId="77777777" w:rsidR="003A0E6D" w:rsidRPr="007B16E4" w:rsidRDefault="003A0E6D" w:rsidP="002968D3">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2020</w:t>
            </w:r>
          </w:p>
        </w:tc>
        <w:tc>
          <w:tcPr>
            <w:tcW w:w="1120" w:type="dxa"/>
            <w:shd w:val="clear" w:color="auto" w:fill="595959" w:themeFill="text1" w:themeFillTint="A6"/>
            <w:vAlign w:val="center"/>
            <w:hideMark/>
          </w:tcPr>
          <w:p w14:paraId="63954356" w14:textId="77777777" w:rsidR="003A0E6D" w:rsidRPr="007B16E4" w:rsidRDefault="003A0E6D" w:rsidP="002968D3">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2021</w:t>
            </w:r>
          </w:p>
        </w:tc>
        <w:tc>
          <w:tcPr>
            <w:tcW w:w="1120" w:type="dxa"/>
            <w:shd w:val="clear" w:color="auto" w:fill="595959" w:themeFill="text1" w:themeFillTint="A6"/>
            <w:vAlign w:val="center"/>
            <w:hideMark/>
          </w:tcPr>
          <w:p w14:paraId="7045229D" w14:textId="77777777" w:rsidR="003A0E6D" w:rsidRPr="007B16E4" w:rsidRDefault="003A0E6D" w:rsidP="002968D3">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2022</w:t>
            </w:r>
          </w:p>
        </w:tc>
        <w:tc>
          <w:tcPr>
            <w:tcW w:w="1120" w:type="dxa"/>
            <w:shd w:val="clear" w:color="auto" w:fill="595959" w:themeFill="text1" w:themeFillTint="A6"/>
            <w:vAlign w:val="center"/>
            <w:hideMark/>
          </w:tcPr>
          <w:p w14:paraId="274DE237" w14:textId="77777777" w:rsidR="003A0E6D" w:rsidRPr="007B16E4" w:rsidRDefault="003A0E6D" w:rsidP="002968D3">
            <w:pPr>
              <w:spacing w:line="240" w:lineRule="auto"/>
              <w:jc w:val="center"/>
              <w:rPr>
                <w:rFonts w:ascii="Arial Narrow" w:hAnsi="Arial Narrow" w:cs="Calibri"/>
                <w:b/>
                <w:bCs/>
                <w:color w:val="FFFFFF" w:themeColor="background1"/>
                <w:sz w:val="20"/>
                <w:szCs w:val="20"/>
              </w:rPr>
            </w:pPr>
            <w:r w:rsidRPr="007B16E4">
              <w:rPr>
                <w:rFonts w:ascii="Arial Narrow" w:hAnsi="Arial Narrow" w:cs="Calibri"/>
                <w:b/>
                <w:bCs/>
                <w:color w:val="FFFFFF" w:themeColor="background1"/>
                <w:sz w:val="20"/>
                <w:szCs w:val="20"/>
              </w:rPr>
              <w:t>SPOLU ZA ROKY</w:t>
            </w:r>
          </w:p>
        </w:tc>
      </w:tr>
      <w:tr w:rsidR="003A0E6D" w:rsidRPr="008C3374" w14:paraId="5ACA14F9" w14:textId="77777777" w:rsidTr="005958EE">
        <w:trPr>
          <w:trHeight w:val="300"/>
          <w:jc w:val="center"/>
        </w:trPr>
        <w:tc>
          <w:tcPr>
            <w:tcW w:w="2860" w:type="dxa"/>
            <w:shd w:val="clear" w:color="auto" w:fill="auto"/>
            <w:noWrap/>
            <w:vAlign w:val="center"/>
            <w:hideMark/>
          </w:tcPr>
          <w:p w14:paraId="085ACF5A"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TN, NsP Považská Bystrica </w:t>
            </w:r>
          </w:p>
        </w:tc>
        <w:tc>
          <w:tcPr>
            <w:tcW w:w="1120" w:type="dxa"/>
            <w:shd w:val="clear" w:color="auto" w:fill="auto"/>
            <w:noWrap/>
            <w:vAlign w:val="bottom"/>
            <w:hideMark/>
          </w:tcPr>
          <w:p w14:paraId="1ED15C94" w14:textId="132D4306"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343</w:t>
            </w:r>
          </w:p>
        </w:tc>
        <w:tc>
          <w:tcPr>
            <w:tcW w:w="1120" w:type="dxa"/>
            <w:shd w:val="clear" w:color="auto" w:fill="auto"/>
            <w:noWrap/>
            <w:vAlign w:val="bottom"/>
            <w:hideMark/>
          </w:tcPr>
          <w:p w14:paraId="60D96C09" w14:textId="6906D7A0"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378</w:t>
            </w:r>
          </w:p>
        </w:tc>
        <w:tc>
          <w:tcPr>
            <w:tcW w:w="1120" w:type="dxa"/>
            <w:shd w:val="clear" w:color="auto" w:fill="auto"/>
            <w:noWrap/>
            <w:vAlign w:val="bottom"/>
            <w:hideMark/>
          </w:tcPr>
          <w:p w14:paraId="1012800C" w14:textId="5D4B90E4"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397</w:t>
            </w:r>
          </w:p>
        </w:tc>
        <w:tc>
          <w:tcPr>
            <w:tcW w:w="1120" w:type="dxa"/>
            <w:shd w:val="clear" w:color="auto" w:fill="auto"/>
            <w:noWrap/>
            <w:vAlign w:val="bottom"/>
            <w:hideMark/>
          </w:tcPr>
          <w:p w14:paraId="30C6F99E" w14:textId="6F4617FD"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377</w:t>
            </w:r>
          </w:p>
        </w:tc>
        <w:tc>
          <w:tcPr>
            <w:tcW w:w="1120" w:type="dxa"/>
            <w:shd w:val="clear" w:color="auto" w:fill="auto"/>
            <w:noWrap/>
            <w:vAlign w:val="bottom"/>
            <w:hideMark/>
          </w:tcPr>
          <w:p w14:paraId="5C62F126" w14:textId="503E277E"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1 495</w:t>
            </w:r>
          </w:p>
        </w:tc>
      </w:tr>
      <w:tr w:rsidR="003A0E6D" w:rsidRPr="008C3374" w14:paraId="0B9F04B6" w14:textId="77777777" w:rsidTr="005958EE">
        <w:trPr>
          <w:trHeight w:val="300"/>
          <w:jc w:val="center"/>
        </w:trPr>
        <w:tc>
          <w:tcPr>
            <w:tcW w:w="2860" w:type="dxa"/>
            <w:shd w:val="clear" w:color="000000" w:fill="FFFF99"/>
            <w:noWrap/>
            <w:vAlign w:val="center"/>
            <w:hideMark/>
          </w:tcPr>
          <w:p w14:paraId="159369F4"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Čadca </w:t>
            </w:r>
          </w:p>
        </w:tc>
        <w:tc>
          <w:tcPr>
            <w:tcW w:w="1120" w:type="dxa"/>
            <w:shd w:val="clear" w:color="000000" w:fill="FFFF99"/>
            <w:noWrap/>
            <w:vAlign w:val="bottom"/>
            <w:hideMark/>
          </w:tcPr>
          <w:p w14:paraId="535472C8" w14:textId="292459C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308</w:t>
            </w:r>
          </w:p>
        </w:tc>
        <w:tc>
          <w:tcPr>
            <w:tcW w:w="1120" w:type="dxa"/>
            <w:shd w:val="clear" w:color="000000" w:fill="FFFF99"/>
            <w:noWrap/>
            <w:vAlign w:val="bottom"/>
            <w:hideMark/>
          </w:tcPr>
          <w:p w14:paraId="69C444E3" w14:textId="550978AF"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272</w:t>
            </w:r>
          </w:p>
        </w:tc>
        <w:tc>
          <w:tcPr>
            <w:tcW w:w="1120" w:type="dxa"/>
            <w:shd w:val="clear" w:color="000000" w:fill="FFFF99"/>
            <w:noWrap/>
            <w:vAlign w:val="bottom"/>
            <w:hideMark/>
          </w:tcPr>
          <w:p w14:paraId="29939753" w14:textId="108C4325"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297</w:t>
            </w:r>
          </w:p>
        </w:tc>
        <w:tc>
          <w:tcPr>
            <w:tcW w:w="1120" w:type="dxa"/>
            <w:shd w:val="clear" w:color="000000" w:fill="FFFF99"/>
            <w:noWrap/>
            <w:vAlign w:val="bottom"/>
            <w:hideMark/>
          </w:tcPr>
          <w:p w14:paraId="1E212358" w14:textId="32733DD1"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338</w:t>
            </w:r>
          </w:p>
        </w:tc>
        <w:tc>
          <w:tcPr>
            <w:tcW w:w="1120" w:type="dxa"/>
            <w:shd w:val="clear" w:color="000000" w:fill="FFFF99"/>
            <w:noWrap/>
            <w:vAlign w:val="bottom"/>
            <w:hideMark/>
          </w:tcPr>
          <w:p w14:paraId="7855B8CA" w14:textId="37CBE689"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1 215</w:t>
            </w:r>
          </w:p>
        </w:tc>
      </w:tr>
      <w:tr w:rsidR="003A0E6D" w:rsidRPr="008C3374" w14:paraId="5AB3CB3A" w14:textId="77777777" w:rsidTr="005958EE">
        <w:trPr>
          <w:trHeight w:val="300"/>
          <w:jc w:val="center"/>
        </w:trPr>
        <w:tc>
          <w:tcPr>
            <w:tcW w:w="2860" w:type="dxa"/>
            <w:shd w:val="clear" w:color="000000" w:fill="FFFF99"/>
            <w:noWrap/>
            <w:vAlign w:val="center"/>
            <w:hideMark/>
          </w:tcPr>
          <w:p w14:paraId="6E84802C"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FNP Žilina </w:t>
            </w:r>
          </w:p>
        </w:tc>
        <w:tc>
          <w:tcPr>
            <w:tcW w:w="1120" w:type="dxa"/>
            <w:shd w:val="clear" w:color="000000" w:fill="FFFF99"/>
            <w:noWrap/>
            <w:vAlign w:val="bottom"/>
            <w:hideMark/>
          </w:tcPr>
          <w:p w14:paraId="6C3611D1" w14:textId="5DEEB591"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1 072</w:t>
            </w:r>
          </w:p>
        </w:tc>
        <w:tc>
          <w:tcPr>
            <w:tcW w:w="1120" w:type="dxa"/>
            <w:shd w:val="clear" w:color="000000" w:fill="FFFF99"/>
            <w:noWrap/>
            <w:vAlign w:val="bottom"/>
            <w:hideMark/>
          </w:tcPr>
          <w:p w14:paraId="71566640" w14:textId="1F090263"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848</w:t>
            </w:r>
          </w:p>
        </w:tc>
        <w:tc>
          <w:tcPr>
            <w:tcW w:w="1120" w:type="dxa"/>
            <w:shd w:val="clear" w:color="000000" w:fill="FFFF99"/>
            <w:noWrap/>
            <w:vAlign w:val="bottom"/>
            <w:hideMark/>
          </w:tcPr>
          <w:p w14:paraId="1A9D91AD" w14:textId="0F7F3B04"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848</w:t>
            </w:r>
          </w:p>
        </w:tc>
        <w:tc>
          <w:tcPr>
            <w:tcW w:w="1120" w:type="dxa"/>
            <w:shd w:val="clear" w:color="000000" w:fill="FFFF99"/>
            <w:noWrap/>
            <w:vAlign w:val="bottom"/>
            <w:hideMark/>
          </w:tcPr>
          <w:p w14:paraId="29EA4708" w14:textId="079061D3"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800</w:t>
            </w:r>
          </w:p>
        </w:tc>
        <w:tc>
          <w:tcPr>
            <w:tcW w:w="1120" w:type="dxa"/>
            <w:shd w:val="clear" w:color="000000" w:fill="FFFF99"/>
            <w:noWrap/>
            <w:vAlign w:val="bottom"/>
            <w:hideMark/>
          </w:tcPr>
          <w:p w14:paraId="1BB3C5B1" w14:textId="76C665D8"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3 568</w:t>
            </w:r>
          </w:p>
        </w:tc>
      </w:tr>
      <w:tr w:rsidR="003A0E6D" w:rsidRPr="008C3374" w14:paraId="4B214658" w14:textId="77777777" w:rsidTr="005958EE">
        <w:trPr>
          <w:trHeight w:val="300"/>
          <w:jc w:val="center"/>
        </w:trPr>
        <w:tc>
          <w:tcPr>
            <w:tcW w:w="2860" w:type="dxa"/>
            <w:shd w:val="clear" w:color="000000" w:fill="B8CCE4"/>
            <w:noWrap/>
            <w:vAlign w:val="center"/>
            <w:hideMark/>
          </w:tcPr>
          <w:p w14:paraId="3E884530"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UN Martin </w:t>
            </w:r>
          </w:p>
        </w:tc>
        <w:tc>
          <w:tcPr>
            <w:tcW w:w="1120" w:type="dxa"/>
            <w:shd w:val="clear" w:color="000000" w:fill="B8CCE4"/>
            <w:noWrap/>
            <w:vAlign w:val="bottom"/>
            <w:hideMark/>
          </w:tcPr>
          <w:p w14:paraId="0CD32978" w14:textId="4C0E89AE"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2 060</w:t>
            </w:r>
          </w:p>
        </w:tc>
        <w:tc>
          <w:tcPr>
            <w:tcW w:w="1120" w:type="dxa"/>
            <w:shd w:val="clear" w:color="000000" w:fill="B8CCE4"/>
            <w:noWrap/>
            <w:vAlign w:val="bottom"/>
            <w:hideMark/>
          </w:tcPr>
          <w:p w14:paraId="1BEA8AB5" w14:textId="68401648"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2 073</w:t>
            </w:r>
          </w:p>
        </w:tc>
        <w:tc>
          <w:tcPr>
            <w:tcW w:w="1120" w:type="dxa"/>
            <w:shd w:val="clear" w:color="000000" w:fill="B8CCE4"/>
            <w:noWrap/>
            <w:vAlign w:val="bottom"/>
            <w:hideMark/>
          </w:tcPr>
          <w:p w14:paraId="0FD7F861" w14:textId="0CA6C17D"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1 991</w:t>
            </w:r>
          </w:p>
        </w:tc>
        <w:tc>
          <w:tcPr>
            <w:tcW w:w="1120" w:type="dxa"/>
            <w:shd w:val="clear" w:color="000000" w:fill="B8CCE4"/>
            <w:noWrap/>
            <w:vAlign w:val="bottom"/>
            <w:hideMark/>
          </w:tcPr>
          <w:p w14:paraId="6B6064AC" w14:textId="2BB1459F"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2 077</w:t>
            </w:r>
          </w:p>
        </w:tc>
        <w:tc>
          <w:tcPr>
            <w:tcW w:w="1120" w:type="dxa"/>
            <w:shd w:val="clear" w:color="000000" w:fill="B8CCE4"/>
            <w:noWrap/>
            <w:vAlign w:val="bottom"/>
            <w:hideMark/>
          </w:tcPr>
          <w:p w14:paraId="6C03069B" w14:textId="0D1AA71C"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8 201</w:t>
            </w:r>
          </w:p>
        </w:tc>
      </w:tr>
      <w:tr w:rsidR="003A0E6D" w:rsidRPr="008C3374" w14:paraId="5696E85F" w14:textId="77777777" w:rsidTr="005958EE">
        <w:trPr>
          <w:trHeight w:val="300"/>
          <w:jc w:val="center"/>
        </w:trPr>
        <w:tc>
          <w:tcPr>
            <w:tcW w:w="2860" w:type="dxa"/>
            <w:shd w:val="clear" w:color="000000" w:fill="E6B8B7"/>
            <w:noWrap/>
            <w:vAlign w:val="center"/>
            <w:hideMark/>
          </w:tcPr>
          <w:p w14:paraId="5694764F"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ÚVN Ružomberok - FN</w:t>
            </w:r>
          </w:p>
        </w:tc>
        <w:tc>
          <w:tcPr>
            <w:tcW w:w="1120" w:type="dxa"/>
            <w:shd w:val="clear" w:color="000000" w:fill="E6B8B7"/>
            <w:noWrap/>
            <w:vAlign w:val="bottom"/>
            <w:hideMark/>
          </w:tcPr>
          <w:p w14:paraId="188B9476" w14:textId="04CF275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641</w:t>
            </w:r>
          </w:p>
        </w:tc>
        <w:tc>
          <w:tcPr>
            <w:tcW w:w="1120" w:type="dxa"/>
            <w:shd w:val="clear" w:color="000000" w:fill="E6B8B7"/>
            <w:noWrap/>
            <w:vAlign w:val="bottom"/>
            <w:hideMark/>
          </w:tcPr>
          <w:p w14:paraId="3DCB2B97" w14:textId="1419489D"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809</w:t>
            </w:r>
          </w:p>
        </w:tc>
        <w:tc>
          <w:tcPr>
            <w:tcW w:w="1120" w:type="dxa"/>
            <w:shd w:val="clear" w:color="000000" w:fill="E6B8B7"/>
            <w:noWrap/>
            <w:vAlign w:val="bottom"/>
            <w:hideMark/>
          </w:tcPr>
          <w:p w14:paraId="36540697" w14:textId="060E9D6A"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691</w:t>
            </w:r>
          </w:p>
        </w:tc>
        <w:tc>
          <w:tcPr>
            <w:tcW w:w="1120" w:type="dxa"/>
            <w:shd w:val="clear" w:color="000000" w:fill="E6B8B7"/>
            <w:noWrap/>
            <w:vAlign w:val="bottom"/>
            <w:hideMark/>
          </w:tcPr>
          <w:p w14:paraId="508D9450" w14:textId="62796B2E"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580</w:t>
            </w:r>
          </w:p>
        </w:tc>
        <w:tc>
          <w:tcPr>
            <w:tcW w:w="1120" w:type="dxa"/>
            <w:shd w:val="clear" w:color="000000" w:fill="E6B8B7"/>
            <w:noWrap/>
            <w:vAlign w:val="bottom"/>
            <w:hideMark/>
          </w:tcPr>
          <w:p w14:paraId="627FA983" w14:textId="2DB2CF68"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2 721</w:t>
            </w:r>
          </w:p>
        </w:tc>
      </w:tr>
      <w:tr w:rsidR="003A0E6D" w:rsidRPr="008C3374" w14:paraId="76FD49D9" w14:textId="77777777" w:rsidTr="005958EE">
        <w:trPr>
          <w:trHeight w:val="300"/>
          <w:jc w:val="center"/>
        </w:trPr>
        <w:tc>
          <w:tcPr>
            <w:tcW w:w="2860" w:type="dxa"/>
            <w:shd w:val="clear" w:color="000000" w:fill="E6B8B7"/>
            <w:noWrap/>
            <w:vAlign w:val="center"/>
            <w:hideMark/>
          </w:tcPr>
          <w:p w14:paraId="765D5FEC"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Trstená </w:t>
            </w:r>
          </w:p>
        </w:tc>
        <w:tc>
          <w:tcPr>
            <w:tcW w:w="1120" w:type="dxa"/>
            <w:shd w:val="clear" w:color="000000" w:fill="E6B8B7"/>
            <w:noWrap/>
            <w:vAlign w:val="bottom"/>
            <w:hideMark/>
          </w:tcPr>
          <w:p w14:paraId="7735D1A6" w14:textId="025E3D1C"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141</w:t>
            </w:r>
          </w:p>
        </w:tc>
        <w:tc>
          <w:tcPr>
            <w:tcW w:w="1120" w:type="dxa"/>
            <w:shd w:val="clear" w:color="000000" w:fill="E6B8B7"/>
            <w:noWrap/>
            <w:vAlign w:val="bottom"/>
            <w:hideMark/>
          </w:tcPr>
          <w:p w14:paraId="66B8C351" w14:textId="649E445B"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161</w:t>
            </w:r>
          </w:p>
        </w:tc>
        <w:tc>
          <w:tcPr>
            <w:tcW w:w="1120" w:type="dxa"/>
            <w:shd w:val="clear" w:color="000000" w:fill="E6B8B7"/>
            <w:noWrap/>
            <w:vAlign w:val="bottom"/>
            <w:hideMark/>
          </w:tcPr>
          <w:p w14:paraId="5929D78F" w14:textId="7A0652AF"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174</w:t>
            </w:r>
          </w:p>
        </w:tc>
        <w:tc>
          <w:tcPr>
            <w:tcW w:w="1120" w:type="dxa"/>
            <w:shd w:val="clear" w:color="000000" w:fill="E6B8B7"/>
            <w:noWrap/>
            <w:vAlign w:val="bottom"/>
            <w:hideMark/>
          </w:tcPr>
          <w:p w14:paraId="353F80B0" w14:textId="723E3C9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153</w:t>
            </w:r>
          </w:p>
        </w:tc>
        <w:tc>
          <w:tcPr>
            <w:tcW w:w="1120" w:type="dxa"/>
            <w:shd w:val="clear" w:color="000000" w:fill="E6B8B7"/>
            <w:noWrap/>
            <w:vAlign w:val="bottom"/>
            <w:hideMark/>
          </w:tcPr>
          <w:p w14:paraId="60389D74" w14:textId="26F36E19"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629</w:t>
            </w:r>
          </w:p>
        </w:tc>
      </w:tr>
      <w:tr w:rsidR="003A0E6D" w:rsidRPr="008C3374" w14:paraId="30120100" w14:textId="77777777" w:rsidTr="005958EE">
        <w:trPr>
          <w:trHeight w:val="300"/>
          <w:jc w:val="center"/>
        </w:trPr>
        <w:tc>
          <w:tcPr>
            <w:tcW w:w="2860" w:type="dxa"/>
            <w:shd w:val="clear" w:color="000000" w:fill="E6B8B7"/>
            <w:noWrap/>
            <w:vAlign w:val="center"/>
            <w:hideMark/>
          </w:tcPr>
          <w:p w14:paraId="6E06FA72"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NsP Dolný Kubín</w:t>
            </w:r>
          </w:p>
        </w:tc>
        <w:tc>
          <w:tcPr>
            <w:tcW w:w="1120" w:type="dxa"/>
            <w:shd w:val="clear" w:color="000000" w:fill="E6B8B7"/>
            <w:noWrap/>
            <w:vAlign w:val="bottom"/>
            <w:hideMark/>
          </w:tcPr>
          <w:p w14:paraId="1CC2E7EB" w14:textId="40FD2082"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279</w:t>
            </w:r>
          </w:p>
        </w:tc>
        <w:tc>
          <w:tcPr>
            <w:tcW w:w="1120" w:type="dxa"/>
            <w:shd w:val="clear" w:color="000000" w:fill="E6B8B7"/>
            <w:noWrap/>
            <w:vAlign w:val="bottom"/>
            <w:hideMark/>
          </w:tcPr>
          <w:p w14:paraId="7C47E9A0" w14:textId="0A40398D"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223</w:t>
            </w:r>
          </w:p>
        </w:tc>
        <w:tc>
          <w:tcPr>
            <w:tcW w:w="1120" w:type="dxa"/>
            <w:shd w:val="clear" w:color="000000" w:fill="E6B8B7"/>
            <w:noWrap/>
            <w:vAlign w:val="bottom"/>
            <w:hideMark/>
          </w:tcPr>
          <w:p w14:paraId="6DDA955C" w14:textId="7707253E"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237</w:t>
            </w:r>
          </w:p>
        </w:tc>
        <w:tc>
          <w:tcPr>
            <w:tcW w:w="1120" w:type="dxa"/>
            <w:shd w:val="clear" w:color="000000" w:fill="E6B8B7"/>
            <w:noWrap/>
            <w:vAlign w:val="bottom"/>
            <w:hideMark/>
          </w:tcPr>
          <w:p w14:paraId="75A0DC89" w14:textId="166A08E9"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204</w:t>
            </w:r>
          </w:p>
        </w:tc>
        <w:tc>
          <w:tcPr>
            <w:tcW w:w="1120" w:type="dxa"/>
            <w:shd w:val="clear" w:color="000000" w:fill="E6B8B7"/>
            <w:noWrap/>
            <w:vAlign w:val="bottom"/>
            <w:hideMark/>
          </w:tcPr>
          <w:p w14:paraId="37396630" w14:textId="670B38A5"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943</w:t>
            </w:r>
          </w:p>
        </w:tc>
      </w:tr>
      <w:tr w:rsidR="003A0E6D" w:rsidRPr="008C3374" w14:paraId="63E24E25" w14:textId="77777777" w:rsidTr="005958EE">
        <w:trPr>
          <w:trHeight w:val="300"/>
          <w:jc w:val="center"/>
        </w:trPr>
        <w:tc>
          <w:tcPr>
            <w:tcW w:w="2860" w:type="dxa"/>
            <w:shd w:val="clear" w:color="000000" w:fill="C4D79B"/>
            <w:noWrap/>
            <w:vAlign w:val="center"/>
            <w:hideMark/>
          </w:tcPr>
          <w:p w14:paraId="3DBD345E"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Liptovský Mikuláš </w:t>
            </w:r>
          </w:p>
        </w:tc>
        <w:tc>
          <w:tcPr>
            <w:tcW w:w="1120" w:type="dxa"/>
            <w:shd w:val="clear" w:color="000000" w:fill="C4D79B"/>
            <w:noWrap/>
            <w:vAlign w:val="bottom"/>
            <w:hideMark/>
          </w:tcPr>
          <w:p w14:paraId="1E8ECC0C" w14:textId="084DB558"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147</w:t>
            </w:r>
          </w:p>
        </w:tc>
        <w:tc>
          <w:tcPr>
            <w:tcW w:w="1120" w:type="dxa"/>
            <w:shd w:val="clear" w:color="000000" w:fill="C4D79B"/>
            <w:noWrap/>
            <w:vAlign w:val="bottom"/>
            <w:hideMark/>
          </w:tcPr>
          <w:p w14:paraId="6736B04A" w14:textId="38BC0805"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168</w:t>
            </w:r>
          </w:p>
        </w:tc>
        <w:tc>
          <w:tcPr>
            <w:tcW w:w="1120" w:type="dxa"/>
            <w:shd w:val="clear" w:color="000000" w:fill="C4D79B"/>
            <w:noWrap/>
            <w:vAlign w:val="bottom"/>
            <w:hideMark/>
          </w:tcPr>
          <w:p w14:paraId="3815EF1C" w14:textId="47CA2D8D"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195</w:t>
            </w:r>
          </w:p>
        </w:tc>
        <w:tc>
          <w:tcPr>
            <w:tcW w:w="1120" w:type="dxa"/>
            <w:shd w:val="clear" w:color="000000" w:fill="C4D79B"/>
            <w:noWrap/>
            <w:vAlign w:val="bottom"/>
            <w:hideMark/>
          </w:tcPr>
          <w:p w14:paraId="3C82D20D" w14:textId="348BC7E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156</w:t>
            </w:r>
          </w:p>
        </w:tc>
        <w:tc>
          <w:tcPr>
            <w:tcW w:w="1120" w:type="dxa"/>
            <w:shd w:val="clear" w:color="000000" w:fill="C4D79B"/>
            <w:noWrap/>
            <w:vAlign w:val="bottom"/>
            <w:hideMark/>
          </w:tcPr>
          <w:p w14:paraId="01C0FE24" w14:textId="6FB74C72"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666</w:t>
            </w:r>
          </w:p>
        </w:tc>
      </w:tr>
    </w:tbl>
    <w:p w14:paraId="330754D3" w14:textId="4F1ACCAA" w:rsidR="00671D2A" w:rsidRDefault="00671D2A" w:rsidP="00671D2A">
      <w:pPr>
        <w:spacing w:line="240" w:lineRule="auto"/>
        <w:rPr>
          <w:rFonts w:ascii="Century Gothic" w:hAnsi="Century Gothic"/>
          <w:i/>
          <w:sz w:val="18"/>
          <w:szCs w:val="18"/>
        </w:rPr>
      </w:pPr>
      <w:r w:rsidRPr="002968D3">
        <w:rPr>
          <w:rFonts w:ascii="Century Gothic" w:hAnsi="Century Gothic"/>
          <w:i/>
          <w:sz w:val="18"/>
          <w:szCs w:val="18"/>
        </w:rPr>
        <w:t xml:space="preserve">Zdroj: OS ZZS SR, k 30.11.2022, </w:t>
      </w:r>
      <w:r w:rsidR="00C8452A">
        <w:rPr>
          <w:rFonts w:ascii="Century Gothic" w:hAnsi="Century Gothic"/>
          <w:i/>
          <w:sz w:val="18"/>
          <w:szCs w:val="18"/>
        </w:rPr>
        <w:t>vlastné spracovanie</w:t>
      </w:r>
    </w:p>
    <w:p w14:paraId="5E152150" w14:textId="77777777" w:rsidR="003A0E6D" w:rsidRDefault="003A0E6D" w:rsidP="003A0E6D">
      <w:pPr>
        <w:spacing w:line="240" w:lineRule="auto"/>
        <w:rPr>
          <w:rFonts w:ascii="Century Gothic" w:hAnsi="Century Gothic"/>
        </w:rPr>
      </w:pPr>
    </w:p>
    <w:p w14:paraId="3BCA411F" w14:textId="1A7E7906" w:rsidR="003A0E6D" w:rsidRPr="002968D3" w:rsidRDefault="003A0E6D" w:rsidP="003A0E6D">
      <w:pPr>
        <w:spacing w:line="240" w:lineRule="auto"/>
        <w:rPr>
          <w:rFonts w:ascii="Century Gothic" w:hAnsi="Century Gothic"/>
          <w:sz w:val="22"/>
          <w:szCs w:val="22"/>
        </w:rPr>
      </w:pPr>
      <w:r w:rsidRPr="002968D3">
        <w:rPr>
          <w:rFonts w:ascii="Century Gothic" w:hAnsi="Century Gothic"/>
          <w:sz w:val="22"/>
          <w:szCs w:val="22"/>
        </w:rPr>
        <w:t>Prevoz  na tzv. „vyššie pracovisko“ podľa priorít prevozov (priorita A </w:t>
      </w:r>
      <w:proofErr w:type="spellStart"/>
      <w:r w:rsidRPr="002968D3">
        <w:rPr>
          <w:rFonts w:ascii="Century Gothic" w:hAnsi="Century Gothic"/>
          <w:sz w:val="22"/>
          <w:szCs w:val="22"/>
        </w:rPr>
        <w:t>a</w:t>
      </w:r>
      <w:proofErr w:type="spellEnd"/>
      <w:r w:rsidRPr="002968D3">
        <w:rPr>
          <w:rFonts w:ascii="Century Gothic" w:hAnsi="Century Gothic"/>
          <w:sz w:val="22"/>
          <w:szCs w:val="22"/>
        </w:rPr>
        <w:t xml:space="preserve"> B) s dg spektrom akútneho koronárneho syndrómu, polytraumy, traumy hlavy, NCMP a</w:t>
      </w:r>
      <w:r w:rsidR="00312A43">
        <w:rPr>
          <w:rFonts w:ascii="Century Gothic" w:hAnsi="Century Gothic"/>
          <w:sz w:val="22"/>
          <w:szCs w:val="22"/>
        </w:rPr>
        <w:t> </w:t>
      </w:r>
      <w:r w:rsidRPr="002968D3">
        <w:rPr>
          <w:rFonts w:ascii="Century Gothic" w:hAnsi="Century Gothic"/>
          <w:sz w:val="22"/>
          <w:szCs w:val="22"/>
        </w:rPr>
        <w:t>pod</w:t>
      </w:r>
      <w:r w:rsidR="00312A43">
        <w:rPr>
          <w:rFonts w:ascii="Century Gothic" w:hAnsi="Century Gothic"/>
          <w:sz w:val="22"/>
          <w:szCs w:val="22"/>
        </w:rPr>
        <w:t>.</w:t>
      </w:r>
      <w:r w:rsidRPr="002968D3">
        <w:rPr>
          <w:rFonts w:ascii="Century Gothic" w:hAnsi="Century Gothic"/>
          <w:sz w:val="22"/>
          <w:szCs w:val="22"/>
        </w:rPr>
        <w:t xml:space="preserve"> je vyšší ako v ostatných nemocniciach, resp. jeho percento s celkových prevozov je významne vyššie (20-30%). Tento pohľad samozrejme nemá stopercentnú  výpovednú hodnotu, ale je dostatočne indikatívny.</w:t>
      </w:r>
    </w:p>
    <w:p w14:paraId="5FC1EC72" w14:textId="77777777" w:rsidR="002968D3" w:rsidRDefault="002968D3" w:rsidP="002968D3">
      <w:pPr>
        <w:spacing w:line="240" w:lineRule="auto"/>
        <w:jc w:val="left"/>
        <w:rPr>
          <w:rFonts w:ascii="Century Gothic" w:hAnsi="Century Gothic" w:cs="Arial"/>
          <w:sz w:val="22"/>
          <w:szCs w:val="22"/>
        </w:rPr>
      </w:pPr>
    </w:p>
    <w:p w14:paraId="1F3A719A" w14:textId="2E1E3396" w:rsidR="0039692B" w:rsidRPr="0039692B" w:rsidRDefault="0039692B" w:rsidP="0039692B">
      <w:pPr>
        <w:keepNext/>
        <w:spacing w:line="240" w:lineRule="auto"/>
        <w:jc w:val="left"/>
        <w:rPr>
          <w:rFonts w:ascii="Century Gothic" w:hAnsi="Century Gothic" w:cs="Arial"/>
          <w:i/>
          <w:sz w:val="20"/>
          <w:szCs w:val="20"/>
        </w:rPr>
      </w:pPr>
      <w:bookmarkStart w:id="59" w:name="_Toc145219914"/>
      <w:r w:rsidRPr="0039692B">
        <w:rPr>
          <w:rFonts w:ascii="Century Gothic" w:hAnsi="Century Gothic" w:cs="Arial"/>
          <w:i/>
          <w:sz w:val="20"/>
          <w:szCs w:val="20"/>
        </w:rPr>
        <w:t xml:space="preserve">Tabuľka </w:t>
      </w:r>
      <w:r w:rsidRPr="0039692B">
        <w:rPr>
          <w:rFonts w:ascii="Century Gothic" w:hAnsi="Century Gothic" w:cs="Arial"/>
          <w:i/>
          <w:sz w:val="20"/>
          <w:szCs w:val="20"/>
        </w:rPr>
        <w:fldChar w:fldCharType="begin"/>
      </w:r>
      <w:r w:rsidRPr="0039692B">
        <w:rPr>
          <w:rFonts w:ascii="Century Gothic" w:hAnsi="Century Gothic" w:cs="Arial"/>
          <w:i/>
          <w:sz w:val="20"/>
          <w:szCs w:val="20"/>
        </w:rPr>
        <w:instrText xml:space="preserve"> SEQ Tabuľka \* ARABIC </w:instrText>
      </w:r>
      <w:r w:rsidRPr="0039692B">
        <w:rPr>
          <w:rFonts w:ascii="Century Gothic" w:hAnsi="Century Gothic" w:cs="Arial"/>
          <w:i/>
          <w:sz w:val="20"/>
          <w:szCs w:val="20"/>
        </w:rPr>
        <w:fldChar w:fldCharType="separate"/>
      </w:r>
      <w:r w:rsidR="007D6A44">
        <w:rPr>
          <w:rFonts w:ascii="Century Gothic" w:hAnsi="Century Gothic" w:cs="Arial"/>
          <w:i/>
          <w:noProof/>
          <w:sz w:val="20"/>
          <w:szCs w:val="20"/>
        </w:rPr>
        <w:t>13</w:t>
      </w:r>
      <w:r w:rsidRPr="0039692B">
        <w:rPr>
          <w:rFonts w:ascii="Century Gothic" w:hAnsi="Century Gothic" w:cs="Arial"/>
          <w:i/>
          <w:sz w:val="20"/>
          <w:szCs w:val="20"/>
        </w:rPr>
        <w:fldChar w:fldCharType="end"/>
      </w:r>
      <w:r w:rsidRPr="0039692B">
        <w:rPr>
          <w:rFonts w:ascii="Century Gothic" w:hAnsi="Century Gothic" w:cs="Arial"/>
          <w:i/>
          <w:sz w:val="20"/>
          <w:szCs w:val="20"/>
        </w:rPr>
        <w:t xml:space="preserve"> Počet sekundárnych prevozov na „vyššie pracovisko“ v rámci ŽSK (priorita A+B)</w:t>
      </w:r>
      <w:bookmarkEnd w:id="59"/>
    </w:p>
    <w:tbl>
      <w:tblPr>
        <w:tblW w:w="7080" w:type="dxa"/>
        <w:jc w:val="center"/>
        <w:tblCellMar>
          <w:left w:w="70" w:type="dxa"/>
          <w:right w:w="70" w:type="dxa"/>
        </w:tblCellMar>
        <w:tblLook w:val="04A0" w:firstRow="1" w:lastRow="0" w:firstColumn="1" w:lastColumn="0" w:noHBand="0" w:noVBand="1"/>
      </w:tblPr>
      <w:tblGrid>
        <w:gridCol w:w="2600"/>
        <w:gridCol w:w="1120"/>
        <w:gridCol w:w="1120"/>
        <w:gridCol w:w="1120"/>
        <w:gridCol w:w="1120"/>
      </w:tblGrid>
      <w:tr w:rsidR="003A0E6D" w:rsidRPr="008C3374" w14:paraId="7DB53099" w14:textId="77777777" w:rsidTr="00105F87">
        <w:trPr>
          <w:trHeight w:val="743"/>
          <w:jc w:val="center"/>
        </w:trPr>
        <w:tc>
          <w:tcPr>
            <w:tcW w:w="2600" w:type="dxa"/>
            <w:shd w:val="clear" w:color="auto" w:fill="595959" w:themeFill="text1" w:themeFillTint="A6"/>
            <w:vAlign w:val="center"/>
            <w:hideMark/>
          </w:tcPr>
          <w:p w14:paraId="5B5E2854" w14:textId="77777777" w:rsidR="003A0E6D" w:rsidRPr="00105F87" w:rsidRDefault="003A0E6D" w:rsidP="002968D3">
            <w:pPr>
              <w:spacing w:line="240" w:lineRule="auto"/>
              <w:jc w:val="center"/>
              <w:rPr>
                <w:rFonts w:ascii="Calibri" w:hAnsi="Calibri" w:cs="Calibri"/>
                <w:b/>
                <w:bCs/>
                <w:color w:val="FFFFFF" w:themeColor="background1"/>
                <w:sz w:val="22"/>
                <w:szCs w:val="22"/>
              </w:rPr>
            </w:pPr>
            <w:r w:rsidRPr="00105F87">
              <w:rPr>
                <w:rFonts w:ascii="Calibri" w:hAnsi="Calibri" w:cs="Calibri"/>
                <w:b/>
                <w:bCs/>
                <w:color w:val="FFFFFF" w:themeColor="background1"/>
                <w:sz w:val="22"/>
                <w:szCs w:val="22"/>
              </w:rPr>
              <w:t>KRAJ, NÁZOV ÚZZ</w:t>
            </w:r>
          </w:p>
        </w:tc>
        <w:tc>
          <w:tcPr>
            <w:tcW w:w="1120" w:type="dxa"/>
            <w:shd w:val="clear" w:color="auto" w:fill="595959" w:themeFill="text1" w:themeFillTint="A6"/>
            <w:vAlign w:val="center"/>
            <w:hideMark/>
          </w:tcPr>
          <w:p w14:paraId="463E0372" w14:textId="77777777" w:rsidR="003A0E6D" w:rsidRPr="00105F87" w:rsidRDefault="003A0E6D" w:rsidP="002968D3">
            <w:pPr>
              <w:spacing w:line="240" w:lineRule="auto"/>
              <w:jc w:val="center"/>
              <w:rPr>
                <w:rFonts w:ascii="Calibri" w:hAnsi="Calibri" w:cs="Calibri"/>
                <w:b/>
                <w:bCs/>
                <w:color w:val="FFFFFF" w:themeColor="background1"/>
                <w:sz w:val="22"/>
                <w:szCs w:val="22"/>
              </w:rPr>
            </w:pPr>
            <w:r w:rsidRPr="00105F87">
              <w:rPr>
                <w:rFonts w:ascii="Calibri" w:hAnsi="Calibri" w:cs="Calibri"/>
                <w:b/>
                <w:bCs/>
                <w:color w:val="FFFFFF" w:themeColor="background1"/>
                <w:sz w:val="22"/>
                <w:szCs w:val="22"/>
              </w:rPr>
              <w:t>SPOLU ZA ROKY</w:t>
            </w:r>
          </w:p>
        </w:tc>
        <w:tc>
          <w:tcPr>
            <w:tcW w:w="1120" w:type="dxa"/>
            <w:shd w:val="clear" w:color="auto" w:fill="595959" w:themeFill="text1" w:themeFillTint="A6"/>
            <w:vAlign w:val="center"/>
            <w:hideMark/>
          </w:tcPr>
          <w:p w14:paraId="5416F997" w14:textId="77777777" w:rsidR="003A0E6D" w:rsidRPr="00105F87" w:rsidRDefault="003A0E6D" w:rsidP="002968D3">
            <w:pPr>
              <w:spacing w:line="240" w:lineRule="auto"/>
              <w:jc w:val="center"/>
              <w:rPr>
                <w:rFonts w:ascii="Calibri" w:hAnsi="Calibri" w:cs="Calibri"/>
                <w:b/>
                <w:bCs/>
                <w:color w:val="FFFFFF" w:themeColor="background1"/>
                <w:sz w:val="22"/>
                <w:szCs w:val="22"/>
              </w:rPr>
            </w:pPr>
            <w:r w:rsidRPr="00105F87">
              <w:rPr>
                <w:rFonts w:ascii="Calibri" w:hAnsi="Calibri" w:cs="Calibri"/>
                <w:b/>
                <w:bCs/>
                <w:color w:val="FFFFFF" w:themeColor="background1"/>
                <w:sz w:val="22"/>
                <w:szCs w:val="22"/>
              </w:rPr>
              <w:t>Priorita A</w:t>
            </w:r>
          </w:p>
        </w:tc>
        <w:tc>
          <w:tcPr>
            <w:tcW w:w="1120" w:type="dxa"/>
            <w:shd w:val="clear" w:color="auto" w:fill="595959" w:themeFill="text1" w:themeFillTint="A6"/>
            <w:vAlign w:val="center"/>
            <w:hideMark/>
          </w:tcPr>
          <w:p w14:paraId="1071F325" w14:textId="77777777" w:rsidR="003A0E6D" w:rsidRPr="00105F87" w:rsidRDefault="003A0E6D" w:rsidP="002968D3">
            <w:pPr>
              <w:spacing w:line="240" w:lineRule="auto"/>
              <w:jc w:val="center"/>
              <w:rPr>
                <w:rFonts w:ascii="Calibri" w:hAnsi="Calibri" w:cs="Calibri"/>
                <w:b/>
                <w:bCs/>
                <w:color w:val="FFFFFF" w:themeColor="background1"/>
                <w:sz w:val="22"/>
                <w:szCs w:val="22"/>
              </w:rPr>
            </w:pPr>
            <w:r w:rsidRPr="00105F87">
              <w:rPr>
                <w:rFonts w:ascii="Calibri" w:hAnsi="Calibri" w:cs="Calibri"/>
                <w:b/>
                <w:bCs/>
                <w:color w:val="FFFFFF" w:themeColor="background1"/>
                <w:sz w:val="22"/>
                <w:szCs w:val="22"/>
              </w:rPr>
              <w:t>Priorita B</w:t>
            </w:r>
          </w:p>
        </w:tc>
        <w:tc>
          <w:tcPr>
            <w:tcW w:w="1120" w:type="dxa"/>
            <w:shd w:val="clear" w:color="auto" w:fill="595959" w:themeFill="text1" w:themeFillTint="A6"/>
            <w:vAlign w:val="center"/>
            <w:hideMark/>
          </w:tcPr>
          <w:p w14:paraId="7E898B62" w14:textId="77777777" w:rsidR="003A0E6D" w:rsidRPr="00105F87" w:rsidRDefault="003A0E6D" w:rsidP="002968D3">
            <w:pPr>
              <w:spacing w:line="240" w:lineRule="auto"/>
              <w:jc w:val="center"/>
              <w:rPr>
                <w:rFonts w:ascii="Calibri" w:hAnsi="Calibri" w:cs="Calibri"/>
                <w:b/>
                <w:bCs/>
                <w:color w:val="FFFFFF" w:themeColor="background1"/>
                <w:sz w:val="22"/>
                <w:szCs w:val="22"/>
              </w:rPr>
            </w:pPr>
            <w:r w:rsidRPr="00105F87">
              <w:rPr>
                <w:rFonts w:ascii="Calibri" w:hAnsi="Calibri" w:cs="Calibri"/>
                <w:b/>
                <w:bCs/>
                <w:color w:val="FFFFFF" w:themeColor="background1"/>
                <w:sz w:val="22"/>
                <w:szCs w:val="22"/>
              </w:rPr>
              <w:t xml:space="preserve">A+B ako %všetkých </w:t>
            </w:r>
          </w:p>
        </w:tc>
      </w:tr>
      <w:tr w:rsidR="003A0E6D" w:rsidRPr="008C3374" w14:paraId="7A8B1858" w14:textId="77777777" w:rsidTr="005958EE">
        <w:trPr>
          <w:trHeight w:val="300"/>
          <w:jc w:val="center"/>
        </w:trPr>
        <w:tc>
          <w:tcPr>
            <w:tcW w:w="2600" w:type="dxa"/>
            <w:shd w:val="clear" w:color="auto" w:fill="auto"/>
            <w:noWrap/>
            <w:vAlign w:val="center"/>
            <w:hideMark/>
          </w:tcPr>
          <w:p w14:paraId="2B16637B"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TN, NsP Považská Bystrica </w:t>
            </w:r>
          </w:p>
        </w:tc>
        <w:tc>
          <w:tcPr>
            <w:tcW w:w="1120" w:type="dxa"/>
            <w:shd w:val="clear" w:color="auto" w:fill="auto"/>
            <w:noWrap/>
            <w:vAlign w:val="bottom"/>
            <w:hideMark/>
          </w:tcPr>
          <w:p w14:paraId="14F32FF1" w14:textId="34546A09"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1 495</w:t>
            </w:r>
          </w:p>
        </w:tc>
        <w:tc>
          <w:tcPr>
            <w:tcW w:w="1120" w:type="dxa"/>
            <w:shd w:val="clear" w:color="auto" w:fill="auto"/>
            <w:noWrap/>
            <w:vAlign w:val="bottom"/>
            <w:hideMark/>
          </w:tcPr>
          <w:p w14:paraId="5082E440"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10</w:t>
            </w:r>
          </w:p>
        </w:tc>
        <w:tc>
          <w:tcPr>
            <w:tcW w:w="1120" w:type="dxa"/>
            <w:shd w:val="clear" w:color="auto" w:fill="auto"/>
            <w:noWrap/>
            <w:vAlign w:val="bottom"/>
            <w:hideMark/>
          </w:tcPr>
          <w:p w14:paraId="487B51D4"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98</w:t>
            </w:r>
          </w:p>
        </w:tc>
        <w:tc>
          <w:tcPr>
            <w:tcW w:w="1120" w:type="dxa"/>
            <w:shd w:val="clear" w:color="auto" w:fill="auto"/>
            <w:noWrap/>
            <w:vAlign w:val="bottom"/>
            <w:hideMark/>
          </w:tcPr>
          <w:p w14:paraId="3DFEFF0B" w14:textId="05CE2D75"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w:t>
            </w:r>
          </w:p>
        </w:tc>
      </w:tr>
      <w:tr w:rsidR="003A0E6D" w:rsidRPr="008C3374" w14:paraId="0ECDE843" w14:textId="77777777" w:rsidTr="005958EE">
        <w:trPr>
          <w:trHeight w:val="300"/>
          <w:jc w:val="center"/>
        </w:trPr>
        <w:tc>
          <w:tcPr>
            <w:tcW w:w="2600" w:type="dxa"/>
            <w:shd w:val="clear" w:color="000000" w:fill="FFFF99"/>
            <w:noWrap/>
            <w:vAlign w:val="center"/>
            <w:hideMark/>
          </w:tcPr>
          <w:p w14:paraId="4531CF85"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Čadca </w:t>
            </w:r>
          </w:p>
        </w:tc>
        <w:tc>
          <w:tcPr>
            <w:tcW w:w="1120" w:type="dxa"/>
            <w:shd w:val="clear" w:color="000000" w:fill="FFFF99"/>
            <w:noWrap/>
            <w:vAlign w:val="bottom"/>
            <w:hideMark/>
          </w:tcPr>
          <w:p w14:paraId="22F2FC5B" w14:textId="496C457A"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1 215</w:t>
            </w:r>
          </w:p>
        </w:tc>
        <w:tc>
          <w:tcPr>
            <w:tcW w:w="1120" w:type="dxa"/>
            <w:shd w:val="clear" w:color="000000" w:fill="FFFF99"/>
            <w:noWrap/>
            <w:vAlign w:val="bottom"/>
            <w:hideMark/>
          </w:tcPr>
          <w:p w14:paraId="5EC7FD22"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10</w:t>
            </w:r>
          </w:p>
        </w:tc>
        <w:tc>
          <w:tcPr>
            <w:tcW w:w="1120" w:type="dxa"/>
            <w:shd w:val="clear" w:color="000000" w:fill="FFFF99"/>
            <w:noWrap/>
            <w:vAlign w:val="bottom"/>
            <w:hideMark/>
          </w:tcPr>
          <w:p w14:paraId="3946E588"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73</w:t>
            </w:r>
          </w:p>
        </w:tc>
        <w:tc>
          <w:tcPr>
            <w:tcW w:w="1120" w:type="dxa"/>
            <w:shd w:val="clear" w:color="000000" w:fill="FFFF99"/>
            <w:noWrap/>
            <w:vAlign w:val="bottom"/>
            <w:hideMark/>
          </w:tcPr>
          <w:p w14:paraId="6FE066A0" w14:textId="27021F4E"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w:t>
            </w:r>
          </w:p>
        </w:tc>
      </w:tr>
      <w:tr w:rsidR="003A0E6D" w:rsidRPr="008C3374" w14:paraId="4A0F193F" w14:textId="77777777" w:rsidTr="005958EE">
        <w:trPr>
          <w:trHeight w:val="300"/>
          <w:jc w:val="center"/>
        </w:trPr>
        <w:tc>
          <w:tcPr>
            <w:tcW w:w="2600" w:type="dxa"/>
            <w:shd w:val="clear" w:color="000000" w:fill="FFFF99"/>
            <w:noWrap/>
            <w:vAlign w:val="center"/>
            <w:hideMark/>
          </w:tcPr>
          <w:p w14:paraId="0C54079E" w14:textId="218099A8"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w:t>
            </w:r>
            <w:proofErr w:type="spellStart"/>
            <w:r w:rsidRPr="003079F7">
              <w:rPr>
                <w:rFonts w:ascii="Arial Narrow" w:hAnsi="Arial Narrow" w:cs="Calibri"/>
                <w:b/>
                <w:bCs/>
                <w:color w:val="000000"/>
                <w:sz w:val="20"/>
                <w:szCs w:val="20"/>
              </w:rPr>
              <w:t>FN</w:t>
            </w:r>
            <w:r w:rsidR="009C523D">
              <w:rPr>
                <w:rFonts w:ascii="Arial Narrow" w:hAnsi="Arial Narrow" w:cs="Calibri"/>
                <w:b/>
                <w:bCs/>
                <w:color w:val="000000"/>
                <w:sz w:val="20"/>
                <w:szCs w:val="20"/>
              </w:rPr>
              <w:t>s</w:t>
            </w:r>
            <w:r w:rsidRPr="003079F7">
              <w:rPr>
                <w:rFonts w:ascii="Arial Narrow" w:hAnsi="Arial Narrow" w:cs="Calibri"/>
                <w:b/>
                <w:bCs/>
                <w:color w:val="000000"/>
                <w:sz w:val="20"/>
                <w:szCs w:val="20"/>
              </w:rPr>
              <w:t>P</w:t>
            </w:r>
            <w:proofErr w:type="spellEnd"/>
            <w:r w:rsidRPr="003079F7">
              <w:rPr>
                <w:rFonts w:ascii="Arial Narrow" w:hAnsi="Arial Narrow" w:cs="Calibri"/>
                <w:b/>
                <w:bCs/>
                <w:color w:val="000000"/>
                <w:sz w:val="20"/>
                <w:szCs w:val="20"/>
              </w:rPr>
              <w:t xml:space="preserve"> Žilina </w:t>
            </w:r>
          </w:p>
        </w:tc>
        <w:tc>
          <w:tcPr>
            <w:tcW w:w="1120" w:type="dxa"/>
            <w:shd w:val="clear" w:color="000000" w:fill="FFFF99"/>
            <w:noWrap/>
            <w:vAlign w:val="bottom"/>
            <w:hideMark/>
          </w:tcPr>
          <w:p w14:paraId="0EB4F17F" w14:textId="692C92D9"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3 568</w:t>
            </w:r>
          </w:p>
        </w:tc>
        <w:tc>
          <w:tcPr>
            <w:tcW w:w="1120" w:type="dxa"/>
            <w:shd w:val="clear" w:color="000000" w:fill="FFFF99"/>
            <w:noWrap/>
            <w:vAlign w:val="bottom"/>
            <w:hideMark/>
          </w:tcPr>
          <w:p w14:paraId="4EA15859"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150</w:t>
            </w:r>
          </w:p>
        </w:tc>
        <w:tc>
          <w:tcPr>
            <w:tcW w:w="1120" w:type="dxa"/>
            <w:shd w:val="clear" w:color="000000" w:fill="FFFF99"/>
            <w:noWrap/>
            <w:vAlign w:val="bottom"/>
            <w:hideMark/>
          </w:tcPr>
          <w:p w14:paraId="1EC7258D"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481</w:t>
            </w:r>
          </w:p>
        </w:tc>
        <w:tc>
          <w:tcPr>
            <w:tcW w:w="1120" w:type="dxa"/>
            <w:shd w:val="clear" w:color="000000" w:fill="FFFF99"/>
            <w:noWrap/>
            <w:vAlign w:val="bottom"/>
            <w:hideMark/>
          </w:tcPr>
          <w:p w14:paraId="58F8562E" w14:textId="213E9612"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18</w:t>
            </w:r>
          </w:p>
        </w:tc>
      </w:tr>
      <w:tr w:rsidR="003A0E6D" w:rsidRPr="008C3374" w14:paraId="49C8BD2C" w14:textId="77777777" w:rsidTr="005958EE">
        <w:trPr>
          <w:trHeight w:val="300"/>
          <w:jc w:val="center"/>
        </w:trPr>
        <w:tc>
          <w:tcPr>
            <w:tcW w:w="2600" w:type="dxa"/>
            <w:shd w:val="clear" w:color="000000" w:fill="B8CCE4"/>
            <w:noWrap/>
            <w:vAlign w:val="center"/>
            <w:hideMark/>
          </w:tcPr>
          <w:p w14:paraId="40486D5D" w14:textId="33F12095"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UN</w:t>
            </w:r>
            <w:r w:rsidR="009C523D">
              <w:rPr>
                <w:rFonts w:ascii="Arial Narrow" w:hAnsi="Arial Narrow" w:cs="Calibri"/>
                <w:b/>
                <w:bCs/>
                <w:color w:val="000000"/>
                <w:sz w:val="20"/>
                <w:szCs w:val="20"/>
              </w:rPr>
              <w:t>M</w:t>
            </w:r>
            <w:r w:rsidRPr="003079F7">
              <w:rPr>
                <w:rFonts w:ascii="Arial Narrow" w:hAnsi="Arial Narrow" w:cs="Calibri"/>
                <w:b/>
                <w:bCs/>
                <w:color w:val="000000"/>
                <w:sz w:val="20"/>
                <w:szCs w:val="20"/>
              </w:rPr>
              <w:t xml:space="preserve"> Martin </w:t>
            </w:r>
          </w:p>
        </w:tc>
        <w:tc>
          <w:tcPr>
            <w:tcW w:w="1120" w:type="dxa"/>
            <w:shd w:val="clear" w:color="000000" w:fill="B8CCE4"/>
            <w:noWrap/>
            <w:vAlign w:val="bottom"/>
            <w:hideMark/>
          </w:tcPr>
          <w:p w14:paraId="35985CB5" w14:textId="752C16C6"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8 201</w:t>
            </w:r>
          </w:p>
        </w:tc>
        <w:tc>
          <w:tcPr>
            <w:tcW w:w="1120" w:type="dxa"/>
            <w:shd w:val="clear" w:color="000000" w:fill="B8CCE4"/>
            <w:noWrap/>
            <w:vAlign w:val="bottom"/>
            <w:hideMark/>
          </w:tcPr>
          <w:p w14:paraId="31295004"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1289</w:t>
            </w:r>
          </w:p>
        </w:tc>
        <w:tc>
          <w:tcPr>
            <w:tcW w:w="1120" w:type="dxa"/>
            <w:shd w:val="clear" w:color="000000" w:fill="B8CCE4"/>
            <w:noWrap/>
            <w:vAlign w:val="bottom"/>
            <w:hideMark/>
          </w:tcPr>
          <w:p w14:paraId="18EF6F24"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1357</w:t>
            </w:r>
          </w:p>
        </w:tc>
        <w:tc>
          <w:tcPr>
            <w:tcW w:w="1120" w:type="dxa"/>
            <w:shd w:val="clear" w:color="000000" w:fill="B8CCE4"/>
            <w:noWrap/>
            <w:vAlign w:val="bottom"/>
            <w:hideMark/>
          </w:tcPr>
          <w:p w14:paraId="348768B5" w14:textId="41F34EC2"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32</w:t>
            </w:r>
          </w:p>
        </w:tc>
      </w:tr>
      <w:tr w:rsidR="003A0E6D" w:rsidRPr="008C3374" w14:paraId="422F90DE" w14:textId="77777777" w:rsidTr="005958EE">
        <w:trPr>
          <w:trHeight w:val="300"/>
          <w:jc w:val="center"/>
        </w:trPr>
        <w:tc>
          <w:tcPr>
            <w:tcW w:w="2600" w:type="dxa"/>
            <w:shd w:val="clear" w:color="000000" w:fill="E6B8B7"/>
            <w:noWrap/>
            <w:vAlign w:val="center"/>
            <w:hideMark/>
          </w:tcPr>
          <w:p w14:paraId="350E1D86"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ÚVN Ružomberok - FN</w:t>
            </w:r>
          </w:p>
        </w:tc>
        <w:tc>
          <w:tcPr>
            <w:tcW w:w="1120" w:type="dxa"/>
            <w:shd w:val="clear" w:color="000000" w:fill="E6B8B7"/>
            <w:noWrap/>
            <w:vAlign w:val="bottom"/>
            <w:hideMark/>
          </w:tcPr>
          <w:p w14:paraId="798F5DAA" w14:textId="4CBD91D0"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2 721</w:t>
            </w:r>
          </w:p>
        </w:tc>
        <w:tc>
          <w:tcPr>
            <w:tcW w:w="1120" w:type="dxa"/>
            <w:shd w:val="clear" w:color="000000" w:fill="E6B8B7"/>
            <w:noWrap/>
            <w:vAlign w:val="bottom"/>
            <w:hideMark/>
          </w:tcPr>
          <w:p w14:paraId="0C09479C"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147</w:t>
            </w:r>
          </w:p>
        </w:tc>
        <w:tc>
          <w:tcPr>
            <w:tcW w:w="1120" w:type="dxa"/>
            <w:shd w:val="clear" w:color="000000" w:fill="E6B8B7"/>
            <w:noWrap/>
            <w:vAlign w:val="bottom"/>
            <w:hideMark/>
          </w:tcPr>
          <w:p w14:paraId="5B0CE118"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448</w:t>
            </w:r>
          </w:p>
        </w:tc>
        <w:tc>
          <w:tcPr>
            <w:tcW w:w="1120" w:type="dxa"/>
            <w:shd w:val="clear" w:color="000000" w:fill="E6B8B7"/>
            <w:noWrap/>
            <w:vAlign w:val="bottom"/>
            <w:hideMark/>
          </w:tcPr>
          <w:p w14:paraId="1824431E" w14:textId="68233AEC"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22</w:t>
            </w:r>
          </w:p>
        </w:tc>
      </w:tr>
      <w:tr w:rsidR="003A0E6D" w:rsidRPr="008C3374" w14:paraId="35108211" w14:textId="77777777" w:rsidTr="005958EE">
        <w:trPr>
          <w:trHeight w:val="300"/>
          <w:jc w:val="center"/>
        </w:trPr>
        <w:tc>
          <w:tcPr>
            <w:tcW w:w="2600" w:type="dxa"/>
            <w:shd w:val="clear" w:color="000000" w:fill="E6B8B7"/>
            <w:noWrap/>
            <w:vAlign w:val="center"/>
            <w:hideMark/>
          </w:tcPr>
          <w:p w14:paraId="35D56C9D"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Trstená </w:t>
            </w:r>
          </w:p>
        </w:tc>
        <w:tc>
          <w:tcPr>
            <w:tcW w:w="1120" w:type="dxa"/>
            <w:shd w:val="clear" w:color="000000" w:fill="E6B8B7"/>
            <w:noWrap/>
            <w:vAlign w:val="bottom"/>
            <w:hideMark/>
          </w:tcPr>
          <w:p w14:paraId="57B4A650" w14:textId="328458F5"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629</w:t>
            </w:r>
          </w:p>
        </w:tc>
        <w:tc>
          <w:tcPr>
            <w:tcW w:w="1120" w:type="dxa"/>
            <w:shd w:val="clear" w:color="000000" w:fill="E6B8B7"/>
            <w:noWrap/>
            <w:vAlign w:val="bottom"/>
            <w:hideMark/>
          </w:tcPr>
          <w:p w14:paraId="485D3EC0"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7</w:t>
            </w:r>
          </w:p>
        </w:tc>
        <w:tc>
          <w:tcPr>
            <w:tcW w:w="1120" w:type="dxa"/>
            <w:shd w:val="clear" w:color="000000" w:fill="E6B8B7"/>
            <w:noWrap/>
            <w:vAlign w:val="bottom"/>
            <w:hideMark/>
          </w:tcPr>
          <w:p w14:paraId="3C3D36F9"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64</w:t>
            </w:r>
          </w:p>
        </w:tc>
        <w:tc>
          <w:tcPr>
            <w:tcW w:w="1120" w:type="dxa"/>
            <w:shd w:val="clear" w:color="000000" w:fill="E6B8B7"/>
            <w:noWrap/>
            <w:vAlign w:val="bottom"/>
            <w:hideMark/>
          </w:tcPr>
          <w:p w14:paraId="1372C587" w14:textId="5F586DAA"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11</w:t>
            </w:r>
          </w:p>
        </w:tc>
      </w:tr>
      <w:tr w:rsidR="003A0E6D" w:rsidRPr="008C3374" w14:paraId="56E6117C" w14:textId="77777777" w:rsidTr="005958EE">
        <w:trPr>
          <w:trHeight w:val="300"/>
          <w:jc w:val="center"/>
        </w:trPr>
        <w:tc>
          <w:tcPr>
            <w:tcW w:w="2600" w:type="dxa"/>
            <w:shd w:val="clear" w:color="000000" w:fill="E6B8B7"/>
            <w:noWrap/>
            <w:vAlign w:val="center"/>
            <w:hideMark/>
          </w:tcPr>
          <w:p w14:paraId="555A9E97"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ZA, NsP Dolný Kubín</w:t>
            </w:r>
          </w:p>
        </w:tc>
        <w:tc>
          <w:tcPr>
            <w:tcW w:w="1120" w:type="dxa"/>
            <w:shd w:val="clear" w:color="000000" w:fill="E6B8B7"/>
            <w:noWrap/>
            <w:vAlign w:val="bottom"/>
            <w:hideMark/>
          </w:tcPr>
          <w:p w14:paraId="1082ED96" w14:textId="21EF083F"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943</w:t>
            </w:r>
          </w:p>
        </w:tc>
        <w:tc>
          <w:tcPr>
            <w:tcW w:w="1120" w:type="dxa"/>
            <w:shd w:val="clear" w:color="000000" w:fill="E6B8B7"/>
            <w:noWrap/>
            <w:vAlign w:val="bottom"/>
            <w:hideMark/>
          </w:tcPr>
          <w:p w14:paraId="09E14818"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18</w:t>
            </w:r>
          </w:p>
        </w:tc>
        <w:tc>
          <w:tcPr>
            <w:tcW w:w="1120" w:type="dxa"/>
            <w:shd w:val="clear" w:color="000000" w:fill="E6B8B7"/>
            <w:noWrap/>
            <w:vAlign w:val="bottom"/>
            <w:hideMark/>
          </w:tcPr>
          <w:p w14:paraId="229787D4"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133</w:t>
            </w:r>
          </w:p>
        </w:tc>
        <w:tc>
          <w:tcPr>
            <w:tcW w:w="1120" w:type="dxa"/>
            <w:shd w:val="clear" w:color="000000" w:fill="E6B8B7"/>
            <w:noWrap/>
            <w:vAlign w:val="bottom"/>
            <w:hideMark/>
          </w:tcPr>
          <w:p w14:paraId="2A4291F4" w14:textId="52357065"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16</w:t>
            </w:r>
          </w:p>
        </w:tc>
      </w:tr>
      <w:tr w:rsidR="003A0E6D" w:rsidRPr="008C3374" w14:paraId="5BCA36E6" w14:textId="77777777" w:rsidTr="005958EE">
        <w:trPr>
          <w:trHeight w:val="300"/>
          <w:jc w:val="center"/>
        </w:trPr>
        <w:tc>
          <w:tcPr>
            <w:tcW w:w="2600" w:type="dxa"/>
            <w:shd w:val="clear" w:color="000000" w:fill="C4D79B"/>
            <w:noWrap/>
            <w:vAlign w:val="center"/>
            <w:hideMark/>
          </w:tcPr>
          <w:p w14:paraId="5339A5B3" w14:textId="77777777" w:rsidR="003A0E6D" w:rsidRPr="003079F7" w:rsidRDefault="003A0E6D" w:rsidP="002968D3">
            <w:pPr>
              <w:spacing w:line="240" w:lineRule="auto"/>
              <w:jc w:val="left"/>
              <w:rPr>
                <w:rFonts w:ascii="Arial Narrow" w:hAnsi="Arial Narrow" w:cs="Calibri"/>
                <w:b/>
                <w:bCs/>
                <w:color w:val="000000"/>
                <w:sz w:val="20"/>
                <w:szCs w:val="20"/>
              </w:rPr>
            </w:pPr>
            <w:r w:rsidRPr="003079F7">
              <w:rPr>
                <w:rFonts w:ascii="Arial Narrow" w:hAnsi="Arial Narrow" w:cs="Calibri"/>
                <w:b/>
                <w:bCs/>
                <w:color w:val="000000"/>
                <w:sz w:val="20"/>
                <w:szCs w:val="20"/>
              </w:rPr>
              <w:t xml:space="preserve">ZA, NsP Liptovský Mikuláš </w:t>
            </w:r>
          </w:p>
        </w:tc>
        <w:tc>
          <w:tcPr>
            <w:tcW w:w="1120" w:type="dxa"/>
            <w:shd w:val="clear" w:color="000000" w:fill="C4D79B"/>
            <w:noWrap/>
            <w:vAlign w:val="bottom"/>
            <w:hideMark/>
          </w:tcPr>
          <w:p w14:paraId="6596B431" w14:textId="2C24C5E6"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666</w:t>
            </w:r>
          </w:p>
        </w:tc>
        <w:tc>
          <w:tcPr>
            <w:tcW w:w="1120" w:type="dxa"/>
            <w:shd w:val="clear" w:color="000000" w:fill="C4D79B"/>
            <w:noWrap/>
            <w:vAlign w:val="bottom"/>
            <w:hideMark/>
          </w:tcPr>
          <w:p w14:paraId="618BB8C8"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w:t>
            </w:r>
          </w:p>
        </w:tc>
        <w:tc>
          <w:tcPr>
            <w:tcW w:w="1120" w:type="dxa"/>
            <w:shd w:val="clear" w:color="000000" w:fill="C4D79B"/>
            <w:noWrap/>
            <w:vAlign w:val="bottom"/>
            <w:hideMark/>
          </w:tcPr>
          <w:p w14:paraId="483CA999" w14:textId="7777777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84</w:t>
            </w:r>
          </w:p>
        </w:tc>
        <w:tc>
          <w:tcPr>
            <w:tcW w:w="1120" w:type="dxa"/>
            <w:shd w:val="clear" w:color="000000" w:fill="C4D79B"/>
            <w:noWrap/>
            <w:vAlign w:val="bottom"/>
            <w:hideMark/>
          </w:tcPr>
          <w:p w14:paraId="5A431D5C" w14:textId="46F618A7" w:rsidR="003A0E6D" w:rsidRPr="003079F7" w:rsidRDefault="003A0E6D" w:rsidP="003079F7">
            <w:pPr>
              <w:spacing w:line="240" w:lineRule="auto"/>
              <w:jc w:val="center"/>
              <w:rPr>
                <w:rFonts w:ascii="Arial Narrow" w:hAnsi="Arial Narrow" w:cs="Calibri"/>
                <w:color w:val="000000"/>
                <w:sz w:val="20"/>
                <w:szCs w:val="20"/>
              </w:rPr>
            </w:pPr>
            <w:r w:rsidRPr="003079F7">
              <w:rPr>
                <w:rFonts w:ascii="Arial Narrow" w:hAnsi="Arial Narrow" w:cs="Calibri"/>
                <w:color w:val="000000"/>
                <w:sz w:val="20"/>
                <w:szCs w:val="20"/>
              </w:rPr>
              <w:t>13</w:t>
            </w:r>
          </w:p>
        </w:tc>
      </w:tr>
    </w:tbl>
    <w:p w14:paraId="2A4A80F5" w14:textId="06123DB4" w:rsidR="003A0E6D" w:rsidRPr="002968D3" w:rsidRDefault="003A0E6D" w:rsidP="003A0E6D">
      <w:pPr>
        <w:spacing w:line="240" w:lineRule="auto"/>
        <w:rPr>
          <w:rFonts w:ascii="Century Gothic" w:hAnsi="Century Gothic"/>
          <w:i/>
          <w:sz w:val="18"/>
          <w:szCs w:val="18"/>
        </w:rPr>
      </w:pPr>
      <w:r w:rsidRPr="002968D3">
        <w:rPr>
          <w:rFonts w:ascii="Century Gothic" w:hAnsi="Century Gothic"/>
          <w:i/>
          <w:sz w:val="18"/>
          <w:szCs w:val="18"/>
        </w:rPr>
        <w:t xml:space="preserve">Zdroj: OS ZZS SR, k 30.11.2022, </w:t>
      </w:r>
      <w:r w:rsidR="0039692B">
        <w:rPr>
          <w:rFonts w:ascii="Century Gothic" w:hAnsi="Century Gothic"/>
          <w:i/>
          <w:sz w:val="18"/>
          <w:szCs w:val="18"/>
        </w:rPr>
        <w:t>vlastné spracovanie</w:t>
      </w:r>
    </w:p>
    <w:p w14:paraId="0741EDC8" w14:textId="77777777" w:rsidR="003A0E6D" w:rsidRDefault="003A0E6D" w:rsidP="003A0E6D">
      <w:pPr>
        <w:spacing w:line="240" w:lineRule="auto"/>
        <w:rPr>
          <w:rFonts w:ascii="Century Gothic" w:hAnsi="Century Gothic"/>
        </w:rPr>
      </w:pPr>
    </w:p>
    <w:p w14:paraId="1225B0ED" w14:textId="77777777" w:rsidR="003A0E6D" w:rsidRPr="002968D3" w:rsidRDefault="003A0E6D" w:rsidP="003A0E6D">
      <w:pPr>
        <w:spacing w:line="240" w:lineRule="auto"/>
        <w:rPr>
          <w:rFonts w:ascii="Century Gothic" w:hAnsi="Century Gothic"/>
          <w:b/>
          <w:bCs/>
          <w:i/>
          <w:iCs/>
          <w:sz w:val="22"/>
          <w:szCs w:val="22"/>
        </w:rPr>
      </w:pPr>
      <w:r w:rsidRPr="002968D3">
        <w:rPr>
          <w:rFonts w:ascii="Century Gothic" w:hAnsi="Century Gothic"/>
          <w:sz w:val="22"/>
          <w:szCs w:val="22"/>
        </w:rPr>
        <w:t>Druhým pohľadom na poskytovanie neodkladnej/akútnej zdravotnej starostlivosti môže byť štatistický výkaz NCZI P 2-01, ktorý dokumentuje poskytovanie neodkladnej chirurgickej starostlivosti pri niektorých chorobách – inými slovami ide o </w:t>
      </w:r>
      <w:r w:rsidRPr="0068259E">
        <w:rPr>
          <w:rFonts w:ascii="Century Gothic" w:hAnsi="Century Gothic"/>
          <w:b/>
          <w:bCs/>
          <w:iCs/>
          <w:sz w:val="22"/>
          <w:szCs w:val="22"/>
        </w:rPr>
        <w:t>operácie vykonané akútne za účelom záchrany života alebo zdravia v členení náhlych cievnych, brušných a hrudných príhod a operácií.</w:t>
      </w:r>
    </w:p>
    <w:p w14:paraId="4B013E5A" w14:textId="77777777" w:rsidR="003A0E6D" w:rsidRPr="002968D3" w:rsidRDefault="003A0E6D" w:rsidP="003A0E6D">
      <w:pPr>
        <w:spacing w:line="240" w:lineRule="auto"/>
        <w:rPr>
          <w:rFonts w:ascii="Century Gothic" w:hAnsi="Century Gothic"/>
          <w:sz w:val="22"/>
          <w:szCs w:val="22"/>
        </w:rPr>
      </w:pPr>
    </w:p>
    <w:p w14:paraId="09C1DCC3" w14:textId="13633E40" w:rsidR="003A0E6D" w:rsidRPr="002968D3" w:rsidRDefault="003A0E6D" w:rsidP="003A0E6D">
      <w:pPr>
        <w:spacing w:line="240" w:lineRule="auto"/>
        <w:rPr>
          <w:rFonts w:ascii="Century Gothic" w:hAnsi="Century Gothic"/>
          <w:sz w:val="22"/>
          <w:szCs w:val="22"/>
        </w:rPr>
      </w:pPr>
      <w:r w:rsidRPr="002968D3">
        <w:rPr>
          <w:rFonts w:ascii="Century Gothic" w:hAnsi="Century Gothic"/>
          <w:sz w:val="22"/>
          <w:szCs w:val="22"/>
        </w:rPr>
        <w:t xml:space="preserve">Aj podľa tejto štatistiky je zrejmé, že geografická dostupnosť a počet obyvateľov viazaných do jednotlivých regiónov (okresov resp. </w:t>
      </w:r>
      <w:proofErr w:type="spellStart"/>
      <w:r w:rsidRPr="002968D3">
        <w:rPr>
          <w:rFonts w:ascii="Century Gothic" w:hAnsi="Century Gothic"/>
          <w:sz w:val="22"/>
          <w:szCs w:val="22"/>
        </w:rPr>
        <w:t>clustrov</w:t>
      </w:r>
      <w:proofErr w:type="spellEnd"/>
      <w:r w:rsidRPr="002968D3">
        <w:rPr>
          <w:rFonts w:ascii="Century Gothic" w:hAnsi="Century Gothic"/>
          <w:sz w:val="22"/>
          <w:szCs w:val="22"/>
        </w:rPr>
        <w:t>) má najvýznamnejší dopad na počet ošetrených pacientov s akútnym chirurgickým stavom, pričom z pohľadu geografického významu vystupuje najmä NSP Čadca, ktorá ošetruje veľké množstvo akútnych úrazov porovnateľne s </w:t>
      </w:r>
      <w:proofErr w:type="spellStart"/>
      <w:r w:rsidRPr="002968D3">
        <w:rPr>
          <w:rFonts w:ascii="Century Gothic" w:hAnsi="Century Gothic"/>
          <w:sz w:val="22"/>
          <w:szCs w:val="22"/>
        </w:rPr>
        <w:t>FNsP</w:t>
      </w:r>
      <w:proofErr w:type="spellEnd"/>
      <w:r w:rsidRPr="002968D3">
        <w:rPr>
          <w:rFonts w:ascii="Century Gothic" w:hAnsi="Century Gothic"/>
          <w:sz w:val="22"/>
          <w:szCs w:val="22"/>
        </w:rPr>
        <w:t xml:space="preserve"> Žilina, resp. U</w:t>
      </w:r>
      <w:r w:rsidR="00312A43">
        <w:rPr>
          <w:rFonts w:ascii="Century Gothic" w:hAnsi="Century Gothic"/>
          <w:sz w:val="22"/>
          <w:szCs w:val="22"/>
        </w:rPr>
        <w:t>N</w:t>
      </w:r>
      <w:r w:rsidRPr="002968D3">
        <w:rPr>
          <w:rFonts w:ascii="Century Gothic" w:hAnsi="Century Gothic"/>
          <w:sz w:val="22"/>
          <w:szCs w:val="22"/>
        </w:rPr>
        <w:t>M Martin - tu však má významnejší podiel ošetrovanie v odbornostiach, ktoré iné nemocnice nemajú (hrudná chirurgia) a títo pacienti tam často skončia primárne alebo sekundárne.</w:t>
      </w:r>
    </w:p>
    <w:p w14:paraId="6D3EE50D" w14:textId="58CD2576" w:rsidR="003A0E6D" w:rsidRDefault="003A0E6D" w:rsidP="003A0E6D">
      <w:pPr>
        <w:spacing w:line="240" w:lineRule="auto"/>
        <w:rPr>
          <w:rFonts w:ascii="Century Gothic" w:hAnsi="Century Gothic"/>
        </w:rPr>
      </w:pPr>
    </w:p>
    <w:p w14:paraId="5122F8A8" w14:textId="77777777" w:rsidR="00105F87" w:rsidRDefault="00105F87" w:rsidP="003A0E6D">
      <w:pPr>
        <w:spacing w:line="240" w:lineRule="auto"/>
        <w:rPr>
          <w:rFonts w:ascii="Century Gothic" w:hAnsi="Century Gothic"/>
        </w:rPr>
      </w:pPr>
    </w:p>
    <w:p w14:paraId="023CC37F" w14:textId="0C25A044" w:rsidR="00CC5B6E" w:rsidRPr="002968D3" w:rsidRDefault="00CC5B6E" w:rsidP="00CC5B6E">
      <w:pPr>
        <w:keepNext/>
        <w:spacing w:line="240" w:lineRule="auto"/>
        <w:jc w:val="left"/>
        <w:rPr>
          <w:rFonts w:ascii="Century Gothic" w:hAnsi="Century Gothic" w:cs="Arial"/>
          <w:i/>
          <w:sz w:val="20"/>
          <w:szCs w:val="20"/>
        </w:rPr>
      </w:pPr>
      <w:bookmarkStart w:id="60" w:name="_Toc145219915"/>
      <w:r w:rsidRPr="00CC5B6E">
        <w:rPr>
          <w:rFonts w:ascii="Century Gothic" w:hAnsi="Century Gothic" w:cs="Arial"/>
          <w:i/>
          <w:sz w:val="20"/>
          <w:szCs w:val="20"/>
        </w:rPr>
        <w:lastRenderedPageBreak/>
        <w:t xml:space="preserve">Tabuľka </w:t>
      </w:r>
      <w:r w:rsidRPr="00CC5B6E">
        <w:rPr>
          <w:rFonts w:ascii="Century Gothic" w:hAnsi="Century Gothic" w:cs="Arial"/>
          <w:i/>
          <w:sz w:val="20"/>
          <w:szCs w:val="20"/>
        </w:rPr>
        <w:fldChar w:fldCharType="begin"/>
      </w:r>
      <w:r w:rsidRPr="00CC5B6E">
        <w:rPr>
          <w:rFonts w:ascii="Century Gothic" w:hAnsi="Century Gothic" w:cs="Arial"/>
          <w:i/>
          <w:sz w:val="20"/>
          <w:szCs w:val="20"/>
        </w:rPr>
        <w:instrText xml:space="preserve"> SEQ Tabuľka \* ARABIC </w:instrText>
      </w:r>
      <w:r w:rsidRPr="00CC5B6E">
        <w:rPr>
          <w:rFonts w:ascii="Century Gothic" w:hAnsi="Century Gothic" w:cs="Arial"/>
          <w:i/>
          <w:sz w:val="20"/>
          <w:szCs w:val="20"/>
        </w:rPr>
        <w:fldChar w:fldCharType="separate"/>
      </w:r>
      <w:r w:rsidR="007D6A44">
        <w:rPr>
          <w:rFonts w:ascii="Century Gothic" w:hAnsi="Century Gothic" w:cs="Arial"/>
          <w:i/>
          <w:noProof/>
          <w:sz w:val="20"/>
          <w:szCs w:val="20"/>
        </w:rPr>
        <w:t>14</w:t>
      </w:r>
      <w:r w:rsidRPr="00CC5B6E">
        <w:rPr>
          <w:rFonts w:ascii="Century Gothic" w:hAnsi="Century Gothic" w:cs="Arial"/>
          <w:i/>
          <w:sz w:val="20"/>
          <w:szCs w:val="20"/>
        </w:rPr>
        <w:fldChar w:fldCharType="end"/>
      </w:r>
      <w:r w:rsidRPr="00CC5B6E">
        <w:rPr>
          <w:rFonts w:ascii="Century Gothic" w:hAnsi="Century Gothic" w:cs="Arial"/>
          <w:i/>
          <w:sz w:val="20"/>
          <w:szCs w:val="20"/>
        </w:rPr>
        <w:t xml:space="preserve"> </w:t>
      </w:r>
      <w:r w:rsidRPr="002968D3">
        <w:rPr>
          <w:rFonts w:ascii="Century Gothic" w:hAnsi="Century Gothic" w:cs="Arial"/>
          <w:i/>
          <w:sz w:val="20"/>
          <w:szCs w:val="20"/>
        </w:rPr>
        <w:t>Počet akútne operovaných pacientov  v rámci jednotlivých nemocníc ŽSK 2010 - 2021</w:t>
      </w:r>
      <w:bookmarkEnd w:id="60"/>
    </w:p>
    <w:tbl>
      <w:tblPr>
        <w:tblW w:w="9998" w:type="dxa"/>
        <w:jc w:val="center"/>
        <w:tblCellMar>
          <w:left w:w="70" w:type="dxa"/>
          <w:right w:w="70" w:type="dxa"/>
        </w:tblCellMar>
        <w:tblLook w:val="04A0" w:firstRow="1" w:lastRow="0" w:firstColumn="1" w:lastColumn="0" w:noHBand="0" w:noVBand="1"/>
      </w:tblPr>
      <w:tblGrid>
        <w:gridCol w:w="1838"/>
        <w:gridCol w:w="680"/>
        <w:gridCol w:w="680"/>
        <w:gridCol w:w="680"/>
        <w:gridCol w:w="680"/>
        <w:gridCol w:w="680"/>
        <w:gridCol w:w="680"/>
        <w:gridCol w:w="680"/>
        <w:gridCol w:w="680"/>
        <w:gridCol w:w="680"/>
        <w:gridCol w:w="680"/>
        <w:gridCol w:w="680"/>
        <w:gridCol w:w="680"/>
      </w:tblGrid>
      <w:tr w:rsidR="003A0E6D" w:rsidRPr="002F0913" w14:paraId="421921DF" w14:textId="77777777" w:rsidTr="007B16E4">
        <w:trPr>
          <w:trHeight w:val="255"/>
          <w:jc w:val="center"/>
        </w:trPr>
        <w:tc>
          <w:tcPr>
            <w:tcW w:w="1838" w:type="dxa"/>
            <w:shd w:val="clear" w:color="auto" w:fill="595959" w:themeFill="text1" w:themeFillTint="A6"/>
            <w:noWrap/>
            <w:vAlign w:val="bottom"/>
            <w:hideMark/>
          </w:tcPr>
          <w:p w14:paraId="58D6FFA7" w14:textId="77777777" w:rsidR="003A0E6D" w:rsidRPr="009C523D" w:rsidRDefault="003A0E6D" w:rsidP="002968D3">
            <w:pPr>
              <w:spacing w:line="240" w:lineRule="auto"/>
              <w:jc w:val="left"/>
              <w:rPr>
                <w:rFonts w:ascii="Arial Narrow" w:hAnsi="Arial Narrow" w:cs="Arial"/>
                <w:color w:val="000000"/>
                <w:sz w:val="20"/>
                <w:szCs w:val="20"/>
              </w:rPr>
            </w:pPr>
            <w:r w:rsidRPr="009C523D">
              <w:rPr>
                <w:rFonts w:ascii="Arial Narrow" w:hAnsi="Arial Narrow" w:cs="Arial"/>
                <w:color w:val="000000"/>
                <w:sz w:val="20"/>
                <w:szCs w:val="20"/>
              </w:rPr>
              <w:t> </w:t>
            </w:r>
          </w:p>
        </w:tc>
        <w:tc>
          <w:tcPr>
            <w:tcW w:w="680" w:type="dxa"/>
            <w:shd w:val="clear" w:color="auto" w:fill="595959" w:themeFill="text1" w:themeFillTint="A6"/>
            <w:noWrap/>
            <w:vAlign w:val="bottom"/>
            <w:hideMark/>
          </w:tcPr>
          <w:p w14:paraId="4B1A848E"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2010</w:t>
            </w:r>
          </w:p>
        </w:tc>
        <w:tc>
          <w:tcPr>
            <w:tcW w:w="680" w:type="dxa"/>
            <w:shd w:val="clear" w:color="auto" w:fill="595959" w:themeFill="text1" w:themeFillTint="A6"/>
            <w:noWrap/>
            <w:vAlign w:val="bottom"/>
            <w:hideMark/>
          </w:tcPr>
          <w:p w14:paraId="535C2216"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2011</w:t>
            </w:r>
          </w:p>
        </w:tc>
        <w:tc>
          <w:tcPr>
            <w:tcW w:w="680" w:type="dxa"/>
            <w:shd w:val="clear" w:color="auto" w:fill="595959" w:themeFill="text1" w:themeFillTint="A6"/>
            <w:noWrap/>
            <w:vAlign w:val="bottom"/>
            <w:hideMark/>
          </w:tcPr>
          <w:p w14:paraId="1094926B"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2012</w:t>
            </w:r>
          </w:p>
        </w:tc>
        <w:tc>
          <w:tcPr>
            <w:tcW w:w="680" w:type="dxa"/>
            <w:shd w:val="clear" w:color="auto" w:fill="595959" w:themeFill="text1" w:themeFillTint="A6"/>
            <w:noWrap/>
            <w:vAlign w:val="bottom"/>
            <w:hideMark/>
          </w:tcPr>
          <w:p w14:paraId="2EC1BFFB"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2013</w:t>
            </w:r>
          </w:p>
        </w:tc>
        <w:tc>
          <w:tcPr>
            <w:tcW w:w="680" w:type="dxa"/>
            <w:shd w:val="clear" w:color="auto" w:fill="595959" w:themeFill="text1" w:themeFillTint="A6"/>
            <w:noWrap/>
            <w:vAlign w:val="bottom"/>
            <w:hideMark/>
          </w:tcPr>
          <w:p w14:paraId="59EEC0FF"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2014</w:t>
            </w:r>
          </w:p>
        </w:tc>
        <w:tc>
          <w:tcPr>
            <w:tcW w:w="680" w:type="dxa"/>
            <w:shd w:val="clear" w:color="auto" w:fill="595959" w:themeFill="text1" w:themeFillTint="A6"/>
            <w:noWrap/>
            <w:vAlign w:val="bottom"/>
            <w:hideMark/>
          </w:tcPr>
          <w:p w14:paraId="376ED50C"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2015</w:t>
            </w:r>
          </w:p>
        </w:tc>
        <w:tc>
          <w:tcPr>
            <w:tcW w:w="680" w:type="dxa"/>
            <w:shd w:val="clear" w:color="auto" w:fill="595959" w:themeFill="text1" w:themeFillTint="A6"/>
            <w:noWrap/>
            <w:vAlign w:val="bottom"/>
            <w:hideMark/>
          </w:tcPr>
          <w:p w14:paraId="31F0021B"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2016</w:t>
            </w:r>
          </w:p>
        </w:tc>
        <w:tc>
          <w:tcPr>
            <w:tcW w:w="680" w:type="dxa"/>
            <w:shd w:val="clear" w:color="auto" w:fill="595959" w:themeFill="text1" w:themeFillTint="A6"/>
            <w:noWrap/>
            <w:vAlign w:val="bottom"/>
            <w:hideMark/>
          </w:tcPr>
          <w:p w14:paraId="5F8D89FE"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2017</w:t>
            </w:r>
          </w:p>
        </w:tc>
        <w:tc>
          <w:tcPr>
            <w:tcW w:w="680" w:type="dxa"/>
            <w:shd w:val="clear" w:color="auto" w:fill="595959" w:themeFill="text1" w:themeFillTint="A6"/>
            <w:noWrap/>
            <w:vAlign w:val="bottom"/>
            <w:hideMark/>
          </w:tcPr>
          <w:p w14:paraId="53F3BA5A"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2018</w:t>
            </w:r>
          </w:p>
        </w:tc>
        <w:tc>
          <w:tcPr>
            <w:tcW w:w="680" w:type="dxa"/>
            <w:shd w:val="clear" w:color="auto" w:fill="595959" w:themeFill="text1" w:themeFillTint="A6"/>
            <w:noWrap/>
            <w:vAlign w:val="bottom"/>
            <w:hideMark/>
          </w:tcPr>
          <w:p w14:paraId="4840E9CF"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2019</w:t>
            </w:r>
          </w:p>
        </w:tc>
        <w:tc>
          <w:tcPr>
            <w:tcW w:w="680" w:type="dxa"/>
            <w:shd w:val="clear" w:color="auto" w:fill="595959" w:themeFill="text1" w:themeFillTint="A6"/>
            <w:noWrap/>
            <w:vAlign w:val="bottom"/>
            <w:hideMark/>
          </w:tcPr>
          <w:p w14:paraId="7D567F3D"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2020</w:t>
            </w:r>
          </w:p>
        </w:tc>
        <w:tc>
          <w:tcPr>
            <w:tcW w:w="680" w:type="dxa"/>
            <w:shd w:val="clear" w:color="auto" w:fill="595959" w:themeFill="text1" w:themeFillTint="A6"/>
            <w:noWrap/>
            <w:vAlign w:val="bottom"/>
            <w:hideMark/>
          </w:tcPr>
          <w:p w14:paraId="7A5C4D94" w14:textId="77777777" w:rsidR="003A0E6D" w:rsidRPr="009C523D" w:rsidRDefault="003A0E6D" w:rsidP="009C523D">
            <w:pPr>
              <w:spacing w:line="240" w:lineRule="auto"/>
              <w:jc w:val="center"/>
              <w:rPr>
                <w:rFonts w:ascii="Arial Narrow" w:hAnsi="Arial Narrow" w:cs="Arial"/>
                <w:b/>
                <w:bCs/>
                <w:color w:val="000000"/>
                <w:sz w:val="20"/>
                <w:szCs w:val="20"/>
              </w:rPr>
            </w:pPr>
            <w:r w:rsidRPr="009C523D">
              <w:rPr>
                <w:rFonts w:ascii="Arial Narrow" w:hAnsi="Arial Narrow" w:cs="Arial"/>
                <w:b/>
                <w:bCs/>
                <w:color w:val="000000"/>
                <w:sz w:val="20"/>
                <w:szCs w:val="20"/>
              </w:rPr>
              <w:t>2021</w:t>
            </w:r>
          </w:p>
        </w:tc>
      </w:tr>
      <w:tr w:rsidR="003A0E6D" w:rsidRPr="002F0913" w14:paraId="661F4935" w14:textId="77777777" w:rsidTr="005958EE">
        <w:trPr>
          <w:trHeight w:val="255"/>
          <w:jc w:val="center"/>
        </w:trPr>
        <w:tc>
          <w:tcPr>
            <w:tcW w:w="1838" w:type="dxa"/>
            <w:shd w:val="clear" w:color="000000" w:fill="DDEBF7"/>
            <w:noWrap/>
            <w:vAlign w:val="bottom"/>
            <w:hideMark/>
          </w:tcPr>
          <w:p w14:paraId="593552A2" w14:textId="05BD7B47"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UN</w:t>
            </w:r>
            <w:r w:rsidR="009C523D">
              <w:rPr>
                <w:rFonts w:ascii="Arial Narrow" w:hAnsi="Arial Narrow" w:cs="Arial"/>
                <w:b/>
                <w:bCs/>
                <w:color w:val="000000"/>
                <w:sz w:val="20"/>
                <w:szCs w:val="20"/>
              </w:rPr>
              <w:t>M</w:t>
            </w:r>
            <w:r w:rsidRPr="009C523D">
              <w:rPr>
                <w:rFonts w:ascii="Arial Narrow" w:hAnsi="Arial Narrow" w:cs="Arial"/>
                <w:b/>
                <w:bCs/>
                <w:color w:val="000000"/>
                <w:sz w:val="20"/>
                <w:szCs w:val="20"/>
              </w:rPr>
              <w:t xml:space="preserve"> Martin</w:t>
            </w:r>
          </w:p>
        </w:tc>
        <w:tc>
          <w:tcPr>
            <w:tcW w:w="680" w:type="dxa"/>
            <w:shd w:val="clear" w:color="000000" w:fill="DDEBF7"/>
            <w:noWrap/>
            <w:vAlign w:val="bottom"/>
            <w:hideMark/>
          </w:tcPr>
          <w:p w14:paraId="6DAFFCE5"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1 290</w:t>
            </w:r>
          </w:p>
        </w:tc>
        <w:tc>
          <w:tcPr>
            <w:tcW w:w="680" w:type="dxa"/>
            <w:shd w:val="clear" w:color="000000" w:fill="DDEBF7"/>
            <w:noWrap/>
            <w:vAlign w:val="bottom"/>
            <w:hideMark/>
          </w:tcPr>
          <w:p w14:paraId="1385DA8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1 200</w:t>
            </w:r>
          </w:p>
        </w:tc>
        <w:tc>
          <w:tcPr>
            <w:tcW w:w="680" w:type="dxa"/>
            <w:shd w:val="clear" w:color="000000" w:fill="DDEBF7"/>
            <w:noWrap/>
            <w:vAlign w:val="bottom"/>
            <w:hideMark/>
          </w:tcPr>
          <w:p w14:paraId="111E025B"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1 150</w:t>
            </w:r>
          </w:p>
        </w:tc>
        <w:tc>
          <w:tcPr>
            <w:tcW w:w="680" w:type="dxa"/>
            <w:shd w:val="clear" w:color="000000" w:fill="DDEBF7"/>
            <w:noWrap/>
            <w:vAlign w:val="bottom"/>
            <w:hideMark/>
          </w:tcPr>
          <w:p w14:paraId="474D1A3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1 088</w:t>
            </w:r>
          </w:p>
        </w:tc>
        <w:tc>
          <w:tcPr>
            <w:tcW w:w="680" w:type="dxa"/>
            <w:shd w:val="clear" w:color="000000" w:fill="DDEBF7"/>
            <w:noWrap/>
            <w:vAlign w:val="bottom"/>
            <w:hideMark/>
          </w:tcPr>
          <w:p w14:paraId="73F2F8C1"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966</w:t>
            </w:r>
          </w:p>
        </w:tc>
        <w:tc>
          <w:tcPr>
            <w:tcW w:w="680" w:type="dxa"/>
            <w:shd w:val="clear" w:color="000000" w:fill="DDEBF7"/>
            <w:noWrap/>
            <w:vAlign w:val="bottom"/>
            <w:hideMark/>
          </w:tcPr>
          <w:p w14:paraId="4B3E095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1 286</w:t>
            </w:r>
          </w:p>
        </w:tc>
        <w:tc>
          <w:tcPr>
            <w:tcW w:w="680" w:type="dxa"/>
            <w:shd w:val="clear" w:color="000000" w:fill="DDEBF7"/>
            <w:noWrap/>
            <w:vAlign w:val="bottom"/>
            <w:hideMark/>
          </w:tcPr>
          <w:p w14:paraId="25F9009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1 208</w:t>
            </w:r>
          </w:p>
        </w:tc>
        <w:tc>
          <w:tcPr>
            <w:tcW w:w="680" w:type="dxa"/>
            <w:shd w:val="clear" w:color="000000" w:fill="DDEBF7"/>
            <w:noWrap/>
            <w:vAlign w:val="bottom"/>
            <w:hideMark/>
          </w:tcPr>
          <w:p w14:paraId="5C9833E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1 027</w:t>
            </w:r>
          </w:p>
        </w:tc>
        <w:tc>
          <w:tcPr>
            <w:tcW w:w="680" w:type="dxa"/>
            <w:shd w:val="clear" w:color="000000" w:fill="DDEBF7"/>
            <w:noWrap/>
            <w:vAlign w:val="bottom"/>
            <w:hideMark/>
          </w:tcPr>
          <w:p w14:paraId="560B6A8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1 302</w:t>
            </w:r>
          </w:p>
        </w:tc>
        <w:tc>
          <w:tcPr>
            <w:tcW w:w="680" w:type="dxa"/>
            <w:shd w:val="clear" w:color="000000" w:fill="DDEBF7"/>
            <w:noWrap/>
            <w:vAlign w:val="bottom"/>
            <w:hideMark/>
          </w:tcPr>
          <w:p w14:paraId="0F0369F5"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1 399</w:t>
            </w:r>
          </w:p>
        </w:tc>
        <w:tc>
          <w:tcPr>
            <w:tcW w:w="680" w:type="dxa"/>
            <w:shd w:val="clear" w:color="000000" w:fill="DDEBF7"/>
            <w:noWrap/>
            <w:vAlign w:val="bottom"/>
            <w:hideMark/>
          </w:tcPr>
          <w:p w14:paraId="1104A17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973</w:t>
            </w:r>
          </w:p>
        </w:tc>
        <w:tc>
          <w:tcPr>
            <w:tcW w:w="680" w:type="dxa"/>
            <w:shd w:val="clear" w:color="000000" w:fill="DDEBF7"/>
            <w:noWrap/>
            <w:vAlign w:val="bottom"/>
            <w:hideMark/>
          </w:tcPr>
          <w:p w14:paraId="79B31450"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1 186</w:t>
            </w:r>
          </w:p>
        </w:tc>
      </w:tr>
      <w:tr w:rsidR="003A0E6D" w:rsidRPr="002F0913" w14:paraId="07E51E09" w14:textId="77777777" w:rsidTr="005958EE">
        <w:trPr>
          <w:trHeight w:val="255"/>
          <w:jc w:val="center"/>
        </w:trPr>
        <w:tc>
          <w:tcPr>
            <w:tcW w:w="1838" w:type="dxa"/>
            <w:shd w:val="clear" w:color="auto" w:fill="auto"/>
            <w:noWrap/>
            <w:vAlign w:val="bottom"/>
            <w:hideMark/>
          </w:tcPr>
          <w:p w14:paraId="594851BD" w14:textId="40013791"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 xml:space="preserve">NsP </w:t>
            </w:r>
            <w:proofErr w:type="spellStart"/>
            <w:r w:rsidRPr="009C523D">
              <w:rPr>
                <w:rFonts w:ascii="Arial Narrow" w:hAnsi="Arial Narrow" w:cs="Arial"/>
                <w:b/>
                <w:bCs/>
                <w:color w:val="000000"/>
                <w:sz w:val="20"/>
                <w:szCs w:val="20"/>
              </w:rPr>
              <w:t>Pov</w:t>
            </w:r>
            <w:proofErr w:type="spellEnd"/>
            <w:r w:rsidRPr="009C523D">
              <w:rPr>
                <w:rFonts w:ascii="Arial Narrow" w:hAnsi="Arial Narrow" w:cs="Arial"/>
                <w:b/>
                <w:bCs/>
                <w:color w:val="000000"/>
                <w:sz w:val="20"/>
                <w:szCs w:val="20"/>
              </w:rPr>
              <w:t>.</w:t>
            </w:r>
            <w:r w:rsidR="00C8452A">
              <w:rPr>
                <w:rFonts w:ascii="Arial Narrow" w:hAnsi="Arial Narrow" w:cs="Arial"/>
                <w:b/>
                <w:bCs/>
                <w:color w:val="000000"/>
                <w:sz w:val="20"/>
                <w:szCs w:val="20"/>
              </w:rPr>
              <w:t xml:space="preserve"> </w:t>
            </w:r>
            <w:r w:rsidRPr="009C523D">
              <w:rPr>
                <w:rFonts w:ascii="Arial Narrow" w:hAnsi="Arial Narrow" w:cs="Arial"/>
                <w:b/>
                <w:bCs/>
                <w:color w:val="000000"/>
                <w:sz w:val="20"/>
                <w:szCs w:val="20"/>
              </w:rPr>
              <w:t>Bystrica</w:t>
            </w:r>
          </w:p>
        </w:tc>
        <w:tc>
          <w:tcPr>
            <w:tcW w:w="680" w:type="dxa"/>
            <w:shd w:val="clear" w:color="auto" w:fill="auto"/>
            <w:noWrap/>
            <w:vAlign w:val="bottom"/>
            <w:hideMark/>
          </w:tcPr>
          <w:p w14:paraId="4674B78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641</w:t>
            </w:r>
          </w:p>
        </w:tc>
        <w:tc>
          <w:tcPr>
            <w:tcW w:w="680" w:type="dxa"/>
            <w:shd w:val="clear" w:color="auto" w:fill="auto"/>
            <w:noWrap/>
            <w:vAlign w:val="bottom"/>
            <w:hideMark/>
          </w:tcPr>
          <w:p w14:paraId="06B24151"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854</w:t>
            </w:r>
          </w:p>
        </w:tc>
        <w:tc>
          <w:tcPr>
            <w:tcW w:w="680" w:type="dxa"/>
            <w:shd w:val="clear" w:color="auto" w:fill="auto"/>
            <w:noWrap/>
            <w:vAlign w:val="bottom"/>
            <w:hideMark/>
          </w:tcPr>
          <w:p w14:paraId="7F80708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604</w:t>
            </w:r>
          </w:p>
        </w:tc>
        <w:tc>
          <w:tcPr>
            <w:tcW w:w="680" w:type="dxa"/>
            <w:shd w:val="clear" w:color="auto" w:fill="auto"/>
            <w:noWrap/>
            <w:vAlign w:val="bottom"/>
            <w:hideMark/>
          </w:tcPr>
          <w:p w14:paraId="7D69DC6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658</w:t>
            </w:r>
          </w:p>
        </w:tc>
        <w:tc>
          <w:tcPr>
            <w:tcW w:w="680" w:type="dxa"/>
            <w:shd w:val="clear" w:color="auto" w:fill="auto"/>
            <w:noWrap/>
            <w:vAlign w:val="bottom"/>
            <w:hideMark/>
          </w:tcPr>
          <w:p w14:paraId="61397B3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664</w:t>
            </w:r>
          </w:p>
        </w:tc>
        <w:tc>
          <w:tcPr>
            <w:tcW w:w="680" w:type="dxa"/>
            <w:shd w:val="clear" w:color="auto" w:fill="auto"/>
            <w:noWrap/>
            <w:vAlign w:val="bottom"/>
            <w:hideMark/>
          </w:tcPr>
          <w:p w14:paraId="7539BDEE"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614</w:t>
            </w:r>
          </w:p>
        </w:tc>
        <w:tc>
          <w:tcPr>
            <w:tcW w:w="680" w:type="dxa"/>
            <w:shd w:val="clear" w:color="auto" w:fill="auto"/>
            <w:noWrap/>
            <w:vAlign w:val="bottom"/>
            <w:hideMark/>
          </w:tcPr>
          <w:p w14:paraId="43384D7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650</w:t>
            </w:r>
          </w:p>
        </w:tc>
        <w:tc>
          <w:tcPr>
            <w:tcW w:w="680" w:type="dxa"/>
            <w:shd w:val="clear" w:color="auto" w:fill="auto"/>
            <w:noWrap/>
            <w:vAlign w:val="bottom"/>
            <w:hideMark/>
          </w:tcPr>
          <w:p w14:paraId="61FFDD29"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669</w:t>
            </w:r>
          </w:p>
        </w:tc>
        <w:tc>
          <w:tcPr>
            <w:tcW w:w="680" w:type="dxa"/>
            <w:shd w:val="clear" w:color="auto" w:fill="auto"/>
            <w:noWrap/>
            <w:vAlign w:val="bottom"/>
            <w:hideMark/>
          </w:tcPr>
          <w:p w14:paraId="2FD46A6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732</w:t>
            </w:r>
          </w:p>
        </w:tc>
        <w:tc>
          <w:tcPr>
            <w:tcW w:w="680" w:type="dxa"/>
            <w:shd w:val="clear" w:color="auto" w:fill="auto"/>
            <w:noWrap/>
            <w:vAlign w:val="bottom"/>
            <w:hideMark/>
          </w:tcPr>
          <w:p w14:paraId="0303AD1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695</w:t>
            </w:r>
          </w:p>
        </w:tc>
        <w:tc>
          <w:tcPr>
            <w:tcW w:w="680" w:type="dxa"/>
            <w:shd w:val="clear" w:color="auto" w:fill="auto"/>
            <w:noWrap/>
            <w:vAlign w:val="bottom"/>
            <w:hideMark/>
          </w:tcPr>
          <w:p w14:paraId="3F142ED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637</w:t>
            </w:r>
          </w:p>
        </w:tc>
        <w:tc>
          <w:tcPr>
            <w:tcW w:w="680" w:type="dxa"/>
            <w:shd w:val="clear" w:color="auto" w:fill="auto"/>
            <w:noWrap/>
            <w:vAlign w:val="bottom"/>
            <w:hideMark/>
          </w:tcPr>
          <w:p w14:paraId="04569029"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598</w:t>
            </w:r>
          </w:p>
        </w:tc>
      </w:tr>
      <w:tr w:rsidR="003A0E6D" w:rsidRPr="002F0913" w14:paraId="3A93D876" w14:textId="77777777" w:rsidTr="005958EE">
        <w:trPr>
          <w:trHeight w:val="255"/>
          <w:jc w:val="center"/>
        </w:trPr>
        <w:tc>
          <w:tcPr>
            <w:tcW w:w="1838" w:type="dxa"/>
            <w:shd w:val="clear" w:color="auto" w:fill="auto"/>
            <w:noWrap/>
            <w:vAlign w:val="bottom"/>
            <w:hideMark/>
          </w:tcPr>
          <w:p w14:paraId="7BBDE807" w14:textId="071B2A96"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 xml:space="preserve">NsP </w:t>
            </w:r>
            <w:r w:rsidR="00C8452A" w:rsidRPr="009C523D">
              <w:rPr>
                <w:rFonts w:ascii="Arial Narrow" w:hAnsi="Arial Narrow" w:cs="Arial"/>
                <w:b/>
                <w:bCs/>
                <w:color w:val="000000"/>
                <w:sz w:val="20"/>
                <w:szCs w:val="20"/>
              </w:rPr>
              <w:t>Trstená</w:t>
            </w:r>
          </w:p>
        </w:tc>
        <w:tc>
          <w:tcPr>
            <w:tcW w:w="680" w:type="dxa"/>
            <w:shd w:val="clear" w:color="auto" w:fill="auto"/>
            <w:noWrap/>
            <w:vAlign w:val="bottom"/>
            <w:hideMark/>
          </w:tcPr>
          <w:p w14:paraId="3F7B4D8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286</w:t>
            </w:r>
          </w:p>
        </w:tc>
        <w:tc>
          <w:tcPr>
            <w:tcW w:w="680" w:type="dxa"/>
            <w:shd w:val="clear" w:color="auto" w:fill="auto"/>
            <w:noWrap/>
            <w:vAlign w:val="bottom"/>
            <w:hideMark/>
          </w:tcPr>
          <w:p w14:paraId="785B018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407</w:t>
            </w:r>
          </w:p>
        </w:tc>
        <w:tc>
          <w:tcPr>
            <w:tcW w:w="680" w:type="dxa"/>
            <w:shd w:val="clear" w:color="auto" w:fill="auto"/>
            <w:noWrap/>
            <w:vAlign w:val="bottom"/>
            <w:hideMark/>
          </w:tcPr>
          <w:p w14:paraId="56574434"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356</w:t>
            </w:r>
          </w:p>
        </w:tc>
        <w:tc>
          <w:tcPr>
            <w:tcW w:w="680" w:type="dxa"/>
            <w:shd w:val="clear" w:color="auto" w:fill="auto"/>
            <w:noWrap/>
            <w:vAlign w:val="bottom"/>
            <w:hideMark/>
          </w:tcPr>
          <w:p w14:paraId="6CE071E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364</w:t>
            </w:r>
          </w:p>
        </w:tc>
        <w:tc>
          <w:tcPr>
            <w:tcW w:w="680" w:type="dxa"/>
            <w:shd w:val="clear" w:color="auto" w:fill="auto"/>
            <w:noWrap/>
            <w:vAlign w:val="bottom"/>
            <w:hideMark/>
          </w:tcPr>
          <w:p w14:paraId="797EA42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445</w:t>
            </w:r>
          </w:p>
        </w:tc>
        <w:tc>
          <w:tcPr>
            <w:tcW w:w="680" w:type="dxa"/>
            <w:shd w:val="clear" w:color="auto" w:fill="auto"/>
            <w:noWrap/>
            <w:vAlign w:val="bottom"/>
            <w:hideMark/>
          </w:tcPr>
          <w:p w14:paraId="0A6C421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347</w:t>
            </w:r>
          </w:p>
        </w:tc>
        <w:tc>
          <w:tcPr>
            <w:tcW w:w="680" w:type="dxa"/>
            <w:shd w:val="clear" w:color="auto" w:fill="auto"/>
            <w:noWrap/>
            <w:vAlign w:val="bottom"/>
            <w:hideMark/>
          </w:tcPr>
          <w:p w14:paraId="7631133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348</w:t>
            </w:r>
          </w:p>
        </w:tc>
        <w:tc>
          <w:tcPr>
            <w:tcW w:w="680" w:type="dxa"/>
            <w:shd w:val="clear" w:color="auto" w:fill="auto"/>
            <w:noWrap/>
            <w:vAlign w:val="bottom"/>
            <w:hideMark/>
          </w:tcPr>
          <w:p w14:paraId="53BA5C00"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328</w:t>
            </w:r>
          </w:p>
        </w:tc>
        <w:tc>
          <w:tcPr>
            <w:tcW w:w="680" w:type="dxa"/>
            <w:shd w:val="clear" w:color="auto" w:fill="auto"/>
            <w:noWrap/>
            <w:vAlign w:val="bottom"/>
            <w:hideMark/>
          </w:tcPr>
          <w:p w14:paraId="2F68492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402</w:t>
            </w:r>
          </w:p>
        </w:tc>
        <w:tc>
          <w:tcPr>
            <w:tcW w:w="680" w:type="dxa"/>
            <w:shd w:val="clear" w:color="auto" w:fill="auto"/>
            <w:noWrap/>
            <w:vAlign w:val="bottom"/>
            <w:hideMark/>
          </w:tcPr>
          <w:p w14:paraId="4ECA951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364</w:t>
            </w:r>
          </w:p>
        </w:tc>
        <w:tc>
          <w:tcPr>
            <w:tcW w:w="680" w:type="dxa"/>
            <w:shd w:val="clear" w:color="auto" w:fill="auto"/>
            <w:noWrap/>
            <w:vAlign w:val="bottom"/>
            <w:hideMark/>
          </w:tcPr>
          <w:p w14:paraId="4CC650DF"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355</w:t>
            </w:r>
          </w:p>
        </w:tc>
        <w:tc>
          <w:tcPr>
            <w:tcW w:w="680" w:type="dxa"/>
            <w:shd w:val="clear" w:color="auto" w:fill="auto"/>
            <w:noWrap/>
            <w:vAlign w:val="bottom"/>
            <w:hideMark/>
          </w:tcPr>
          <w:p w14:paraId="6F1959B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350</w:t>
            </w:r>
          </w:p>
        </w:tc>
      </w:tr>
      <w:tr w:rsidR="003A0E6D" w:rsidRPr="002F0913" w14:paraId="448A93B9" w14:textId="77777777" w:rsidTr="005958EE">
        <w:trPr>
          <w:trHeight w:val="255"/>
          <w:jc w:val="center"/>
        </w:trPr>
        <w:tc>
          <w:tcPr>
            <w:tcW w:w="1838" w:type="dxa"/>
            <w:shd w:val="clear" w:color="auto" w:fill="auto"/>
            <w:noWrap/>
            <w:vAlign w:val="bottom"/>
            <w:hideMark/>
          </w:tcPr>
          <w:p w14:paraId="54E40101" w14:textId="77777777"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NsP Dolný Kubín</w:t>
            </w:r>
          </w:p>
        </w:tc>
        <w:tc>
          <w:tcPr>
            <w:tcW w:w="680" w:type="dxa"/>
            <w:shd w:val="clear" w:color="auto" w:fill="auto"/>
            <w:noWrap/>
            <w:vAlign w:val="bottom"/>
            <w:hideMark/>
          </w:tcPr>
          <w:p w14:paraId="4A0770E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469</w:t>
            </w:r>
          </w:p>
        </w:tc>
        <w:tc>
          <w:tcPr>
            <w:tcW w:w="680" w:type="dxa"/>
            <w:shd w:val="clear" w:color="auto" w:fill="auto"/>
            <w:noWrap/>
            <w:vAlign w:val="bottom"/>
            <w:hideMark/>
          </w:tcPr>
          <w:p w14:paraId="1A83638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459</w:t>
            </w:r>
          </w:p>
        </w:tc>
        <w:tc>
          <w:tcPr>
            <w:tcW w:w="680" w:type="dxa"/>
            <w:shd w:val="clear" w:color="auto" w:fill="auto"/>
            <w:noWrap/>
            <w:vAlign w:val="bottom"/>
            <w:hideMark/>
          </w:tcPr>
          <w:p w14:paraId="3D8EE7F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317</w:t>
            </w:r>
          </w:p>
        </w:tc>
        <w:tc>
          <w:tcPr>
            <w:tcW w:w="680" w:type="dxa"/>
            <w:shd w:val="clear" w:color="auto" w:fill="auto"/>
            <w:noWrap/>
            <w:vAlign w:val="bottom"/>
            <w:hideMark/>
          </w:tcPr>
          <w:p w14:paraId="2E6512F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292</w:t>
            </w:r>
          </w:p>
        </w:tc>
        <w:tc>
          <w:tcPr>
            <w:tcW w:w="680" w:type="dxa"/>
            <w:shd w:val="clear" w:color="auto" w:fill="auto"/>
            <w:noWrap/>
            <w:vAlign w:val="bottom"/>
            <w:hideMark/>
          </w:tcPr>
          <w:p w14:paraId="7694943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329</w:t>
            </w:r>
          </w:p>
        </w:tc>
        <w:tc>
          <w:tcPr>
            <w:tcW w:w="680" w:type="dxa"/>
            <w:shd w:val="clear" w:color="auto" w:fill="auto"/>
            <w:noWrap/>
            <w:vAlign w:val="bottom"/>
            <w:hideMark/>
          </w:tcPr>
          <w:p w14:paraId="3D062A8A"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549</w:t>
            </w:r>
          </w:p>
        </w:tc>
        <w:tc>
          <w:tcPr>
            <w:tcW w:w="680" w:type="dxa"/>
            <w:shd w:val="clear" w:color="auto" w:fill="auto"/>
            <w:noWrap/>
            <w:vAlign w:val="bottom"/>
            <w:hideMark/>
          </w:tcPr>
          <w:p w14:paraId="309ACB0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382</w:t>
            </w:r>
          </w:p>
        </w:tc>
        <w:tc>
          <w:tcPr>
            <w:tcW w:w="680" w:type="dxa"/>
            <w:shd w:val="clear" w:color="auto" w:fill="auto"/>
            <w:noWrap/>
            <w:vAlign w:val="bottom"/>
            <w:hideMark/>
          </w:tcPr>
          <w:p w14:paraId="3D6B655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415</w:t>
            </w:r>
          </w:p>
        </w:tc>
        <w:tc>
          <w:tcPr>
            <w:tcW w:w="680" w:type="dxa"/>
            <w:shd w:val="clear" w:color="auto" w:fill="auto"/>
            <w:noWrap/>
            <w:vAlign w:val="bottom"/>
            <w:hideMark/>
          </w:tcPr>
          <w:p w14:paraId="5C1AC0D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407</w:t>
            </w:r>
          </w:p>
        </w:tc>
        <w:tc>
          <w:tcPr>
            <w:tcW w:w="680" w:type="dxa"/>
            <w:shd w:val="clear" w:color="auto" w:fill="auto"/>
            <w:noWrap/>
            <w:vAlign w:val="bottom"/>
            <w:hideMark/>
          </w:tcPr>
          <w:p w14:paraId="0965184E"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338</w:t>
            </w:r>
          </w:p>
        </w:tc>
        <w:tc>
          <w:tcPr>
            <w:tcW w:w="680" w:type="dxa"/>
            <w:shd w:val="clear" w:color="auto" w:fill="auto"/>
            <w:noWrap/>
            <w:vAlign w:val="bottom"/>
            <w:hideMark/>
          </w:tcPr>
          <w:p w14:paraId="0662292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279</w:t>
            </w:r>
          </w:p>
        </w:tc>
        <w:tc>
          <w:tcPr>
            <w:tcW w:w="680" w:type="dxa"/>
            <w:shd w:val="clear" w:color="auto" w:fill="auto"/>
            <w:noWrap/>
            <w:vAlign w:val="bottom"/>
            <w:hideMark/>
          </w:tcPr>
          <w:p w14:paraId="7ED1753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297</w:t>
            </w:r>
          </w:p>
        </w:tc>
      </w:tr>
      <w:tr w:rsidR="003A0E6D" w:rsidRPr="002F0913" w14:paraId="38076C94" w14:textId="77777777" w:rsidTr="005958EE">
        <w:trPr>
          <w:trHeight w:val="255"/>
          <w:jc w:val="center"/>
        </w:trPr>
        <w:tc>
          <w:tcPr>
            <w:tcW w:w="1838" w:type="dxa"/>
            <w:shd w:val="clear" w:color="000000" w:fill="FFF2CC"/>
            <w:noWrap/>
            <w:vAlign w:val="bottom"/>
            <w:hideMark/>
          </w:tcPr>
          <w:p w14:paraId="13520AD5" w14:textId="375F9AC2" w:rsidR="003A0E6D" w:rsidRPr="009C523D" w:rsidRDefault="009C523D" w:rsidP="009C523D">
            <w:pPr>
              <w:spacing w:line="240" w:lineRule="auto"/>
              <w:jc w:val="left"/>
              <w:rPr>
                <w:rFonts w:ascii="Arial Narrow" w:hAnsi="Arial Narrow" w:cs="Arial"/>
                <w:b/>
                <w:bCs/>
                <w:color w:val="000000"/>
                <w:sz w:val="20"/>
                <w:szCs w:val="20"/>
              </w:rPr>
            </w:pPr>
            <w:r>
              <w:rPr>
                <w:rFonts w:ascii="Arial Narrow" w:hAnsi="Arial Narrow" w:cs="Arial"/>
                <w:b/>
                <w:bCs/>
                <w:color w:val="000000"/>
                <w:sz w:val="20"/>
                <w:szCs w:val="20"/>
              </w:rPr>
              <w:t>Ns</w:t>
            </w:r>
            <w:r w:rsidR="003A0E6D" w:rsidRPr="009C523D">
              <w:rPr>
                <w:rFonts w:ascii="Arial Narrow" w:hAnsi="Arial Narrow" w:cs="Arial"/>
                <w:b/>
                <w:bCs/>
                <w:color w:val="000000"/>
                <w:sz w:val="20"/>
                <w:szCs w:val="20"/>
              </w:rPr>
              <w:t>P Čadca</w:t>
            </w:r>
          </w:p>
        </w:tc>
        <w:tc>
          <w:tcPr>
            <w:tcW w:w="680" w:type="dxa"/>
            <w:shd w:val="clear" w:color="000000" w:fill="FFF2CC"/>
            <w:noWrap/>
            <w:vAlign w:val="bottom"/>
            <w:hideMark/>
          </w:tcPr>
          <w:p w14:paraId="4D765310"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1 421</w:t>
            </w:r>
          </w:p>
        </w:tc>
        <w:tc>
          <w:tcPr>
            <w:tcW w:w="680" w:type="dxa"/>
            <w:shd w:val="clear" w:color="000000" w:fill="FFF2CC"/>
            <w:noWrap/>
            <w:vAlign w:val="bottom"/>
            <w:hideMark/>
          </w:tcPr>
          <w:p w14:paraId="4F5D63CE"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1 429</w:t>
            </w:r>
          </w:p>
        </w:tc>
        <w:tc>
          <w:tcPr>
            <w:tcW w:w="680" w:type="dxa"/>
            <w:shd w:val="clear" w:color="000000" w:fill="FFF2CC"/>
            <w:noWrap/>
            <w:vAlign w:val="bottom"/>
            <w:hideMark/>
          </w:tcPr>
          <w:p w14:paraId="4CCAAB41"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1 199</w:t>
            </w:r>
          </w:p>
        </w:tc>
        <w:tc>
          <w:tcPr>
            <w:tcW w:w="680" w:type="dxa"/>
            <w:shd w:val="clear" w:color="000000" w:fill="FFF2CC"/>
            <w:noWrap/>
            <w:vAlign w:val="bottom"/>
            <w:hideMark/>
          </w:tcPr>
          <w:p w14:paraId="1618B92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1 250</w:t>
            </w:r>
          </w:p>
        </w:tc>
        <w:tc>
          <w:tcPr>
            <w:tcW w:w="680" w:type="dxa"/>
            <w:shd w:val="clear" w:color="000000" w:fill="FFF2CC"/>
            <w:noWrap/>
            <w:vAlign w:val="bottom"/>
            <w:hideMark/>
          </w:tcPr>
          <w:p w14:paraId="4D83CD2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1 173</w:t>
            </w:r>
          </w:p>
        </w:tc>
        <w:tc>
          <w:tcPr>
            <w:tcW w:w="680" w:type="dxa"/>
            <w:shd w:val="clear" w:color="000000" w:fill="FFF2CC"/>
            <w:noWrap/>
            <w:vAlign w:val="bottom"/>
            <w:hideMark/>
          </w:tcPr>
          <w:p w14:paraId="54625604"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1 144</w:t>
            </w:r>
          </w:p>
        </w:tc>
        <w:tc>
          <w:tcPr>
            <w:tcW w:w="680" w:type="dxa"/>
            <w:shd w:val="clear" w:color="000000" w:fill="FFF2CC"/>
            <w:noWrap/>
            <w:vAlign w:val="bottom"/>
            <w:hideMark/>
          </w:tcPr>
          <w:p w14:paraId="5B8AB32A"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1 206</w:t>
            </w:r>
          </w:p>
        </w:tc>
        <w:tc>
          <w:tcPr>
            <w:tcW w:w="680" w:type="dxa"/>
            <w:shd w:val="clear" w:color="000000" w:fill="FFF2CC"/>
            <w:noWrap/>
            <w:vAlign w:val="bottom"/>
            <w:hideMark/>
          </w:tcPr>
          <w:p w14:paraId="730838AF"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1 283</w:t>
            </w:r>
          </w:p>
        </w:tc>
        <w:tc>
          <w:tcPr>
            <w:tcW w:w="680" w:type="dxa"/>
            <w:shd w:val="clear" w:color="000000" w:fill="FFF2CC"/>
            <w:noWrap/>
            <w:vAlign w:val="bottom"/>
            <w:hideMark/>
          </w:tcPr>
          <w:p w14:paraId="1D73770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66</w:t>
            </w:r>
          </w:p>
        </w:tc>
        <w:tc>
          <w:tcPr>
            <w:tcW w:w="680" w:type="dxa"/>
            <w:shd w:val="clear" w:color="000000" w:fill="FFF2CC"/>
            <w:noWrap/>
            <w:vAlign w:val="bottom"/>
            <w:hideMark/>
          </w:tcPr>
          <w:p w14:paraId="71AA1F4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1 413</w:t>
            </w:r>
          </w:p>
        </w:tc>
        <w:tc>
          <w:tcPr>
            <w:tcW w:w="680" w:type="dxa"/>
            <w:shd w:val="clear" w:color="000000" w:fill="FFF2CC"/>
            <w:noWrap/>
            <w:vAlign w:val="bottom"/>
            <w:hideMark/>
          </w:tcPr>
          <w:p w14:paraId="267F01E5"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1 242</w:t>
            </w:r>
          </w:p>
        </w:tc>
        <w:tc>
          <w:tcPr>
            <w:tcW w:w="680" w:type="dxa"/>
            <w:shd w:val="clear" w:color="000000" w:fill="FFF2CC"/>
            <w:noWrap/>
            <w:vAlign w:val="bottom"/>
            <w:hideMark/>
          </w:tcPr>
          <w:p w14:paraId="7178880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1 257</w:t>
            </w:r>
          </w:p>
        </w:tc>
      </w:tr>
      <w:tr w:rsidR="003A0E6D" w:rsidRPr="002F0913" w14:paraId="197F5D74" w14:textId="77777777" w:rsidTr="005958EE">
        <w:trPr>
          <w:trHeight w:val="255"/>
          <w:jc w:val="center"/>
        </w:trPr>
        <w:tc>
          <w:tcPr>
            <w:tcW w:w="1838" w:type="dxa"/>
            <w:shd w:val="clear" w:color="000000" w:fill="A9D08E"/>
            <w:noWrap/>
            <w:vAlign w:val="bottom"/>
            <w:hideMark/>
          </w:tcPr>
          <w:p w14:paraId="0FDD434F" w14:textId="77777777" w:rsidR="003A0E6D" w:rsidRPr="009C523D" w:rsidRDefault="003A0E6D" w:rsidP="002968D3">
            <w:pPr>
              <w:spacing w:line="240" w:lineRule="auto"/>
              <w:jc w:val="left"/>
              <w:rPr>
                <w:rFonts w:ascii="Arial Narrow" w:hAnsi="Arial Narrow" w:cs="Arial"/>
                <w:b/>
                <w:bCs/>
                <w:color w:val="000000"/>
                <w:sz w:val="20"/>
                <w:szCs w:val="20"/>
              </w:rPr>
            </w:pPr>
            <w:proofErr w:type="spellStart"/>
            <w:r w:rsidRPr="009C523D">
              <w:rPr>
                <w:rFonts w:ascii="Arial Narrow" w:hAnsi="Arial Narrow" w:cs="Arial"/>
                <w:b/>
                <w:bCs/>
                <w:color w:val="000000"/>
                <w:sz w:val="20"/>
                <w:szCs w:val="20"/>
              </w:rPr>
              <w:t>FNsP</w:t>
            </w:r>
            <w:proofErr w:type="spellEnd"/>
            <w:r w:rsidRPr="009C523D">
              <w:rPr>
                <w:rFonts w:ascii="Arial Narrow" w:hAnsi="Arial Narrow" w:cs="Arial"/>
                <w:b/>
                <w:bCs/>
                <w:color w:val="000000"/>
                <w:sz w:val="20"/>
                <w:szCs w:val="20"/>
              </w:rPr>
              <w:t xml:space="preserve"> Žilina</w:t>
            </w:r>
          </w:p>
        </w:tc>
        <w:tc>
          <w:tcPr>
            <w:tcW w:w="680" w:type="dxa"/>
            <w:shd w:val="clear" w:color="000000" w:fill="A9D08E"/>
            <w:noWrap/>
            <w:vAlign w:val="bottom"/>
            <w:hideMark/>
          </w:tcPr>
          <w:p w14:paraId="366BE380"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1 736</w:t>
            </w:r>
          </w:p>
        </w:tc>
        <w:tc>
          <w:tcPr>
            <w:tcW w:w="680" w:type="dxa"/>
            <w:shd w:val="clear" w:color="000000" w:fill="A9D08E"/>
            <w:noWrap/>
            <w:vAlign w:val="bottom"/>
            <w:hideMark/>
          </w:tcPr>
          <w:p w14:paraId="6403690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1 618</w:t>
            </w:r>
          </w:p>
        </w:tc>
        <w:tc>
          <w:tcPr>
            <w:tcW w:w="680" w:type="dxa"/>
            <w:shd w:val="clear" w:color="000000" w:fill="A9D08E"/>
            <w:noWrap/>
            <w:vAlign w:val="bottom"/>
            <w:hideMark/>
          </w:tcPr>
          <w:p w14:paraId="71E064D0"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1 037</w:t>
            </w:r>
          </w:p>
        </w:tc>
        <w:tc>
          <w:tcPr>
            <w:tcW w:w="680" w:type="dxa"/>
            <w:shd w:val="clear" w:color="000000" w:fill="A9D08E"/>
            <w:noWrap/>
            <w:vAlign w:val="bottom"/>
            <w:hideMark/>
          </w:tcPr>
          <w:p w14:paraId="48887FC4"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1 187</w:t>
            </w:r>
          </w:p>
        </w:tc>
        <w:tc>
          <w:tcPr>
            <w:tcW w:w="680" w:type="dxa"/>
            <w:shd w:val="clear" w:color="000000" w:fill="A9D08E"/>
            <w:noWrap/>
            <w:vAlign w:val="bottom"/>
            <w:hideMark/>
          </w:tcPr>
          <w:p w14:paraId="379A53F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1 325</w:t>
            </w:r>
          </w:p>
        </w:tc>
        <w:tc>
          <w:tcPr>
            <w:tcW w:w="680" w:type="dxa"/>
            <w:shd w:val="clear" w:color="000000" w:fill="A9D08E"/>
            <w:noWrap/>
            <w:vAlign w:val="bottom"/>
            <w:hideMark/>
          </w:tcPr>
          <w:p w14:paraId="369371A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1 346</w:t>
            </w:r>
          </w:p>
        </w:tc>
        <w:tc>
          <w:tcPr>
            <w:tcW w:w="680" w:type="dxa"/>
            <w:shd w:val="clear" w:color="000000" w:fill="A9D08E"/>
            <w:noWrap/>
            <w:vAlign w:val="bottom"/>
            <w:hideMark/>
          </w:tcPr>
          <w:p w14:paraId="517B4451"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1 444</w:t>
            </w:r>
          </w:p>
        </w:tc>
        <w:tc>
          <w:tcPr>
            <w:tcW w:w="680" w:type="dxa"/>
            <w:shd w:val="clear" w:color="000000" w:fill="A9D08E"/>
            <w:noWrap/>
            <w:vAlign w:val="bottom"/>
            <w:hideMark/>
          </w:tcPr>
          <w:p w14:paraId="00F8C9E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1 910</w:t>
            </w:r>
          </w:p>
        </w:tc>
        <w:tc>
          <w:tcPr>
            <w:tcW w:w="680" w:type="dxa"/>
            <w:shd w:val="clear" w:color="000000" w:fill="A9D08E"/>
            <w:noWrap/>
            <w:vAlign w:val="bottom"/>
            <w:hideMark/>
          </w:tcPr>
          <w:p w14:paraId="636704D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1 992</w:t>
            </w:r>
          </w:p>
        </w:tc>
        <w:tc>
          <w:tcPr>
            <w:tcW w:w="680" w:type="dxa"/>
            <w:shd w:val="clear" w:color="000000" w:fill="A9D08E"/>
            <w:noWrap/>
            <w:vAlign w:val="bottom"/>
            <w:hideMark/>
          </w:tcPr>
          <w:p w14:paraId="0231054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1 719</w:t>
            </w:r>
          </w:p>
        </w:tc>
        <w:tc>
          <w:tcPr>
            <w:tcW w:w="680" w:type="dxa"/>
            <w:shd w:val="clear" w:color="000000" w:fill="A9D08E"/>
            <w:noWrap/>
            <w:vAlign w:val="bottom"/>
            <w:hideMark/>
          </w:tcPr>
          <w:p w14:paraId="2DA4F01B"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1 732</w:t>
            </w:r>
          </w:p>
        </w:tc>
        <w:tc>
          <w:tcPr>
            <w:tcW w:w="680" w:type="dxa"/>
            <w:shd w:val="clear" w:color="000000" w:fill="A9D08E"/>
            <w:noWrap/>
            <w:vAlign w:val="bottom"/>
            <w:hideMark/>
          </w:tcPr>
          <w:p w14:paraId="2B9BF7D4"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1 643</w:t>
            </w:r>
          </w:p>
        </w:tc>
      </w:tr>
      <w:tr w:rsidR="003A0E6D" w:rsidRPr="002F0913" w14:paraId="6F08085F" w14:textId="77777777" w:rsidTr="005958EE">
        <w:trPr>
          <w:trHeight w:val="255"/>
          <w:jc w:val="center"/>
        </w:trPr>
        <w:tc>
          <w:tcPr>
            <w:tcW w:w="1838" w:type="dxa"/>
            <w:shd w:val="clear" w:color="auto" w:fill="auto"/>
            <w:noWrap/>
            <w:vAlign w:val="bottom"/>
            <w:hideMark/>
          </w:tcPr>
          <w:p w14:paraId="4630F206" w14:textId="7B56349E"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 xml:space="preserve">NsP </w:t>
            </w:r>
            <w:proofErr w:type="spellStart"/>
            <w:r w:rsidRPr="009C523D">
              <w:rPr>
                <w:rFonts w:ascii="Arial Narrow" w:hAnsi="Arial Narrow" w:cs="Arial"/>
                <w:b/>
                <w:bCs/>
                <w:color w:val="000000"/>
                <w:sz w:val="20"/>
                <w:szCs w:val="20"/>
              </w:rPr>
              <w:t>Lipt</w:t>
            </w:r>
            <w:proofErr w:type="spellEnd"/>
            <w:r w:rsidRPr="009C523D">
              <w:rPr>
                <w:rFonts w:ascii="Arial Narrow" w:hAnsi="Arial Narrow" w:cs="Arial"/>
                <w:b/>
                <w:bCs/>
                <w:color w:val="000000"/>
                <w:sz w:val="20"/>
                <w:szCs w:val="20"/>
              </w:rPr>
              <w:t>.</w:t>
            </w:r>
            <w:r w:rsidR="00C8452A">
              <w:rPr>
                <w:rFonts w:ascii="Arial Narrow" w:hAnsi="Arial Narrow" w:cs="Arial"/>
                <w:b/>
                <w:bCs/>
                <w:color w:val="000000"/>
                <w:sz w:val="20"/>
                <w:szCs w:val="20"/>
              </w:rPr>
              <w:t xml:space="preserve"> </w:t>
            </w:r>
            <w:r w:rsidRPr="009C523D">
              <w:rPr>
                <w:rFonts w:ascii="Arial Narrow" w:hAnsi="Arial Narrow" w:cs="Arial"/>
                <w:b/>
                <w:bCs/>
                <w:color w:val="000000"/>
                <w:sz w:val="20"/>
                <w:szCs w:val="20"/>
              </w:rPr>
              <w:t>Mikuláš</w:t>
            </w:r>
          </w:p>
        </w:tc>
        <w:tc>
          <w:tcPr>
            <w:tcW w:w="680" w:type="dxa"/>
            <w:shd w:val="clear" w:color="auto" w:fill="auto"/>
            <w:noWrap/>
            <w:vAlign w:val="bottom"/>
            <w:hideMark/>
          </w:tcPr>
          <w:p w14:paraId="5EC1A39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302</w:t>
            </w:r>
          </w:p>
        </w:tc>
        <w:tc>
          <w:tcPr>
            <w:tcW w:w="680" w:type="dxa"/>
            <w:shd w:val="clear" w:color="auto" w:fill="auto"/>
            <w:noWrap/>
            <w:vAlign w:val="bottom"/>
            <w:hideMark/>
          </w:tcPr>
          <w:p w14:paraId="45AD1E9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296</w:t>
            </w:r>
          </w:p>
        </w:tc>
        <w:tc>
          <w:tcPr>
            <w:tcW w:w="680" w:type="dxa"/>
            <w:shd w:val="clear" w:color="auto" w:fill="auto"/>
            <w:noWrap/>
            <w:vAlign w:val="bottom"/>
            <w:hideMark/>
          </w:tcPr>
          <w:p w14:paraId="1D7C2934"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325</w:t>
            </w:r>
          </w:p>
        </w:tc>
        <w:tc>
          <w:tcPr>
            <w:tcW w:w="680" w:type="dxa"/>
            <w:shd w:val="clear" w:color="auto" w:fill="auto"/>
            <w:noWrap/>
            <w:vAlign w:val="bottom"/>
            <w:hideMark/>
          </w:tcPr>
          <w:p w14:paraId="3F45844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405</w:t>
            </w:r>
          </w:p>
        </w:tc>
        <w:tc>
          <w:tcPr>
            <w:tcW w:w="680" w:type="dxa"/>
            <w:shd w:val="clear" w:color="auto" w:fill="auto"/>
            <w:noWrap/>
            <w:vAlign w:val="bottom"/>
            <w:hideMark/>
          </w:tcPr>
          <w:p w14:paraId="68EFC60B"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483</w:t>
            </w:r>
          </w:p>
        </w:tc>
        <w:tc>
          <w:tcPr>
            <w:tcW w:w="680" w:type="dxa"/>
            <w:shd w:val="clear" w:color="auto" w:fill="auto"/>
            <w:noWrap/>
            <w:vAlign w:val="bottom"/>
            <w:hideMark/>
          </w:tcPr>
          <w:p w14:paraId="518D8DAE"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545</w:t>
            </w:r>
          </w:p>
        </w:tc>
        <w:tc>
          <w:tcPr>
            <w:tcW w:w="680" w:type="dxa"/>
            <w:shd w:val="clear" w:color="auto" w:fill="auto"/>
            <w:noWrap/>
            <w:vAlign w:val="bottom"/>
            <w:hideMark/>
          </w:tcPr>
          <w:p w14:paraId="3E81257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581</w:t>
            </w:r>
          </w:p>
        </w:tc>
        <w:tc>
          <w:tcPr>
            <w:tcW w:w="680" w:type="dxa"/>
            <w:shd w:val="clear" w:color="auto" w:fill="auto"/>
            <w:noWrap/>
            <w:vAlign w:val="bottom"/>
            <w:hideMark/>
          </w:tcPr>
          <w:p w14:paraId="7B86936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616</w:t>
            </w:r>
          </w:p>
        </w:tc>
        <w:tc>
          <w:tcPr>
            <w:tcW w:w="680" w:type="dxa"/>
            <w:shd w:val="clear" w:color="auto" w:fill="auto"/>
            <w:noWrap/>
            <w:vAlign w:val="bottom"/>
            <w:hideMark/>
          </w:tcPr>
          <w:p w14:paraId="74D2B6F4"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650</w:t>
            </w:r>
          </w:p>
        </w:tc>
        <w:tc>
          <w:tcPr>
            <w:tcW w:w="680" w:type="dxa"/>
            <w:shd w:val="clear" w:color="auto" w:fill="auto"/>
            <w:noWrap/>
            <w:vAlign w:val="bottom"/>
            <w:hideMark/>
          </w:tcPr>
          <w:p w14:paraId="52C1A04E"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545</w:t>
            </w:r>
          </w:p>
        </w:tc>
        <w:tc>
          <w:tcPr>
            <w:tcW w:w="680" w:type="dxa"/>
            <w:shd w:val="clear" w:color="auto" w:fill="auto"/>
            <w:noWrap/>
            <w:vAlign w:val="bottom"/>
            <w:hideMark/>
          </w:tcPr>
          <w:p w14:paraId="692FBF4D"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561</w:t>
            </w:r>
          </w:p>
        </w:tc>
        <w:tc>
          <w:tcPr>
            <w:tcW w:w="680" w:type="dxa"/>
            <w:shd w:val="clear" w:color="auto" w:fill="auto"/>
            <w:noWrap/>
            <w:vAlign w:val="bottom"/>
            <w:hideMark/>
          </w:tcPr>
          <w:p w14:paraId="67CAED8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566</w:t>
            </w:r>
          </w:p>
        </w:tc>
      </w:tr>
      <w:tr w:rsidR="003A0E6D" w:rsidRPr="002F0913" w14:paraId="26163511" w14:textId="77777777" w:rsidTr="005958EE">
        <w:trPr>
          <w:trHeight w:val="255"/>
          <w:jc w:val="center"/>
        </w:trPr>
        <w:tc>
          <w:tcPr>
            <w:tcW w:w="1838" w:type="dxa"/>
            <w:shd w:val="clear" w:color="auto" w:fill="auto"/>
            <w:noWrap/>
            <w:vAlign w:val="bottom"/>
            <w:hideMark/>
          </w:tcPr>
          <w:p w14:paraId="22360FA9" w14:textId="59208D88" w:rsidR="003A0E6D" w:rsidRPr="009C523D" w:rsidRDefault="009C523D" w:rsidP="002968D3">
            <w:pPr>
              <w:spacing w:line="240" w:lineRule="auto"/>
              <w:jc w:val="left"/>
              <w:rPr>
                <w:rFonts w:ascii="Arial Narrow" w:hAnsi="Arial Narrow" w:cs="Arial"/>
                <w:b/>
                <w:bCs/>
                <w:color w:val="000000"/>
                <w:sz w:val="20"/>
                <w:szCs w:val="20"/>
              </w:rPr>
            </w:pPr>
            <w:r>
              <w:rPr>
                <w:rFonts w:ascii="Arial Narrow" w:hAnsi="Arial Narrow" w:cs="Arial"/>
                <w:b/>
                <w:bCs/>
                <w:color w:val="000000"/>
                <w:sz w:val="20"/>
                <w:szCs w:val="20"/>
              </w:rPr>
              <w:t>Ú</w:t>
            </w:r>
            <w:r w:rsidR="003A0E6D" w:rsidRPr="009C523D">
              <w:rPr>
                <w:rFonts w:ascii="Arial Narrow" w:hAnsi="Arial Narrow" w:cs="Arial"/>
                <w:b/>
                <w:bCs/>
                <w:color w:val="000000"/>
                <w:sz w:val="20"/>
                <w:szCs w:val="20"/>
              </w:rPr>
              <w:t>VN Ružomberok</w:t>
            </w:r>
          </w:p>
        </w:tc>
        <w:tc>
          <w:tcPr>
            <w:tcW w:w="680" w:type="dxa"/>
            <w:shd w:val="clear" w:color="auto" w:fill="auto"/>
            <w:noWrap/>
            <w:vAlign w:val="bottom"/>
            <w:hideMark/>
          </w:tcPr>
          <w:p w14:paraId="0F0396A5"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391</w:t>
            </w:r>
          </w:p>
        </w:tc>
        <w:tc>
          <w:tcPr>
            <w:tcW w:w="680" w:type="dxa"/>
            <w:shd w:val="clear" w:color="auto" w:fill="auto"/>
            <w:noWrap/>
            <w:vAlign w:val="bottom"/>
            <w:hideMark/>
          </w:tcPr>
          <w:p w14:paraId="17B7000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459</w:t>
            </w:r>
          </w:p>
        </w:tc>
        <w:tc>
          <w:tcPr>
            <w:tcW w:w="680" w:type="dxa"/>
            <w:shd w:val="clear" w:color="auto" w:fill="auto"/>
            <w:noWrap/>
            <w:vAlign w:val="bottom"/>
            <w:hideMark/>
          </w:tcPr>
          <w:p w14:paraId="6288B5FA"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487</w:t>
            </w:r>
          </w:p>
        </w:tc>
        <w:tc>
          <w:tcPr>
            <w:tcW w:w="680" w:type="dxa"/>
            <w:shd w:val="clear" w:color="auto" w:fill="auto"/>
            <w:noWrap/>
            <w:vAlign w:val="bottom"/>
            <w:hideMark/>
          </w:tcPr>
          <w:p w14:paraId="31BA22D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308</w:t>
            </w:r>
          </w:p>
        </w:tc>
        <w:tc>
          <w:tcPr>
            <w:tcW w:w="680" w:type="dxa"/>
            <w:shd w:val="clear" w:color="auto" w:fill="auto"/>
            <w:noWrap/>
            <w:vAlign w:val="bottom"/>
            <w:hideMark/>
          </w:tcPr>
          <w:p w14:paraId="4CD6947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392</w:t>
            </w:r>
          </w:p>
        </w:tc>
        <w:tc>
          <w:tcPr>
            <w:tcW w:w="680" w:type="dxa"/>
            <w:shd w:val="clear" w:color="auto" w:fill="auto"/>
            <w:noWrap/>
            <w:vAlign w:val="bottom"/>
            <w:hideMark/>
          </w:tcPr>
          <w:p w14:paraId="5F09E887"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482</w:t>
            </w:r>
          </w:p>
        </w:tc>
        <w:tc>
          <w:tcPr>
            <w:tcW w:w="680" w:type="dxa"/>
            <w:shd w:val="clear" w:color="auto" w:fill="auto"/>
            <w:noWrap/>
            <w:vAlign w:val="bottom"/>
            <w:hideMark/>
          </w:tcPr>
          <w:p w14:paraId="1A2A5A5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542</w:t>
            </w:r>
          </w:p>
        </w:tc>
        <w:tc>
          <w:tcPr>
            <w:tcW w:w="680" w:type="dxa"/>
            <w:shd w:val="clear" w:color="auto" w:fill="auto"/>
            <w:noWrap/>
            <w:vAlign w:val="bottom"/>
            <w:hideMark/>
          </w:tcPr>
          <w:p w14:paraId="65D8602B"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618</w:t>
            </w:r>
          </w:p>
        </w:tc>
        <w:tc>
          <w:tcPr>
            <w:tcW w:w="680" w:type="dxa"/>
            <w:shd w:val="clear" w:color="auto" w:fill="auto"/>
            <w:noWrap/>
            <w:vAlign w:val="bottom"/>
            <w:hideMark/>
          </w:tcPr>
          <w:p w14:paraId="38EE440A"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535</w:t>
            </w:r>
          </w:p>
        </w:tc>
        <w:tc>
          <w:tcPr>
            <w:tcW w:w="680" w:type="dxa"/>
            <w:shd w:val="clear" w:color="auto" w:fill="auto"/>
            <w:noWrap/>
            <w:vAlign w:val="bottom"/>
            <w:hideMark/>
          </w:tcPr>
          <w:p w14:paraId="27B4F51F"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775</w:t>
            </w:r>
          </w:p>
        </w:tc>
        <w:tc>
          <w:tcPr>
            <w:tcW w:w="680" w:type="dxa"/>
            <w:shd w:val="clear" w:color="auto" w:fill="auto"/>
            <w:noWrap/>
            <w:vAlign w:val="bottom"/>
            <w:hideMark/>
          </w:tcPr>
          <w:p w14:paraId="642C76A8"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411</w:t>
            </w:r>
          </w:p>
        </w:tc>
        <w:tc>
          <w:tcPr>
            <w:tcW w:w="680" w:type="dxa"/>
            <w:shd w:val="clear" w:color="auto" w:fill="auto"/>
            <w:noWrap/>
            <w:vAlign w:val="bottom"/>
            <w:hideMark/>
          </w:tcPr>
          <w:p w14:paraId="18D1076A"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528</w:t>
            </w:r>
          </w:p>
        </w:tc>
      </w:tr>
    </w:tbl>
    <w:p w14:paraId="0D49596F" w14:textId="3F290FEE" w:rsidR="003A0E6D" w:rsidRPr="002968D3" w:rsidRDefault="003A0E6D" w:rsidP="003A0E6D">
      <w:pPr>
        <w:spacing w:line="240" w:lineRule="auto"/>
        <w:rPr>
          <w:rFonts w:ascii="Century Gothic" w:hAnsi="Century Gothic"/>
          <w:i/>
          <w:sz w:val="18"/>
          <w:szCs w:val="18"/>
        </w:rPr>
      </w:pPr>
      <w:r w:rsidRPr="002968D3">
        <w:rPr>
          <w:rFonts w:ascii="Century Gothic" w:hAnsi="Century Gothic"/>
          <w:i/>
          <w:sz w:val="18"/>
          <w:szCs w:val="18"/>
        </w:rPr>
        <w:t xml:space="preserve">Zdroj: NCZI, </w:t>
      </w:r>
      <w:r w:rsidR="00CC5B6E">
        <w:rPr>
          <w:rFonts w:ascii="Century Gothic" w:hAnsi="Century Gothic"/>
          <w:i/>
          <w:sz w:val="18"/>
          <w:szCs w:val="18"/>
        </w:rPr>
        <w:t>vlastné spracovanie</w:t>
      </w:r>
    </w:p>
    <w:p w14:paraId="51F8B6DD" w14:textId="77777777" w:rsidR="003A0E6D" w:rsidRDefault="003A0E6D" w:rsidP="003A0E6D">
      <w:pPr>
        <w:spacing w:line="240" w:lineRule="auto"/>
        <w:jc w:val="left"/>
        <w:rPr>
          <w:rFonts w:ascii="Century Gothic" w:hAnsi="Century Gothic" w:cs="Arial"/>
          <w:sz w:val="22"/>
          <w:szCs w:val="22"/>
        </w:rPr>
      </w:pPr>
    </w:p>
    <w:p w14:paraId="4D8C1753" w14:textId="77777777" w:rsidR="003A0E6D" w:rsidRDefault="003A0E6D" w:rsidP="003A0E6D">
      <w:pPr>
        <w:spacing w:line="240" w:lineRule="auto"/>
        <w:jc w:val="left"/>
        <w:rPr>
          <w:rFonts w:ascii="Century Gothic" w:hAnsi="Century Gothic" w:cs="Arial"/>
          <w:b/>
          <w:bCs/>
          <w:sz w:val="22"/>
          <w:szCs w:val="22"/>
        </w:rPr>
      </w:pPr>
      <w:r w:rsidRPr="00425917">
        <w:rPr>
          <w:rFonts w:ascii="Century Gothic" w:hAnsi="Century Gothic" w:cs="Arial"/>
          <w:b/>
          <w:bCs/>
          <w:sz w:val="22"/>
          <w:szCs w:val="22"/>
        </w:rPr>
        <w:t>Plánovaná (neakútna) zdravotná starostlivosť</w:t>
      </w:r>
    </w:p>
    <w:p w14:paraId="1267993B" w14:textId="77777777" w:rsidR="003A0E6D" w:rsidRDefault="003A0E6D" w:rsidP="003A0E6D">
      <w:pPr>
        <w:spacing w:line="240" w:lineRule="auto"/>
        <w:jc w:val="left"/>
        <w:rPr>
          <w:rFonts w:ascii="Century Gothic" w:hAnsi="Century Gothic" w:cs="Arial"/>
          <w:b/>
          <w:bCs/>
          <w:sz w:val="22"/>
          <w:szCs w:val="22"/>
        </w:rPr>
      </w:pPr>
    </w:p>
    <w:p w14:paraId="2B6E2A40" w14:textId="041D6028" w:rsidR="003A0E6D" w:rsidRDefault="003A0E6D" w:rsidP="002968D3">
      <w:pPr>
        <w:spacing w:line="240" w:lineRule="auto"/>
        <w:rPr>
          <w:rFonts w:ascii="Century Gothic" w:hAnsi="Century Gothic" w:cs="Arial"/>
          <w:sz w:val="22"/>
          <w:szCs w:val="22"/>
        </w:rPr>
      </w:pPr>
      <w:r w:rsidRPr="00587BAB">
        <w:rPr>
          <w:rFonts w:ascii="Century Gothic" w:hAnsi="Century Gothic" w:cs="Arial"/>
          <w:sz w:val="22"/>
          <w:szCs w:val="22"/>
        </w:rPr>
        <w:t xml:space="preserve">Kapacita lôžkovej zdravotnej starostlivosti v rámci Žilinského samosprávneho kraja je z pohľad SR </w:t>
      </w:r>
      <w:r>
        <w:rPr>
          <w:rFonts w:ascii="Century Gothic" w:hAnsi="Century Gothic" w:cs="Arial"/>
          <w:sz w:val="22"/>
          <w:szCs w:val="22"/>
        </w:rPr>
        <w:t xml:space="preserve">mierne </w:t>
      </w:r>
      <w:r w:rsidRPr="00587BAB">
        <w:rPr>
          <w:rFonts w:ascii="Century Gothic" w:hAnsi="Century Gothic" w:cs="Arial"/>
          <w:sz w:val="22"/>
          <w:szCs w:val="22"/>
        </w:rPr>
        <w:t>nadpri</w:t>
      </w:r>
      <w:r>
        <w:rPr>
          <w:rFonts w:ascii="Century Gothic" w:hAnsi="Century Gothic" w:cs="Arial"/>
          <w:sz w:val="22"/>
          <w:szCs w:val="22"/>
        </w:rPr>
        <w:t>e</w:t>
      </w:r>
      <w:r w:rsidRPr="00587BAB">
        <w:rPr>
          <w:rFonts w:ascii="Century Gothic" w:hAnsi="Century Gothic" w:cs="Arial"/>
          <w:sz w:val="22"/>
          <w:szCs w:val="22"/>
        </w:rPr>
        <w:t>merná.</w:t>
      </w:r>
      <w:r>
        <w:rPr>
          <w:rFonts w:ascii="Century Gothic" w:hAnsi="Century Gothic" w:cs="Arial"/>
          <w:sz w:val="22"/>
          <w:szCs w:val="22"/>
        </w:rPr>
        <w:t xml:space="preserve"> </w:t>
      </w:r>
      <w:r w:rsidR="002031AE">
        <w:rPr>
          <w:rFonts w:ascii="Century Gothic" w:hAnsi="Century Gothic" w:cs="Arial"/>
          <w:sz w:val="22"/>
          <w:szCs w:val="22"/>
        </w:rPr>
        <w:t xml:space="preserve">Ak však prepočítame kapacity </w:t>
      </w:r>
      <w:proofErr w:type="spellStart"/>
      <w:r w:rsidR="002031AE">
        <w:rPr>
          <w:rFonts w:ascii="Century Gothic" w:hAnsi="Century Gothic" w:cs="Arial"/>
          <w:sz w:val="22"/>
          <w:szCs w:val="22"/>
        </w:rPr>
        <w:t>FNsP</w:t>
      </w:r>
      <w:proofErr w:type="spellEnd"/>
      <w:r w:rsidR="002031AE">
        <w:rPr>
          <w:rFonts w:ascii="Century Gothic" w:hAnsi="Century Gothic" w:cs="Arial"/>
          <w:sz w:val="22"/>
          <w:szCs w:val="22"/>
        </w:rPr>
        <w:t xml:space="preserve"> Žilina na priamu </w:t>
      </w:r>
      <w:proofErr w:type="spellStart"/>
      <w:r w:rsidR="002031AE">
        <w:rPr>
          <w:rFonts w:ascii="Century Gothic" w:hAnsi="Century Gothic" w:cs="Arial"/>
          <w:sz w:val="22"/>
          <w:szCs w:val="22"/>
        </w:rPr>
        <w:t>spádovosť</w:t>
      </w:r>
      <w:proofErr w:type="spellEnd"/>
      <w:r w:rsidR="002031AE">
        <w:rPr>
          <w:rFonts w:ascii="Century Gothic" w:hAnsi="Century Gothic" w:cs="Arial"/>
          <w:sz w:val="22"/>
          <w:szCs w:val="22"/>
        </w:rPr>
        <w:t xml:space="preserve"> okresov Žilina+Bytča+1/2 Kysucké Nové Mesto (druhá polovica spáduje do FN Čadca), tak môžeme vidieť, že </w:t>
      </w:r>
      <w:r w:rsidR="0034492E">
        <w:rPr>
          <w:rFonts w:ascii="Century Gothic" w:hAnsi="Century Gothic" w:cs="Arial"/>
          <w:sz w:val="22"/>
          <w:szCs w:val="22"/>
        </w:rPr>
        <w:t>kapacita je viac ako o 30% nižšia ako v SR, resp. ŽSK.</w:t>
      </w:r>
      <w:r w:rsidR="002031AE">
        <w:rPr>
          <w:rFonts w:ascii="Century Gothic" w:hAnsi="Century Gothic" w:cs="Arial"/>
          <w:sz w:val="22"/>
          <w:szCs w:val="22"/>
        </w:rPr>
        <w:t xml:space="preserve"> </w:t>
      </w:r>
      <w:r>
        <w:rPr>
          <w:rFonts w:ascii="Century Gothic" w:hAnsi="Century Gothic" w:cs="Arial"/>
          <w:sz w:val="22"/>
          <w:szCs w:val="22"/>
        </w:rPr>
        <w:t>Personálne obsadenie je porovnateľné s priemerom SR, pričom počet sestier zamestnaných v nemocniciach uvedený v tabuľke nereprezentuje len sestry pri lôžku, ale všetky sestry pracujúce v</w:t>
      </w:r>
      <w:r w:rsidR="00312A43">
        <w:rPr>
          <w:rFonts w:ascii="Century Gothic" w:hAnsi="Century Gothic" w:cs="Arial"/>
          <w:sz w:val="22"/>
          <w:szCs w:val="22"/>
        </w:rPr>
        <w:t> </w:t>
      </w:r>
      <w:r>
        <w:rPr>
          <w:rFonts w:ascii="Century Gothic" w:hAnsi="Century Gothic" w:cs="Arial"/>
          <w:sz w:val="22"/>
          <w:szCs w:val="22"/>
        </w:rPr>
        <w:t>nemocnici</w:t>
      </w:r>
      <w:r w:rsidR="00312A43">
        <w:rPr>
          <w:rFonts w:ascii="Century Gothic" w:hAnsi="Century Gothic" w:cs="Arial"/>
          <w:sz w:val="22"/>
          <w:szCs w:val="22"/>
        </w:rPr>
        <w:t>. V</w:t>
      </w:r>
      <w:r w:rsidR="0034492E">
        <w:rPr>
          <w:rFonts w:ascii="Century Gothic" w:hAnsi="Century Gothic" w:cs="Arial"/>
          <w:sz w:val="22"/>
          <w:szCs w:val="22"/>
        </w:rPr>
        <w:t xml:space="preserve"> parametri počet sestier pri lôžku je </w:t>
      </w:r>
      <w:proofErr w:type="spellStart"/>
      <w:r w:rsidR="0034492E">
        <w:rPr>
          <w:rFonts w:ascii="Century Gothic" w:hAnsi="Century Gothic" w:cs="Arial"/>
          <w:sz w:val="22"/>
          <w:szCs w:val="22"/>
        </w:rPr>
        <w:t>F</w:t>
      </w:r>
      <w:r w:rsidR="00906409">
        <w:rPr>
          <w:rFonts w:ascii="Century Gothic" w:hAnsi="Century Gothic" w:cs="Arial"/>
          <w:sz w:val="22"/>
          <w:szCs w:val="22"/>
        </w:rPr>
        <w:t>Ns</w:t>
      </w:r>
      <w:r w:rsidR="0034492E">
        <w:rPr>
          <w:rFonts w:ascii="Century Gothic" w:hAnsi="Century Gothic" w:cs="Arial"/>
          <w:sz w:val="22"/>
          <w:szCs w:val="22"/>
        </w:rPr>
        <w:t>P</w:t>
      </w:r>
      <w:proofErr w:type="spellEnd"/>
      <w:r w:rsidR="0034492E">
        <w:rPr>
          <w:rFonts w:ascii="Century Gothic" w:hAnsi="Century Gothic" w:cs="Arial"/>
          <w:sz w:val="22"/>
          <w:szCs w:val="22"/>
        </w:rPr>
        <w:t xml:space="preserve"> </w:t>
      </w:r>
      <w:r w:rsidR="00906409">
        <w:rPr>
          <w:rFonts w:ascii="Century Gothic" w:hAnsi="Century Gothic" w:cs="Arial"/>
          <w:sz w:val="22"/>
          <w:szCs w:val="22"/>
        </w:rPr>
        <w:t>Žilina</w:t>
      </w:r>
      <w:r w:rsidR="0034492E">
        <w:rPr>
          <w:rFonts w:ascii="Century Gothic" w:hAnsi="Century Gothic" w:cs="Arial"/>
          <w:sz w:val="22"/>
          <w:szCs w:val="22"/>
        </w:rPr>
        <w:t xml:space="preserve"> na lepšej úrovni ako priemer SR ako aj priemer ŽSK.</w:t>
      </w:r>
    </w:p>
    <w:p w14:paraId="3C57AD78" w14:textId="2A187CDB" w:rsidR="003A0E6D" w:rsidRDefault="003A0E6D" w:rsidP="003A0E6D">
      <w:pPr>
        <w:spacing w:line="240" w:lineRule="auto"/>
        <w:jc w:val="left"/>
        <w:rPr>
          <w:rFonts w:ascii="Century Gothic" w:hAnsi="Century Gothic" w:cs="Arial"/>
          <w:sz w:val="22"/>
          <w:szCs w:val="22"/>
        </w:rPr>
      </w:pPr>
    </w:p>
    <w:p w14:paraId="2AA65B9C" w14:textId="1EDA3B7D" w:rsidR="002519B1" w:rsidRPr="002968D3" w:rsidRDefault="002519B1" w:rsidP="002519B1">
      <w:pPr>
        <w:keepNext/>
        <w:spacing w:line="240" w:lineRule="auto"/>
        <w:jc w:val="left"/>
        <w:rPr>
          <w:rFonts w:ascii="Century Gothic" w:hAnsi="Century Gothic" w:cs="Arial"/>
          <w:i/>
          <w:sz w:val="20"/>
          <w:szCs w:val="20"/>
        </w:rPr>
      </w:pPr>
      <w:bookmarkStart w:id="61" w:name="_Toc145219916"/>
      <w:r w:rsidRPr="002519B1">
        <w:rPr>
          <w:rFonts w:ascii="Century Gothic" w:hAnsi="Century Gothic" w:cs="Arial"/>
          <w:i/>
          <w:sz w:val="20"/>
          <w:szCs w:val="20"/>
        </w:rPr>
        <w:t xml:space="preserve">Tabuľka </w:t>
      </w:r>
      <w:r w:rsidRPr="002519B1">
        <w:rPr>
          <w:rFonts w:ascii="Century Gothic" w:hAnsi="Century Gothic" w:cs="Arial"/>
          <w:i/>
          <w:sz w:val="20"/>
          <w:szCs w:val="20"/>
        </w:rPr>
        <w:fldChar w:fldCharType="begin"/>
      </w:r>
      <w:r w:rsidRPr="002519B1">
        <w:rPr>
          <w:rFonts w:ascii="Century Gothic" w:hAnsi="Century Gothic" w:cs="Arial"/>
          <w:i/>
          <w:sz w:val="20"/>
          <w:szCs w:val="20"/>
        </w:rPr>
        <w:instrText xml:space="preserve"> SEQ Tabuľka \* ARABIC </w:instrText>
      </w:r>
      <w:r w:rsidRPr="002519B1">
        <w:rPr>
          <w:rFonts w:ascii="Century Gothic" w:hAnsi="Century Gothic" w:cs="Arial"/>
          <w:i/>
          <w:sz w:val="20"/>
          <w:szCs w:val="20"/>
        </w:rPr>
        <w:fldChar w:fldCharType="separate"/>
      </w:r>
      <w:r w:rsidR="007D6A44">
        <w:rPr>
          <w:rFonts w:ascii="Century Gothic" w:hAnsi="Century Gothic" w:cs="Arial"/>
          <w:i/>
          <w:noProof/>
          <w:sz w:val="20"/>
          <w:szCs w:val="20"/>
        </w:rPr>
        <w:t>15</w:t>
      </w:r>
      <w:r w:rsidRPr="002519B1">
        <w:rPr>
          <w:rFonts w:ascii="Century Gothic" w:hAnsi="Century Gothic" w:cs="Arial"/>
          <w:i/>
          <w:sz w:val="20"/>
          <w:szCs w:val="20"/>
        </w:rPr>
        <w:fldChar w:fldCharType="end"/>
      </w:r>
      <w:r w:rsidRPr="002519B1">
        <w:rPr>
          <w:rFonts w:ascii="Century Gothic" w:hAnsi="Century Gothic" w:cs="Arial"/>
          <w:i/>
          <w:sz w:val="20"/>
          <w:szCs w:val="20"/>
        </w:rPr>
        <w:t xml:space="preserve"> </w:t>
      </w:r>
      <w:r w:rsidRPr="002968D3">
        <w:rPr>
          <w:rFonts w:ascii="Century Gothic" w:hAnsi="Century Gothic" w:cs="Arial"/>
          <w:i/>
          <w:sz w:val="20"/>
          <w:szCs w:val="20"/>
        </w:rPr>
        <w:t>Štatistické ukazovatele – kapacita a personálne obsadenie nemocníc – ŽSK celkom (rok 2020)</w:t>
      </w:r>
      <w:bookmarkEnd w:id="61"/>
    </w:p>
    <w:tbl>
      <w:tblPr>
        <w:tblW w:w="8680" w:type="dxa"/>
        <w:jc w:val="center"/>
        <w:tblCellMar>
          <w:left w:w="70" w:type="dxa"/>
          <w:right w:w="70" w:type="dxa"/>
        </w:tblCellMar>
        <w:tblLook w:val="04A0" w:firstRow="1" w:lastRow="0" w:firstColumn="1" w:lastColumn="0" w:noHBand="0" w:noVBand="1"/>
      </w:tblPr>
      <w:tblGrid>
        <w:gridCol w:w="1240"/>
        <w:gridCol w:w="850"/>
        <w:gridCol w:w="1630"/>
        <w:gridCol w:w="1240"/>
        <w:gridCol w:w="1240"/>
        <w:gridCol w:w="1240"/>
        <w:gridCol w:w="1240"/>
      </w:tblGrid>
      <w:tr w:rsidR="003A0E6D" w:rsidRPr="009C523D" w14:paraId="491B3ACB" w14:textId="77777777" w:rsidTr="007B16E4">
        <w:trPr>
          <w:trHeight w:val="240"/>
          <w:jc w:val="center"/>
        </w:trPr>
        <w:tc>
          <w:tcPr>
            <w:tcW w:w="1240" w:type="dxa"/>
            <w:vMerge w:val="restart"/>
            <w:shd w:val="clear" w:color="auto" w:fill="595959" w:themeFill="text1" w:themeFillTint="A6"/>
            <w:noWrap/>
            <w:vAlign w:val="center"/>
            <w:hideMark/>
          </w:tcPr>
          <w:p w14:paraId="38701F22" w14:textId="77777777" w:rsidR="003A0E6D" w:rsidRPr="007B16E4" w:rsidRDefault="003A0E6D" w:rsidP="002968D3">
            <w:pPr>
              <w:spacing w:line="240" w:lineRule="auto"/>
              <w:jc w:val="left"/>
              <w:rPr>
                <w:rFonts w:ascii="Arial Narrow" w:hAnsi="Arial Narrow" w:cs="Arial"/>
                <w:color w:val="FFFFFF" w:themeColor="background1"/>
                <w:sz w:val="20"/>
                <w:szCs w:val="20"/>
              </w:rPr>
            </w:pPr>
            <w:r w:rsidRPr="007B16E4">
              <w:rPr>
                <w:rFonts w:ascii="Arial Narrow" w:hAnsi="Arial Narrow" w:cs="Arial"/>
                <w:color w:val="FFFFFF" w:themeColor="background1"/>
                <w:sz w:val="20"/>
                <w:szCs w:val="20"/>
              </w:rPr>
              <w:t> </w:t>
            </w:r>
          </w:p>
        </w:tc>
        <w:tc>
          <w:tcPr>
            <w:tcW w:w="2480" w:type="dxa"/>
            <w:gridSpan w:val="2"/>
            <w:shd w:val="clear" w:color="auto" w:fill="595959" w:themeFill="text1" w:themeFillTint="A6"/>
            <w:noWrap/>
            <w:vAlign w:val="center"/>
            <w:hideMark/>
          </w:tcPr>
          <w:p w14:paraId="406733D8"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 postelí</w:t>
            </w:r>
          </w:p>
        </w:tc>
        <w:tc>
          <w:tcPr>
            <w:tcW w:w="1240" w:type="dxa"/>
            <w:vMerge w:val="restart"/>
            <w:shd w:val="clear" w:color="auto" w:fill="595959" w:themeFill="text1" w:themeFillTint="A6"/>
            <w:vAlign w:val="center"/>
            <w:hideMark/>
          </w:tcPr>
          <w:p w14:paraId="523CACCD"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 lekárskych miest</w:t>
            </w:r>
          </w:p>
        </w:tc>
        <w:tc>
          <w:tcPr>
            <w:tcW w:w="1240" w:type="dxa"/>
            <w:vMerge w:val="restart"/>
            <w:shd w:val="clear" w:color="auto" w:fill="595959" w:themeFill="text1" w:themeFillTint="A6"/>
            <w:vAlign w:val="center"/>
            <w:hideMark/>
          </w:tcPr>
          <w:p w14:paraId="7CBE0B50"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 postelí na 1 LM</w:t>
            </w:r>
          </w:p>
        </w:tc>
        <w:tc>
          <w:tcPr>
            <w:tcW w:w="1240" w:type="dxa"/>
            <w:vMerge w:val="restart"/>
            <w:shd w:val="clear" w:color="auto" w:fill="595959" w:themeFill="text1" w:themeFillTint="A6"/>
            <w:vAlign w:val="center"/>
            <w:hideMark/>
          </w:tcPr>
          <w:p w14:paraId="21C4E9E9"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 pracovných miest sestier</w:t>
            </w:r>
          </w:p>
        </w:tc>
        <w:tc>
          <w:tcPr>
            <w:tcW w:w="1240" w:type="dxa"/>
            <w:vMerge w:val="restart"/>
            <w:shd w:val="clear" w:color="auto" w:fill="595959" w:themeFill="text1" w:themeFillTint="A6"/>
            <w:vAlign w:val="center"/>
            <w:hideMark/>
          </w:tcPr>
          <w:p w14:paraId="1A4E4E36" w14:textId="77777777" w:rsidR="003A0E6D" w:rsidRPr="007B16E4" w:rsidRDefault="003A0E6D" w:rsidP="002968D3">
            <w:pPr>
              <w:spacing w:line="240" w:lineRule="auto"/>
              <w:jc w:val="left"/>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 lôžok na 1 sestru</w:t>
            </w:r>
          </w:p>
        </w:tc>
      </w:tr>
      <w:tr w:rsidR="003A0E6D" w:rsidRPr="009C523D" w14:paraId="59D6B92C" w14:textId="77777777" w:rsidTr="007B16E4">
        <w:trPr>
          <w:trHeight w:val="525"/>
          <w:jc w:val="center"/>
        </w:trPr>
        <w:tc>
          <w:tcPr>
            <w:tcW w:w="1240" w:type="dxa"/>
            <w:vMerge/>
            <w:vAlign w:val="center"/>
            <w:hideMark/>
          </w:tcPr>
          <w:p w14:paraId="34AB5B08" w14:textId="77777777" w:rsidR="003A0E6D" w:rsidRPr="009C523D" w:rsidRDefault="003A0E6D" w:rsidP="002968D3">
            <w:pPr>
              <w:spacing w:line="240" w:lineRule="auto"/>
              <w:jc w:val="left"/>
              <w:rPr>
                <w:rFonts w:ascii="Arial Narrow" w:hAnsi="Arial Narrow" w:cs="Arial"/>
                <w:color w:val="000000"/>
                <w:sz w:val="20"/>
                <w:szCs w:val="20"/>
              </w:rPr>
            </w:pPr>
          </w:p>
        </w:tc>
        <w:tc>
          <w:tcPr>
            <w:tcW w:w="850" w:type="dxa"/>
            <w:shd w:val="clear" w:color="auto" w:fill="595959" w:themeFill="text1" w:themeFillTint="A6"/>
            <w:noWrap/>
            <w:vAlign w:val="center"/>
            <w:hideMark/>
          </w:tcPr>
          <w:p w14:paraId="2CD02137"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spolu</w:t>
            </w:r>
          </w:p>
        </w:tc>
        <w:tc>
          <w:tcPr>
            <w:tcW w:w="1630" w:type="dxa"/>
            <w:shd w:val="clear" w:color="auto" w:fill="595959" w:themeFill="text1" w:themeFillTint="A6"/>
            <w:vAlign w:val="center"/>
            <w:hideMark/>
          </w:tcPr>
          <w:p w14:paraId="4797169E"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na 100 000 obyvateľov</w:t>
            </w:r>
          </w:p>
        </w:tc>
        <w:tc>
          <w:tcPr>
            <w:tcW w:w="1240" w:type="dxa"/>
            <w:vMerge/>
            <w:vAlign w:val="center"/>
            <w:hideMark/>
          </w:tcPr>
          <w:p w14:paraId="0A4B8ADC" w14:textId="77777777" w:rsidR="003A0E6D" w:rsidRPr="009C523D" w:rsidRDefault="003A0E6D" w:rsidP="002968D3">
            <w:pPr>
              <w:spacing w:line="240" w:lineRule="auto"/>
              <w:jc w:val="left"/>
              <w:rPr>
                <w:rFonts w:ascii="Arial Narrow" w:hAnsi="Arial Narrow" w:cs="Arial"/>
                <w:b/>
                <w:bCs/>
                <w:color w:val="000000"/>
                <w:sz w:val="20"/>
                <w:szCs w:val="20"/>
              </w:rPr>
            </w:pPr>
          </w:p>
        </w:tc>
        <w:tc>
          <w:tcPr>
            <w:tcW w:w="1240" w:type="dxa"/>
            <w:vMerge/>
            <w:vAlign w:val="center"/>
            <w:hideMark/>
          </w:tcPr>
          <w:p w14:paraId="0F1ADD23" w14:textId="77777777" w:rsidR="003A0E6D" w:rsidRPr="009C523D" w:rsidRDefault="003A0E6D" w:rsidP="002968D3">
            <w:pPr>
              <w:spacing w:line="240" w:lineRule="auto"/>
              <w:jc w:val="left"/>
              <w:rPr>
                <w:rFonts w:ascii="Arial Narrow" w:hAnsi="Arial Narrow" w:cs="Arial"/>
                <w:b/>
                <w:bCs/>
                <w:color w:val="000000"/>
                <w:sz w:val="20"/>
                <w:szCs w:val="20"/>
              </w:rPr>
            </w:pPr>
          </w:p>
        </w:tc>
        <w:tc>
          <w:tcPr>
            <w:tcW w:w="1240" w:type="dxa"/>
            <w:vMerge/>
            <w:vAlign w:val="center"/>
            <w:hideMark/>
          </w:tcPr>
          <w:p w14:paraId="14A23892" w14:textId="77777777" w:rsidR="003A0E6D" w:rsidRPr="009C523D" w:rsidRDefault="003A0E6D" w:rsidP="002968D3">
            <w:pPr>
              <w:spacing w:line="240" w:lineRule="auto"/>
              <w:jc w:val="left"/>
              <w:rPr>
                <w:rFonts w:ascii="Arial Narrow" w:hAnsi="Arial Narrow" w:cs="Arial"/>
                <w:b/>
                <w:bCs/>
                <w:color w:val="000000"/>
                <w:sz w:val="20"/>
                <w:szCs w:val="20"/>
              </w:rPr>
            </w:pPr>
          </w:p>
        </w:tc>
        <w:tc>
          <w:tcPr>
            <w:tcW w:w="1240" w:type="dxa"/>
            <w:vMerge/>
            <w:vAlign w:val="center"/>
            <w:hideMark/>
          </w:tcPr>
          <w:p w14:paraId="2E60FD00" w14:textId="77777777" w:rsidR="003A0E6D" w:rsidRPr="009C523D" w:rsidRDefault="003A0E6D" w:rsidP="002968D3">
            <w:pPr>
              <w:spacing w:line="240" w:lineRule="auto"/>
              <w:jc w:val="left"/>
              <w:rPr>
                <w:rFonts w:ascii="Arial Narrow" w:hAnsi="Arial Narrow" w:cs="Arial"/>
                <w:b/>
                <w:bCs/>
                <w:color w:val="000000"/>
                <w:sz w:val="20"/>
                <w:szCs w:val="20"/>
              </w:rPr>
            </w:pPr>
          </w:p>
        </w:tc>
      </w:tr>
      <w:tr w:rsidR="003A0E6D" w:rsidRPr="009C523D" w14:paraId="049D94E0" w14:textId="77777777" w:rsidTr="007B16E4">
        <w:trPr>
          <w:trHeight w:val="240"/>
          <w:jc w:val="center"/>
        </w:trPr>
        <w:tc>
          <w:tcPr>
            <w:tcW w:w="1240" w:type="dxa"/>
            <w:shd w:val="clear" w:color="auto" w:fill="auto"/>
            <w:noWrap/>
            <w:vAlign w:val="center"/>
            <w:hideMark/>
          </w:tcPr>
          <w:p w14:paraId="1D8AB476" w14:textId="77777777"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SR</w:t>
            </w:r>
          </w:p>
        </w:tc>
        <w:tc>
          <w:tcPr>
            <w:tcW w:w="850" w:type="dxa"/>
            <w:shd w:val="clear" w:color="auto" w:fill="auto"/>
            <w:noWrap/>
            <w:vAlign w:val="bottom"/>
            <w:hideMark/>
          </w:tcPr>
          <w:p w14:paraId="6D39E6C9"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31 590</w:t>
            </w:r>
          </w:p>
        </w:tc>
        <w:tc>
          <w:tcPr>
            <w:tcW w:w="1630" w:type="dxa"/>
            <w:shd w:val="clear" w:color="auto" w:fill="auto"/>
            <w:noWrap/>
            <w:vAlign w:val="bottom"/>
            <w:hideMark/>
          </w:tcPr>
          <w:p w14:paraId="615797A4"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578,6</w:t>
            </w:r>
          </w:p>
        </w:tc>
        <w:tc>
          <w:tcPr>
            <w:tcW w:w="1240" w:type="dxa"/>
            <w:shd w:val="clear" w:color="auto" w:fill="auto"/>
            <w:noWrap/>
            <w:vAlign w:val="bottom"/>
            <w:hideMark/>
          </w:tcPr>
          <w:p w14:paraId="78615AB2"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7 422,32</w:t>
            </w:r>
          </w:p>
        </w:tc>
        <w:tc>
          <w:tcPr>
            <w:tcW w:w="1240" w:type="dxa"/>
            <w:shd w:val="clear" w:color="auto" w:fill="auto"/>
            <w:vAlign w:val="center"/>
            <w:hideMark/>
          </w:tcPr>
          <w:p w14:paraId="49E162FD"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4,3</w:t>
            </w:r>
          </w:p>
        </w:tc>
        <w:tc>
          <w:tcPr>
            <w:tcW w:w="1240" w:type="dxa"/>
            <w:shd w:val="clear" w:color="auto" w:fill="auto"/>
            <w:noWrap/>
            <w:vAlign w:val="bottom"/>
            <w:hideMark/>
          </w:tcPr>
          <w:p w14:paraId="669F555B"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17143</w:t>
            </w:r>
          </w:p>
        </w:tc>
        <w:tc>
          <w:tcPr>
            <w:tcW w:w="1240" w:type="dxa"/>
            <w:shd w:val="clear" w:color="auto" w:fill="auto"/>
            <w:noWrap/>
            <w:vAlign w:val="center"/>
            <w:hideMark/>
          </w:tcPr>
          <w:p w14:paraId="099A6EE9"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1,84</w:t>
            </w:r>
          </w:p>
        </w:tc>
      </w:tr>
      <w:tr w:rsidR="003A0E6D" w:rsidRPr="009C523D" w14:paraId="7D870DE5" w14:textId="77777777" w:rsidTr="007B16E4">
        <w:trPr>
          <w:trHeight w:val="240"/>
          <w:jc w:val="center"/>
        </w:trPr>
        <w:tc>
          <w:tcPr>
            <w:tcW w:w="1240" w:type="dxa"/>
            <w:shd w:val="clear" w:color="auto" w:fill="auto"/>
            <w:noWrap/>
            <w:vAlign w:val="center"/>
            <w:hideMark/>
          </w:tcPr>
          <w:p w14:paraId="2C64F9A4" w14:textId="77777777"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ŽSK</w:t>
            </w:r>
          </w:p>
        </w:tc>
        <w:tc>
          <w:tcPr>
            <w:tcW w:w="850" w:type="dxa"/>
            <w:shd w:val="clear" w:color="auto" w:fill="auto"/>
            <w:noWrap/>
            <w:vAlign w:val="bottom"/>
            <w:hideMark/>
          </w:tcPr>
          <w:p w14:paraId="38C9DF1F"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4 014</w:t>
            </w:r>
          </w:p>
        </w:tc>
        <w:tc>
          <w:tcPr>
            <w:tcW w:w="1630" w:type="dxa"/>
            <w:shd w:val="clear" w:color="auto" w:fill="auto"/>
            <w:noWrap/>
            <w:vAlign w:val="bottom"/>
            <w:hideMark/>
          </w:tcPr>
          <w:p w14:paraId="33817A3C"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581</w:t>
            </w:r>
          </w:p>
        </w:tc>
        <w:tc>
          <w:tcPr>
            <w:tcW w:w="1240" w:type="dxa"/>
            <w:shd w:val="clear" w:color="auto" w:fill="auto"/>
            <w:noWrap/>
            <w:vAlign w:val="bottom"/>
            <w:hideMark/>
          </w:tcPr>
          <w:p w14:paraId="093B1EB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922,8</w:t>
            </w:r>
          </w:p>
        </w:tc>
        <w:tc>
          <w:tcPr>
            <w:tcW w:w="1240" w:type="dxa"/>
            <w:shd w:val="clear" w:color="auto" w:fill="auto"/>
            <w:noWrap/>
            <w:vAlign w:val="bottom"/>
            <w:hideMark/>
          </w:tcPr>
          <w:p w14:paraId="3C1576C5"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4,3</w:t>
            </w:r>
          </w:p>
        </w:tc>
        <w:tc>
          <w:tcPr>
            <w:tcW w:w="1240" w:type="dxa"/>
            <w:shd w:val="clear" w:color="auto" w:fill="auto"/>
            <w:noWrap/>
            <w:vAlign w:val="bottom"/>
            <w:hideMark/>
          </w:tcPr>
          <w:p w14:paraId="1E7A30D2"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2215</w:t>
            </w:r>
          </w:p>
        </w:tc>
        <w:tc>
          <w:tcPr>
            <w:tcW w:w="1240" w:type="dxa"/>
            <w:shd w:val="clear" w:color="auto" w:fill="auto"/>
            <w:noWrap/>
            <w:vAlign w:val="center"/>
            <w:hideMark/>
          </w:tcPr>
          <w:p w14:paraId="50AFA62E"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1,81</w:t>
            </w:r>
          </w:p>
        </w:tc>
      </w:tr>
      <w:tr w:rsidR="00671D2A" w:rsidRPr="009C523D" w14:paraId="66A6DD00" w14:textId="77777777" w:rsidTr="007B16E4">
        <w:trPr>
          <w:trHeight w:val="228"/>
          <w:jc w:val="center"/>
        </w:trPr>
        <w:tc>
          <w:tcPr>
            <w:tcW w:w="1240" w:type="dxa"/>
            <w:shd w:val="clear" w:color="auto" w:fill="auto"/>
            <w:noWrap/>
            <w:vAlign w:val="center"/>
          </w:tcPr>
          <w:p w14:paraId="3D9C9727" w14:textId="75EB4BFE" w:rsidR="00671D2A" w:rsidRPr="009C523D" w:rsidRDefault="009C523D" w:rsidP="002968D3">
            <w:pPr>
              <w:spacing w:line="240" w:lineRule="auto"/>
              <w:jc w:val="left"/>
              <w:rPr>
                <w:rFonts w:ascii="Arial Narrow" w:hAnsi="Arial Narrow" w:cs="Arial"/>
                <w:b/>
                <w:bCs/>
                <w:color w:val="000000"/>
                <w:sz w:val="20"/>
                <w:szCs w:val="20"/>
              </w:rPr>
            </w:pPr>
            <w:r>
              <w:rPr>
                <w:rFonts w:ascii="Arial Narrow" w:hAnsi="Arial Narrow" w:cs="Arial"/>
                <w:b/>
                <w:bCs/>
                <w:color w:val="000000"/>
                <w:sz w:val="20"/>
                <w:szCs w:val="20"/>
              </w:rPr>
              <w:t>Žilina</w:t>
            </w:r>
            <w:r w:rsidR="00671D2A" w:rsidRPr="009C523D">
              <w:rPr>
                <w:rFonts w:ascii="Arial Narrow" w:hAnsi="Arial Narrow" w:cs="Arial"/>
                <w:b/>
                <w:bCs/>
                <w:color w:val="000000"/>
                <w:sz w:val="20"/>
                <w:szCs w:val="20"/>
              </w:rPr>
              <w:t>/</w:t>
            </w:r>
            <w:proofErr w:type="spellStart"/>
            <w:r w:rsidR="00671D2A" w:rsidRPr="009C523D">
              <w:rPr>
                <w:rFonts w:ascii="Arial Narrow" w:hAnsi="Arial Narrow" w:cs="Arial"/>
                <w:b/>
                <w:bCs/>
                <w:color w:val="000000"/>
                <w:sz w:val="20"/>
                <w:szCs w:val="20"/>
              </w:rPr>
              <w:t>FNsP</w:t>
            </w:r>
            <w:proofErr w:type="spellEnd"/>
            <w:r w:rsidR="00671D2A" w:rsidRPr="009C523D">
              <w:rPr>
                <w:rFonts w:ascii="Arial Narrow" w:hAnsi="Arial Narrow" w:cs="Arial"/>
                <w:b/>
                <w:bCs/>
                <w:color w:val="000000"/>
                <w:sz w:val="20"/>
                <w:szCs w:val="20"/>
              </w:rPr>
              <w:t xml:space="preserve"> </w:t>
            </w:r>
          </w:p>
        </w:tc>
        <w:tc>
          <w:tcPr>
            <w:tcW w:w="850" w:type="dxa"/>
            <w:shd w:val="clear" w:color="auto" w:fill="auto"/>
            <w:noWrap/>
            <w:vAlign w:val="bottom"/>
          </w:tcPr>
          <w:p w14:paraId="3B5F98EC" w14:textId="7B9E662F" w:rsidR="00671D2A" w:rsidRPr="009C523D" w:rsidRDefault="00671D2A" w:rsidP="009C523D">
            <w:pPr>
              <w:spacing w:line="240" w:lineRule="auto"/>
              <w:jc w:val="center"/>
              <w:rPr>
                <w:rFonts w:ascii="Arial Narrow" w:hAnsi="Arial Narrow" w:cs="Arial"/>
                <w:sz w:val="20"/>
                <w:szCs w:val="20"/>
              </w:rPr>
            </w:pPr>
            <w:r w:rsidRPr="009C523D">
              <w:rPr>
                <w:rFonts w:ascii="Arial Narrow" w:hAnsi="Arial Narrow" w:cs="Arial"/>
                <w:sz w:val="20"/>
                <w:szCs w:val="20"/>
              </w:rPr>
              <w:t>745</w:t>
            </w:r>
          </w:p>
        </w:tc>
        <w:tc>
          <w:tcPr>
            <w:tcW w:w="1630" w:type="dxa"/>
            <w:shd w:val="clear" w:color="auto" w:fill="auto"/>
            <w:noWrap/>
            <w:vAlign w:val="bottom"/>
          </w:tcPr>
          <w:p w14:paraId="5D7A62D6" w14:textId="40B3030D" w:rsidR="00671D2A" w:rsidRPr="009C523D" w:rsidRDefault="00671D2A" w:rsidP="009C523D">
            <w:pPr>
              <w:spacing w:line="240" w:lineRule="auto"/>
              <w:jc w:val="center"/>
              <w:rPr>
                <w:rFonts w:ascii="Arial Narrow" w:hAnsi="Arial Narrow" w:cs="Arial"/>
                <w:sz w:val="20"/>
                <w:szCs w:val="20"/>
              </w:rPr>
            </w:pPr>
            <w:r w:rsidRPr="009C523D">
              <w:rPr>
                <w:rFonts w:ascii="Arial Narrow" w:hAnsi="Arial Narrow" w:cs="Arial"/>
                <w:sz w:val="20"/>
                <w:szCs w:val="20"/>
              </w:rPr>
              <w:t>361,7</w:t>
            </w:r>
          </w:p>
        </w:tc>
        <w:tc>
          <w:tcPr>
            <w:tcW w:w="1240" w:type="dxa"/>
            <w:shd w:val="clear" w:color="auto" w:fill="auto"/>
            <w:noWrap/>
            <w:vAlign w:val="bottom"/>
          </w:tcPr>
          <w:p w14:paraId="3B2E820F" w14:textId="5C5193AF" w:rsidR="00671D2A" w:rsidRPr="009C523D" w:rsidRDefault="00671D2A" w:rsidP="009C523D">
            <w:pPr>
              <w:spacing w:line="240" w:lineRule="auto"/>
              <w:jc w:val="center"/>
              <w:rPr>
                <w:rFonts w:ascii="Arial Narrow" w:hAnsi="Arial Narrow" w:cs="Arial"/>
                <w:sz w:val="20"/>
                <w:szCs w:val="20"/>
              </w:rPr>
            </w:pPr>
            <w:r w:rsidRPr="009C523D">
              <w:rPr>
                <w:rFonts w:ascii="Arial Narrow" w:hAnsi="Arial Narrow" w:cs="Arial"/>
                <w:sz w:val="20"/>
                <w:szCs w:val="20"/>
              </w:rPr>
              <w:t>194</w:t>
            </w:r>
          </w:p>
        </w:tc>
        <w:tc>
          <w:tcPr>
            <w:tcW w:w="1240" w:type="dxa"/>
            <w:shd w:val="clear" w:color="auto" w:fill="auto"/>
            <w:noWrap/>
            <w:vAlign w:val="bottom"/>
          </w:tcPr>
          <w:p w14:paraId="02405CE2" w14:textId="576ED714" w:rsidR="00671D2A" w:rsidRPr="009C523D" w:rsidRDefault="00671D2A" w:rsidP="009C523D">
            <w:pPr>
              <w:spacing w:line="240" w:lineRule="auto"/>
              <w:jc w:val="center"/>
              <w:rPr>
                <w:rFonts w:ascii="Arial Narrow" w:hAnsi="Arial Narrow" w:cs="Arial"/>
                <w:sz w:val="20"/>
                <w:szCs w:val="20"/>
              </w:rPr>
            </w:pPr>
            <w:r w:rsidRPr="009C523D">
              <w:rPr>
                <w:rFonts w:ascii="Arial Narrow" w:hAnsi="Arial Narrow" w:cs="Arial"/>
                <w:sz w:val="20"/>
                <w:szCs w:val="20"/>
              </w:rPr>
              <w:t>3,8</w:t>
            </w:r>
          </w:p>
        </w:tc>
        <w:tc>
          <w:tcPr>
            <w:tcW w:w="1240" w:type="dxa"/>
            <w:shd w:val="clear" w:color="auto" w:fill="auto"/>
            <w:noWrap/>
            <w:vAlign w:val="bottom"/>
          </w:tcPr>
          <w:p w14:paraId="7A37FEFF" w14:textId="61E10EE1" w:rsidR="00671D2A" w:rsidRPr="009C523D" w:rsidRDefault="00671D2A" w:rsidP="009C523D">
            <w:pPr>
              <w:spacing w:line="240" w:lineRule="auto"/>
              <w:jc w:val="center"/>
              <w:rPr>
                <w:rFonts w:ascii="Arial Narrow" w:hAnsi="Arial Narrow" w:cs="Arial"/>
                <w:sz w:val="20"/>
                <w:szCs w:val="20"/>
              </w:rPr>
            </w:pPr>
            <w:r w:rsidRPr="009C523D">
              <w:rPr>
                <w:rFonts w:ascii="Arial Narrow" w:hAnsi="Arial Narrow" w:cs="Arial"/>
                <w:sz w:val="20"/>
                <w:szCs w:val="20"/>
              </w:rPr>
              <w:t>517</w:t>
            </w:r>
          </w:p>
        </w:tc>
        <w:tc>
          <w:tcPr>
            <w:tcW w:w="1240" w:type="dxa"/>
            <w:shd w:val="clear" w:color="auto" w:fill="auto"/>
            <w:noWrap/>
            <w:vAlign w:val="center"/>
          </w:tcPr>
          <w:p w14:paraId="513E85FB" w14:textId="04114203" w:rsidR="00671D2A" w:rsidRPr="009C523D" w:rsidRDefault="00671D2A"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1,49</w:t>
            </w:r>
          </w:p>
        </w:tc>
      </w:tr>
    </w:tbl>
    <w:p w14:paraId="412D0C91" w14:textId="13E6F1C4" w:rsidR="003A0E6D" w:rsidRDefault="003A0E6D" w:rsidP="003A0E6D">
      <w:pPr>
        <w:spacing w:line="240" w:lineRule="auto"/>
        <w:rPr>
          <w:rFonts w:ascii="Century Gothic" w:hAnsi="Century Gothic"/>
          <w:i/>
          <w:sz w:val="18"/>
          <w:szCs w:val="18"/>
        </w:rPr>
      </w:pPr>
      <w:r w:rsidRPr="002968D3">
        <w:rPr>
          <w:rFonts w:ascii="Century Gothic" w:hAnsi="Century Gothic"/>
          <w:i/>
          <w:sz w:val="18"/>
          <w:szCs w:val="18"/>
        </w:rPr>
        <w:t xml:space="preserve">Zdroj: NCZI, </w:t>
      </w:r>
      <w:r w:rsidR="000E7059">
        <w:rPr>
          <w:rFonts w:ascii="Century Gothic" w:hAnsi="Century Gothic"/>
          <w:i/>
          <w:sz w:val="18"/>
          <w:szCs w:val="18"/>
        </w:rPr>
        <w:t>vlastné spracovanie</w:t>
      </w:r>
      <w:r w:rsidR="008B40EF">
        <w:rPr>
          <w:rFonts w:ascii="Century Gothic" w:hAnsi="Century Gothic"/>
          <w:i/>
          <w:sz w:val="18"/>
          <w:szCs w:val="18"/>
        </w:rPr>
        <w:t xml:space="preserve">(počet obyvateľov na </w:t>
      </w:r>
      <w:proofErr w:type="spellStart"/>
      <w:r w:rsidR="008B40EF">
        <w:rPr>
          <w:rFonts w:ascii="Century Gothic" w:hAnsi="Century Gothic"/>
          <w:i/>
          <w:sz w:val="18"/>
          <w:szCs w:val="18"/>
        </w:rPr>
        <w:t>FNsP</w:t>
      </w:r>
      <w:proofErr w:type="spellEnd"/>
      <w:r w:rsidR="008B40EF">
        <w:rPr>
          <w:rFonts w:ascii="Century Gothic" w:hAnsi="Century Gothic"/>
          <w:i/>
          <w:sz w:val="18"/>
          <w:szCs w:val="18"/>
        </w:rPr>
        <w:t xml:space="preserve"> Žilina je dané súčtom okresov Žilina, Bytča a ½ z Kysucké Nové Mesto)</w:t>
      </w:r>
    </w:p>
    <w:p w14:paraId="4D9DF42A" w14:textId="77777777" w:rsidR="00704FCC" w:rsidRPr="002968D3" w:rsidRDefault="00704FCC" w:rsidP="003A0E6D">
      <w:pPr>
        <w:spacing w:line="240" w:lineRule="auto"/>
        <w:rPr>
          <w:rFonts w:ascii="Century Gothic" w:hAnsi="Century Gothic"/>
          <w:i/>
          <w:sz w:val="18"/>
          <w:szCs w:val="18"/>
        </w:rPr>
      </w:pPr>
    </w:p>
    <w:p w14:paraId="7B334600" w14:textId="66BB2FE3" w:rsidR="003A0E6D" w:rsidRPr="002968D3" w:rsidRDefault="003A0E6D" w:rsidP="003A0E6D">
      <w:pPr>
        <w:spacing w:line="240" w:lineRule="auto"/>
        <w:rPr>
          <w:rFonts w:ascii="Century Gothic" w:hAnsi="Century Gothic"/>
          <w:sz w:val="22"/>
          <w:szCs w:val="22"/>
        </w:rPr>
      </w:pPr>
      <w:r w:rsidRPr="002968D3">
        <w:rPr>
          <w:rFonts w:ascii="Century Gothic" w:hAnsi="Century Gothic"/>
          <w:sz w:val="22"/>
          <w:szCs w:val="22"/>
        </w:rPr>
        <w:t xml:space="preserve">Z hľadiska využitia kapacít sú nemocnice v ŽSK využité veľmi podobne ako nemocnice v SR, pričom je tu mierne nižšia </w:t>
      </w:r>
      <w:proofErr w:type="spellStart"/>
      <w:r w:rsidRPr="002968D3">
        <w:rPr>
          <w:rFonts w:ascii="Century Gothic" w:hAnsi="Century Gothic"/>
          <w:sz w:val="22"/>
          <w:szCs w:val="22"/>
        </w:rPr>
        <w:t>hospitalizovanosť</w:t>
      </w:r>
      <w:proofErr w:type="spellEnd"/>
      <w:r w:rsidRPr="002968D3">
        <w:rPr>
          <w:rFonts w:ascii="Century Gothic" w:hAnsi="Century Gothic"/>
          <w:sz w:val="22"/>
          <w:szCs w:val="22"/>
        </w:rPr>
        <w:t xml:space="preserve"> a kratší priemerný hospitalizačný čas. Tým sa jemne zvyšuje využitie lôžkového fondu v prospech ŽSK.</w:t>
      </w:r>
      <w:r w:rsidR="0034492E">
        <w:rPr>
          <w:rFonts w:ascii="Century Gothic" w:hAnsi="Century Gothic"/>
          <w:sz w:val="22"/>
          <w:szCs w:val="22"/>
        </w:rPr>
        <w:t xml:space="preserve"> </w:t>
      </w:r>
      <w:proofErr w:type="spellStart"/>
      <w:r w:rsidR="0034492E">
        <w:rPr>
          <w:rFonts w:ascii="Century Gothic" w:hAnsi="Century Gothic"/>
          <w:sz w:val="22"/>
          <w:szCs w:val="22"/>
        </w:rPr>
        <w:t>FNsP</w:t>
      </w:r>
      <w:proofErr w:type="spellEnd"/>
      <w:r w:rsidR="0034492E">
        <w:rPr>
          <w:rFonts w:ascii="Century Gothic" w:hAnsi="Century Gothic"/>
          <w:sz w:val="22"/>
          <w:szCs w:val="22"/>
        </w:rPr>
        <w:t xml:space="preserve"> Žilina je opäť relevantne využitejšou nemocnicou ako sú priemerné hodnoty.</w:t>
      </w:r>
    </w:p>
    <w:p w14:paraId="79116D9A" w14:textId="77777777" w:rsidR="003A0E6D" w:rsidRDefault="003A0E6D" w:rsidP="003A0E6D">
      <w:pPr>
        <w:spacing w:line="240" w:lineRule="auto"/>
        <w:rPr>
          <w:rFonts w:ascii="Century Gothic" w:hAnsi="Century Gothic"/>
        </w:rPr>
      </w:pPr>
    </w:p>
    <w:p w14:paraId="578CD2C0" w14:textId="49E5B781" w:rsidR="002519B1" w:rsidRPr="002519B1" w:rsidRDefault="002519B1" w:rsidP="002519B1">
      <w:pPr>
        <w:keepNext/>
        <w:spacing w:line="240" w:lineRule="auto"/>
        <w:jc w:val="left"/>
        <w:rPr>
          <w:rFonts w:ascii="Century Gothic" w:hAnsi="Century Gothic" w:cs="Arial"/>
          <w:i/>
          <w:sz w:val="20"/>
          <w:szCs w:val="20"/>
        </w:rPr>
      </w:pPr>
      <w:bookmarkStart w:id="62" w:name="_Toc145219917"/>
      <w:r w:rsidRPr="002519B1">
        <w:rPr>
          <w:rFonts w:ascii="Century Gothic" w:hAnsi="Century Gothic" w:cs="Arial"/>
          <w:i/>
          <w:sz w:val="20"/>
          <w:szCs w:val="20"/>
        </w:rPr>
        <w:t xml:space="preserve">Tabuľka </w:t>
      </w:r>
      <w:r w:rsidRPr="002519B1">
        <w:rPr>
          <w:rFonts w:ascii="Century Gothic" w:hAnsi="Century Gothic" w:cs="Arial"/>
          <w:i/>
          <w:sz w:val="20"/>
          <w:szCs w:val="20"/>
        </w:rPr>
        <w:fldChar w:fldCharType="begin"/>
      </w:r>
      <w:r w:rsidRPr="002519B1">
        <w:rPr>
          <w:rFonts w:ascii="Century Gothic" w:hAnsi="Century Gothic" w:cs="Arial"/>
          <w:i/>
          <w:sz w:val="20"/>
          <w:szCs w:val="20"/>
        </w:rPr>
        <w:instrText xml:space="preserve"> SEQ Tabuľka \* ARABIC </w:instrText>
      </w:r>
      <w:r w:rsidRPr="002519B1">
        <w:rPr>
          <w:rFonts w:ascii="Century Gothic" w:hAnsi="Century Gothic" w:cs="Arial"/>
          <w:i/>
          <w:sz w:val="20"/>
          <w:szCs w:val="20"/>
        </w:rPr>
        <w:fldChar w:fldCharType="separate"/>
      </w:r>
      <w:r w:rsidR="007D6A44">
        <w:rPr>
          <w:rFonts w:ascii="Century Gothic" w:hAnsi="Century Gothic" w:cs="Arial"/>
          <w:i/>
          <w:noProof/>
          <w:sz w:val="20"/>
          <w:szCs w:val="20"/>
        </w:rPr>
        <w:t>16</w:t>
      </w:r>
      <w:r w:rsidRPr="002519B1">
        <w:rPr>
          <w:rFonts w:ascii="Century Gothic" w:hAnsi="Century Gothic" w:cs="Arial"/>
          <w:i/>
          <w:sz w:val="20"/>
          <w:szCs w:val="20"/>
        </w:rPr>
        <w:fldChar w:fldCharType="end"/>
      </w:r>
      <w:r w:rsidRPr="002519B1">
        <w:rPr>
          <w:rFonts w:ascii="Century Gothic" w:hAnsi="Century Gothic" w:cs="Arial"/>
          <w:i/>
          <w:sz w:val="20"/>
          <w:szCs w:val="20"/>
        </w:rPr>
        <w:t xml:space="preserve"> </w:t>
      </w:r>
      <w:r w:rsidRPr="002968D3">
        <w:rPr>
          <w:rFonts w:ascii="Century Gothic" w:hAnsi="Century Gothic" w:cs="Arial"/>
          <w:i/>
          <w:sz w:val="20"/>
          <w:szCs w:val="20"/>
        </w:rPr>
        <w:t>Štatistické ukazovatele – využitie lôžkového fondu nemocníc – ŽSK celkom (rok 2020)</w:t>
      </w:r>
      <w:bookmarkEnd w:id="62"/>
    </w:p>
    <w:tbl>
      <w:tblPr>
        <w:tblW w:w="8790" w:type="dxa"/>
        <w:jc w:val="center"/>
        <w:tblCellMar>
          <w:left w:w="70" w:type="dxa"/>
          <w:right w:w="70" w:type="dxa"/>
        </w:tblCellMar>
        <w:tblLook w:val="04A0" w:firstRow="1" w:lastRow="0" w:firstColumn="1" w:lastColumn="0" w:noHBand="0" w:noVBand="1"/>
      </w:tblPr>
      <w:tblGrid>
        <w:gridCol w:w="1240"/>
        <w:gridCol w:w="1461"/>
        <w:gridCol w:w="1193"/>
        <w:gridCol w:w="1211"/>
        <w:gridCol w:w="1205"/>
        <w:gridCol w:w="1623"/>
        <w:gridCol w:w="857"/>
      </w:tblGrid>
      <w:tr w:rsidR="007B16E4" w:rsidRPr="007B16E4" w14:paraId="025DDF5A" w14:textId="77777777" w:rsidTr="007B16E4">
        <w:trPr>
          <w:trHeight w:val="480"/>
          <w:jc w:val="center"/>
        </w:trPr>
        <w:tc>
          <w:tcPr>
            <w:tcW w:w="1240" w:type="dxa"/>
            <w:vMerge w:val="restart"/>
            <w:shd w:val="clear" w:color="auto" w:fill="595959" w:themeFill="text1" w:themeFillTint="A6"/>
            <w:noWrap/>
            <w:vAlign w:val="center"/>
            <w:hideMark/>
          </w:tcPr>
          <w:p w14:paraId="0D7C0887" w14:textId="77777777" w:rsidR="003A0E6D" w:rsidRPr="007B16E4" w:rsidRDefault="003A0E6D" w:rsidP="002968D3">
            <w:pPr>
              <w:spacing w:line="240" w:lineRule="auto"/>
              <w:jc w:val="left"/>
              <w:rPr>
                <w:rFonts w:ascii="Arial Narrow" w:hAnsi="Arial Narrow" w:cs="Arial"/>
                <w:color w:val="FFFFFF" w:themeColor="background1"/>
                <w:sz w:val="20"/>
                <w:szCs w:val="20"/>
              </w:rPr>
            </w:pPr>
            <w:r w:rsidRPr="007B16E4">
              <w:rPr>
                <w:rFonts w:ascii="Arial Narrow" w:hAnsi="Arial Narrow" w:cs="Arial"/>
                <w:color w:val="FFFFFF" w:themeColor="background1"/>
                <w:sz w:val="20"/>
                <w:szCs w:val="20"/>
              </w:rPr>
              <w:t> </w:t>
            </w:r>
          </w:p>
        </w:tc>
        <w:tc>
          <w:tcPr>
            <w:tcW w:w="1461" w:type="dxa"/>
            <w:shd w:val="clear" w:color="auto" w:fill="595959" w:themeFill="text1" w:themeFillTint="A6"/>
            <w:vAlign w:val="center"/>
            <w:hideMark/>
          </w:tcPr>
          <w:p w14:paraId="6A5FCAC1"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Hospitalizovaní pacienti</w:t>
            </w:r>
          </w:p>
        </w:tc>
        <w:tc>
          <w:tcPr>
            <w:tcW w:w="2404" w:type="dxa"/>
            <w:gridSpan w:val="2"/>
            <w:shd w:val="clear" w:color="auto" w:fill="595959" w:themeFill="text1" w:themeFillTint="A6"/>
            <w:vAlign w:val="center"/>
            <w:hideMark/>
          </w:tcPr>
          <w:p w14:paraId="77F2324A"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 ošetrovacích dní</w:t>
            </w:r>
          </w:p>
        </w:tc>
        <w:tc>
          <w:tcPr>
            <w:tcW w:w="1205" w:type="dxa"/>
            <w:vMerge w:val="restart"/>
            <w:shd w:val="clear" w:color="auto" w:fill="595959" w:themeFill="text1" w:themeFillTint="A6"/>
            <w:vAlign w:val="center"/>
            <w:hideMark/>
          </w:tcPr>
          <w:p w14:paraId="21803B78"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Priemerný ošetrovací čas v dňoch</w:t>
            </w:r>
          </w:p>
        </w:tc>
        <w:tc>
          <w:tcPr>
            <w:tcW w:w="2480" w:type="dxa"/>
            <w:gridSpan w:val="2"/>
            <w:shd w:val="clear" w:color="auto" w:fill="595959" w:themeFill="text1" w:themeFillTint="A6"/>
            <w:noWrap/>
            <w:vAlign w:val="center"/>
            <w:hideMark/>
          </w:tcPr>
          <w:p w14:paraId="4F76245D"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Využitie postelí</w:t>
            </w:r>
          </w:p>
        </w:tc>
      </w:tr>
      <w:tr w:rsidR="007B16E4" w:rsidRPr="007B16E4" w14:paraId="0DAFE78D" w14:textId="77777777" w:rsidTr="007B16E4">
        <w:trPr>
          <w:trHeight w:val="525"/>
          <w:jc w:val="center"/>
        </w:trPr>
        <w:tc>
          <w:tcPr>
            <w:tcW w:w="1240" w:type="dxa"/>
            <w:vMerge/>
            <w:shd w:val="clear" w:color="auto" w:fill="595959" w:themeFill="text1" w:themeFillTint="A6"/>
            <w:vAlign w:val="center"/>
            <w:hideMark/>
          </w:tcPr>
          <w:p w14:paraId="664E31D2" w14:textId="77777777" w:rsidR="003A0E6D" w:rsidRPr="007B16E4" w:rsidRDefault="003A0E6D" w:rsidP="002968D3">
            <w:pPr>
              <w:spacing w:line="240" w:lineRule="auto"/>
              <w:jc w:val="left"/>
              <w:rPr>
                <w:rFonts w:ascii="Arial Narrow" w:hAnsi="Arial Narrow" w:cs="Arial"/>
                <w:color w:val="FFFFFF" w:themeColor="background1"/>
                <w:sz w:val="20"/>
                <w:szCs w:val="20"/>
              </w:rPr>
            </w:pPr>
          </w:p>
        </w:tc>
        <w:tc>
          <w:tcPr>
            <w:tcW w:w="1461" w:type="dxa"/>
            <w:shd w:val="clear" w:color="auto" w:fill="595959" w:themeFill="text1" w:themeFillTint="A6"/>
            <w:vAlign w:val="center"/>
            <w:hideMark/>
          </w:tcPr>
          <w:p w14:paraId="60DA32FC"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počet</w:t>
            </w:r>
          </w:p>
        </w:tc>
        <w:tc>
          <w:tcPr>
            <w:tcW w:w="1193" w:type="dxa"/>
            <w:shd w:val="clear" w:color="auto" w:fill="595959" w:themeFill="text1" w:themeFillTint="A6"/>
            <w:vAlign w:val="center"/>
            <w:hideMark/>
          </w:tcPr>
          <w:p w14:paraId="2DE2DB65"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celkom</w:t>
            </w:r>
          </w:p>
        </w:tc>
        <w:tc>
          <w:tcPr>
            <w:tcW w:w="1211" w:type="dxa"/>
            <w:shd w:val="clear" w:color="auto" w:fill="595959" w:themeFill="text1" w:themeFillTint="A6"/>
            <w:vAlign w:val="center"/>
            <w:hideMark/>
          </w:tcPr>
          <w:p w14:paraId="7307701B" w14:textId="02165B72"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na 100</w:t>
            </w:r>
            <w:r w:rsidR="00C8452A" w:rsidRPr="007B16E4">
              <w:rPr>
                <w:rFonts w:ascii="Arial Narrow" w:hAnsi="Arial Narrow" w:cs="Arial"/>
                <w:b/>
                <w:bCs/>
                <w:color w:val="FFFFFF" w:themeColor="background1"/>
                <w:sz w:val="20"/>
                <w:szCs w:val="20"/>
              </w:rPr>
              <w:t xml:space="preserve"> </w:t>
            </w:r>
            <w:r w:rsidRPr="007B16E4">
              <w:rPr>
                <w:rFonts w:ascii="Arial Narrow" w:hAnsi="Arial Narrow" w:cs="Arial"/>
                <w:b/>
                <w:bCs/>
                <w:color w:val="FFFFFF" w:themeColor="background1"/>
                <w:sz w:val="20"/>
                <w:szCs w:val="20"/>
              </w:rPr>
              <w:t>000 obyvateľov</w:t>
            </w:r>
          </w:p>
        </w:tc>
        <w:tc>
          <w:tcPr>
            <w:tcW w:w="1205" w:type="dxa"/>
            <w:vMerge/>
            <w:shd w:val="clear" w:color="auto" w:fill="595959" w:themeFill="text1" w:themeFillTint="A6"/>
            <w:vAlign w:val="center"/>
            <w:hideMark/>
          </w:tcPr>
          <w:p w14:paraId="7F64A168" w14:textId="77777777" w:rsidR="003A0E6D" w:rsidRPr="007B16E4" w:rsidRDefault="003A0E6D" w:rsidP="002968D3">
            <w:pPr>
              <w:spacing w:line="240" w:lineRule="auto"/>
              <w:jc w:val="left"/>
              <w:rPr>
                <w:rFonts w:ascii="Arial Narrow" w:hAnsi="Arial Narrow" w:cs="Arial"/>
                <w:b/>
                <w:bCs/>
                <w:color w:val="FFFFFF" w:themeColor="background1"/>
                <w:sz w:val="20"/>
                <w:szCs w:val="20"/>
              </w:rPr>
            </w:pPr>
          </w:p>
        </w:tc>
        <w:tc>
          <w:tcPr>
            <w:tcW w:w="1623" w:type="dxa"/>
            <w:shd w:val="clear" w:color="auto" w:fill="595959" w:themeFill="text1" w:themeFillTint="A6"/>
            <w:noWrap/>
            <w:vAlign w:val="center"/>
            <w:hideMark/>
          </w:tcPr>
          <w:p w14:paraId="52911EAC"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v dňoch</w:t>
            </w:r>
          </w:p>
        </w:tc>
        <w:tc>
          <w:tcPr>
            <w:tcW w:w="857" w:type="dxa"/>
            <w:shd w:val="clear" w:color="auto" w:fill="595959" w:themeFill="text1" w:themeFillTint="A6"/>
            <w:noWrap/>
            <w:vAlign w:val="center"/>
            <w:hideMark/>
          </w:tcPr>
          <w:p w14:paraId="24528B1F" w14:textId="77777777" w:rsidR="003A0E6D" w:rsidRPr="007B16E4" w:rsidRDefault="003A0E6D" w:rsidP="002968D3">
            <w:pPr>
              <w:spacing w:line="240" w:lineRule="auto"/>
              <w:jc w:val="center"/>
              <w:rPr>
                <w:rFonts w:ascii="Arial Narrow" w:hAnsi="Arial Narrow" w:cs="Arial"/>
                <w:b/>
                <w:bCs/>
                <w:color w:val="FFFFFF" w:themeColor="background1"/>
                <w:sz w:val="20"/>
                <w:szCs w:val="20"/>
              </w:rPr>
            </w:pPr>
            <w:r w:rsidRPr="007B16E4">
              <w:rPr>
                <w:rFonts w:ascii="Arial Narrow" w:hAnsi="Arial Narrow" w:cs="Arial"/>
                <w:b/>
                <w:bCs/>
                <w:color w:val="FFFFFF" w:themeColor="background1"/>
                <w:sz w:val="20"/>
                <w:szCs w:val="20"/>
              </w:rPr>
              <w:t>v %</w:t>
            </w:r>
          </w:p>
        </w:tc>
      </w:tr>
      <w:tr w:rsidR="003A0E6D" w:rsidRPr="00F2610E" w14:paraId="669308F1" w14:textId="77777777" w:rsidTr="007B16E4">
        <w:trPr>
          <w:trHeight w:val="240"/>
          <w:jc w:val="center"/>
        </w:trPr>
        <w:tc>
          <w:tcPr>
            <w:tcW w:w="1240" w:type="dxa"/>
            <w:shd w:val="clear" w:color="auto" w:fill="auto"/>
            <w:noWrap/>
            <w:vAlign w:val="center"/>
            <w:hideMark/>
          </w:tcPr>
          <w:p w14:paraId="3052C40C" w14:textId="77777777"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SR</w:t>
            </w:r>
          </w:p>
        </w:tc>
        <w:tc>
          <w:tcPr>
            <w:tcW w:w="1461" w:type="dxa"/>
            <w:shd w:val="clear" w:color="auto" w:fill="auto"/>
            <w:noWrap/>
            <w:vAlign w:val="center"/>
            <w:hideMark/>
          </w:tcPr>
          <w:p w14:paraId="7237C032"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812 624</w:t>
            </w:r>
          </w:p>
        </w:tc>
        <w:tc>
          <w:tcPr>
            <w:tcW w:w="1193" w:type="dxa"/>
            <w:shd w:val="clear" w:color="auto" w:fill="auto"/>
            <w:noWrap/>
            <w:vAlign w:val="center"/>
            <w:hideMark/>
          </w:tcPr>
          <w:p w14:paraId="5FD53513"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6 224 484</w:t>
            </w:r>
          </w:p>
        </w:tc>
        <w:tc>
          <w:tcPr>
            <w:tcW w:w="1211" w:type="dxa"/>
            <w:shd w:val="clear" w:color="auto" w:fill="auto"/>
            <w:noWrap/>
            <w:vAlign w:val="center"/>
            <w:hideMark/>
          </w:tcPr>
          <w:p w14:paraId="1161FDEF"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115 268</w:t>
            </w:r>
          </w:p>
        </w:tc>
        <w:tc>
          <w:tcPr>
            <w:tcW w:w="1205" w:type="dxa"/>
            <w:shd w:val="clear" w:color="auto" w:fill="auto"/>
            <w:noWrap/>
            <w:vAlign w:val="bottom"/>
            <w:hideMark/>
          </w:tcPr>
          <w:p w14:paraId="7757801B"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7,7</w:t>
            </w:r>
          </w:p>
        </w:tc>
        <w:tc>
          <w:tcPr>
            <w:tcW w:w="1623" w:type="dxa"/>
            <w:shd w:val="clear" w:color="auto" w:fill="auto"/>
            <w:noWrap/>
            <w:vAlign w:val="bottom"/>
            <w:hideMark/>
          </w:tcPr>
          <w:p w14:paraId="72DA742E"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197,9</w:t>
            </w:r>
          </w:p>
        </w:tc>
        <w:tc>
          <w:tcPr>
            <w:tcW w:w="857" w:type="dxa"/>
            <w:shd w:val="clear" w:color="auto" w:fill="auto"/>
            <w:noWrap/>
            <w:vAlign w:val="bottom"/>
            <w:hideMark/>
          </w:tcPr>
          <w:p w14:paraId="41A809F6" w14:textId="77777777" w:rsidR="003A0E6D" w:rsidRPr="009C523D" w:rsidRDefault="003A0E6D" w:rsidP="009C523D">
            <w:pPr>
              <w:spacing w:line="240" w:lineRule="auto"/>
              <w:jc w:val="center"/>
              <w:rPr>
                <w:rFonts w:ascii="Arial Narrow" w:hAnsi="Arial Narrow" w:cs="Arial"/>
                <w:color w:val="000000"/>
                <w:sz w:val="20"/>
                <w:szCs w:val="20"/>
              </w:rPr>
            </w:pPr>
            <w:r w:rsidRPr="009C523D">
              <w:rPr>
                <w:rFonts w:ascii="Arial Narrow" w:hAnsi="Arial Narrow" w:cs="Arial"/>
                <w:color w:val="000000"/>
                <w:sz w:val="20"/>
                <w:szCs w:val="20"/>
              </w:rPr>
              <w:t>58,0</w:t>
            </w:r>
          </w:p>
        </w:tc>
      </w:tr>
      <w:tr w:rsidR="003A0E6D" w:rsidRPr="00F2610E" w14:paraId="3FD82BAF" w14:textId="77777777" w:rsidTr="007B16E4">
        <w:trPr>
          <w:trHeight w:val="240"/>
          <w:jc w:val="center"/>
        </w:trPr>
        <w:tc>
          <w:tcPr>
            <w:tcW w:w="1240" w:type="dxa"/>
            <w:shd w:val="clear" w:color="auto" w:fill="auto"/>
            <w:noWrap/>
            <w:vAlign w:val="center"/>
            <w:hideMark/>
          </w:tcPr>
          <w:p w14:paraId="31CAF8F1" w14:textId="77777777" w:rsidR="003A0E6D" w:rsidRPr="009C523D" w:rsidRDefault="003A0E6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ŽSK</w:t>
            </w:r>
          </w:p>
        </w:tc>
        <w:tc>
          <w:tcPr>
            <w:tcW w:w="1461" w:type="dxa"/>
            <w:shd w:val="clear" w:color="auto" w:fill="auto"/>
            <w:noWrap/>
            <w:vAlign w:val="bottom"/>
            <w:hideMark/>
          </w:tcPr>
          <w:p w14:paraId="52BD04E6"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107 224</w:t>
            </w:r>
          </w:p>
        </w:tc>
        <w:tc>
          <w:tcPr>
            <w:tcW w:w="1193" w:type="dxa"/>
            <w:shd w:val="clear" w:color="auto" w:fill="auto"/>
            <w:noWrap/>
            <w:vAlign w:val="bottom"/>
            <w:hideMark/>
          </w:tcPr>
          <w:p w14:paraId="3871D31B"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783 574</w:t>
            </w:r>
          </w:p>
        </w:tc>
        <w:tc>
          <w:tcPr>
            <w:tcW w:w="1211" w:type="dxa"/>
            <w:shd w:val="clear" w:color="auto" w:fill="auto"/>
            <w:noWrap/>
            <w:vAlign w:val="bottom"/>
            <w:hideMark/>
          </w:tcPr>
          <w:p w14:paraId="01BC8DB3"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113 375</w:t>
            </w:r>
          </w:p>
        </w:tc>
        <w:tc>
          <w:tcPr>
            <w:tcW w:w="1205" w:type="dxa"/>
            <w:shd w:val="clear" w:color="auto" w:fill="auto"/>
            <w:noWrap/>
            <w:vAlign w:val="bottom"/>
            <w:hideMark/>
          </w:tcPr>
          <w:p w14:paraId="3994CC2B"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7,3</w:t>
            </w:r>
          </w:p>
        </w:tc>
        <w:tc>
          <w:tcPr>
            <w:tcW w:w="1623" w:type="dxa"/>
            <w:shd w:val="clear" w:color="auto" w:fill="auto"/>
            <w:noWrap/>
            <w:vAlign w:val="bottom"/>
            <w:hideMark/>
          </w:tcPr>
          <w:p w14:paraId="1C6953AF"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196,9</w:t>
            </w:r>
          </w:p>
        </w:tc>
        <w:tc>
          <w:tcPr>
            <w:tcW w:w="857" w:type="dxa"/>
            <w:shd w:val="clear" w:color="auto" w:fill="auto"/>
            <w:noWrap/>
            <w:vAlign w:val="bottom"/>
            <w:hideMark/>
          </w:tcPr>
          <w:p w14:paraId="0FBC24B0" w14:textId="77777777" w:rsidR="003A0E6D" w:rsidRPr="009C523D" w:rsidRDefault="003A0E6D" w:rsidP="009C523D">
            <w:pPr>
              <w:spacing w:line="240" w:lineRule="auto"/>
              <w:jc w:val="center"/>
              <w:rPr>
                <w:rFonts w:ascii="Arial Narrow" w:hAnsi="Arial Narrow" w:cs="Arial"/>
                <w:sz w:val="20"/>
                <w:szCs w:val="20"/>
              </w:rPr>
            </w:pPr>
            <w:r w:rsidRPr="009C523D">
              <w:rPr>
                <w:rFonts w:ascii="Arial Narrow" w:hAnsi="Arial Narrow" w:cs="Arial"/>
                <w:sz w:val="20"/>
                <w:szCs w:val="20"/>
              </w:rPr>
              <w:t>58,3</w:t>
            </w:r>
          </w:p>
        </w:tc>
      </w:tr>
      <w:tr w:rsidR="008B40EF" w:rsidRPr="00F2610E" w14:paraId="7D3EB69F" w14:textId="77777777" w:rsidTr="007B16E4">
        <w:trPr>
          <w:trHeight w:val="304"/>
          <w:jc w:val="center"/>
        </w:trPr>
        <w:tc>
          <w:tcPr>
            <w:tcW w:w="1240" w:type="dxa"/>
            <w:shd w:val="clear" w:color="auto" w:fill="auto"/>
            <w:noWrap/>
            <w:vAlign w:val="center"/>
          </w:tcPr>
          <w:p w14:paraId="5F884CA2" w14:textId="503843CC" w:rsidR="008B40EF" w:rsidRPr="009C523D" w:rsidRDefault="009C523D" w:rsidP="002968D3">
            <w:pPr>
              <w:spacing w:line="240" w:lineRule="auto"/>
              <w:jc w:val="left"/>
              <w:rPr>
                <w:rFonts w:ascii="Arial Narrow" w:hAnsi="Arial Narrow" w:cs="Arial"/>
                <w:b/>
                <w:bCs/>
                <w:color w:val="000000"/>
                <w:sz w:val="20"/>
                <w:szCs w:val="20"/>
              </w:rPr>
            </w:pPr>
            <w:r w:rsidRPr="009C523D">
              <w:rPr>
                <w:rFonts w:ascii="Arial Narrow" w:hAnsi="Arial Narrow" w:cs="Arial"/>
                <w:b/>
                <w:bCs/>
                <w:color w:val="000000"/>
                <w:sz w:val="20"/>
                <w:szCs w:val="20"/>
              </w:rPr>
              <w:t>Žilina</w:t>
            </w:r>
            <w:r w:rsidR="008B40EF" w:rsidRPr="009C523D">
              <w:rPr>
                <w:rFonts w:ascii="Arial Narrow" w:hAnsi="Arial Narrow" w:cs="Arial"/>
                <w:b/>
                <w:bCs/>
                <w:color w:val="000000"/>
                <w:sz w:val="20"/>
                <w:szCs w:val="20"/>
              </w:rPr>
              <w:t>/</w:t>
            </w:r>
            <w:proofErr w:type="spellStart"/>
            <w:r w:rsidR="008B40EF" w:rsidRPr="009C523D">
              <w:rPr>
                <w:rFonts w:ascii="Arial Narrow" w:hAnsi="Arial Narrow" w:cs="Arial"/>
                <w:b/>
                <w:bCs/>
                <w:color w:val="000000"/>
                <w:sz w:val="20"/>
                <w:szCs w:val="20"/>
              </w:rPr>
              <w:t>FNsP</w:t>
            </w:r>
            <w:proofErr w:type="spellEnd"/>
          </w:p>
        </w:tc>
        <w:tc>
          <w:tcPr>
            <w:tcW w:w="1461" w:type="dxa"/>
            <w:shd w:val="clear" w:color="auto" w:fill="auto"/>
            <w:noWrap/>
            <w:vAlign w:val="bottom"/>
          </w:tcPr>
          <w:p w14:paraId="0AF0DF3C" w14:textId="2C352886" w:rsidR="008B40EF" w:rsidRPr="009C523D" w:rsidRDefault="008B40EF" w:rsidP="009C523D">
            <w:pPr>
              <w:spacing w:line="240" w:lineRule="auto"/>
              <w:jc w:val="center"/>
              <w:rPr>
                <w:rFonts w:ascii="Arial Narrow" w:hAnsi="Arial Narrow" w:cs="Arial"/>
                <w:sz w:val="20"/>
                <w:szCs w:val="20"/>
              </w:rPr>
            </w:pPr>
            <w:r w:rsidRPr="009C523D">
              <w:rPr>
                <w:rFonts w:ascii="Arial Narrow" w:hAnsi="Arial Narrow" w:cs="Arial"/>
                <w:sz w:val="20"/>
                <w:szCs w:val="20"/>
              </w:rPr>
              <w:t>32083</w:t>
            </w:r>
          </w:p>
        </w:tc>
        <w:tc>
          <w:tcPr>
            <w:tcW w:w="1193" w:type="dxa"/>
            <w:shd w:val="clear" w:color="auto" w:fill="auto"/>
            <w:noWrap/>
            <w:vAlign w:val="bottom"/>
          </w:tcPr>
          <w:p w14:paraId="55B0C85A" w14:textId="53CA57FB" w:rsidR="008B40EF" w:rsidRPr="009C523D" w:rsidRDefault="008B40EF" w:rsidP="009C523D">
            <w:pPr>
              <w:spacing w:line="240" w:lineRule="auto"/>
              <w:jc w:val="center"/>
              <w:rPr>
                <w:rFonts w:ascii="Arial Narrow" w:hAnsi="Arial Narrow" w:cs="Arial"/>
                <w:sz w:val="20"/>
                <w:szCs w:val="20"/>
              </w:rPr>
            </w:pPr>
            <w:r w:rsidRPr="009C523D">
              <w:rPr>
                <w:rFonts w:ascii="Arial Narrow" w:hAnsi="Arial Narrow" w:cs="Arial"/>
                <w:sz w:val="20"/>
                <w:szCs w:val="20"/>
              </w:rPr>
              <w:t>176744</w:t>
            </w:r>
          </w:p>
        </w:tc>
        <w:tc>
          <w:tcPr>
            <w:tcW w:w="1211" w:type="dxa"/>
            <w:shd w:val="clear" w:color="auto" w:fill="auto"/>
            <w:noWrap/>
            <w:vAlign w:val="bottom"/>
          </w:tcPr>
          <w:p w14:paraId="7A031070" w14:textId="14E75B3C" w:rsidR="008B40EF" w:rsidRPr="009C523D" w:rsidRDefault="008B40EF" w:rsidP="009C523D">
            <w:pPr>
              <w:spacing w:line="240" w:lineRule="auto"/>
              <w:jc w:val="center"/>
              <w:rPr>
                <w:rFonts w:ascii="Arial Narrow" w:hAnsi="Arial Narrow" w:cs="Arial"/>
                <w:sz w:val="20"/>
                <w:szCs w:val="20"/>
              </w:rPr>
            </w:pPr>
            <w:r w:rsidRPr="009C523D">
              <w:rPr>
                <w:rFonts w:ascii="Arial Narrow" w:hAnsi="Arial Narrow" w:cs="Arial"/>
                <w:sz w:val="20"/>
                <w:szCs w:val="20"/>
              </w:rPr>
              <w:t>85816</w:t>
            </w:r>
          </w:p>
        </w:tc>
        <w:tc>
          <w:tcPr>
            <w:tcW w:w="1205" w:type="dxa"/>
            <w:shd w:val="clear" w:color="auto" w:fill="auto"/>
            <w:noWrap/>
            <w:vAlign w:val="bottom"/>
          </w:tcPr>
          <w:p w14:paraId="629AA088" w14:textId="26244B61" w:rsidR="008B40EF" w:rsidRPr="009C523D" w:rsidRDefault="008B40EF" w:rsidP="009C523D">
            <w:pPr>
              <w:spacing w:line="240" w:lineRule="auto"/>
              <w:jc w:val="center"/>
              <w:rPr>
                <w:rFonts w:ascii="Arial Narrow" w:hAnsi="Arial Narrow" w:cs="Arial"/>
                <w:sz w:val="20"/>
                <w:szCs w:val="20"/>
              </w:rPr>
            </w:pPr>
            <w:r w:rsidRPr="009C523D">
              <w:rPr>
                <w:rFonts w:ascii="Arial Narrow" w:hAnsi="Arial Narrow" w:cs="Arial"/>
                <w:sz w:val="20"/>
                <w:szCs w:val="20"/>
              </w:rPr>
              <w:t>7,8</w:t>
            </w:r>
          </w:p>
        </w:tc>
        <w:tc>
          <w:tcPr>
            <w:tcW w:w="1623" w:type="dxa"/>
            <w:shd w:val="clear" w:color="auto" w:fill="auto"/>
            <w:noWrap/>
            <w:vAlign w:val="bottom"/>
          </w:tcPr>
          <w:p w14:paraId="610D6762" w14:textId="0F86048B" w:rsidR="008B40EF" w:rsidRPr="009C523D" w:rsidRDefault="008B40EF" w:rsidP="009C523D">
            <w:pPr>
              <w:spacing w:line="240" w:lineRule="auto"/>
              <w:jc w:val="center"/>
              <w:rPr>
                <w:rFonts w:ascii="Arial Narrow" w:hAnsi="Arial Narrow" w:cs="Arial"/>
                <w:sz w:val="20"/>
                <w:szCs w:val="20"/>
              </w:rPr>
            </w:pPr>
            <w:r w:rsidRPr="009C523D">
              <w:rPr>
                <w:rFonts w:ascii="Arial Narrow" w:hAnsi="Arial Narrow" w:cs="Arial"/>
                <w:sz w:val="20"/>
                <w:szCs w:val="20"/>
              </w:rPr>
              <w:t>237,2</w:t>
            </w:r>
          </w:p>
        </w:tc>
        <w:tc>
          <w:tcPr>
            <w:tcW w:w="857" w:type="dxa"/>
            <w:shd w:val="clear" w:color="auto" w:fill="auto"/>
            <w:noWrap/>
            <w:vAlign w:val="bottom"/>
          </w:tcPr>
          <w:p w14:paraId="5A43FC9B" w14:textId="5285CE3F" w:rsidR="008B40EF" w:rsidRPr="009C523D" w:rsidRDefault="008B40EF" w:rsidP="009C523D">
            <w:pPr>
              <w:spacing w:line="240" w:lineRule="auto"/>
              <w:jc w:val="center"/>
              <w:rPr>
                <w:rFonts w:ascii="Arial Narrow" w:hAnsi="Arial Narrow" w:cs="Arial"/>
                <w:sz w:val="20"/>
                <w:szCs w:val="20"/>
              </w:rPr>
            </w:pPr>
            <w:r w:rsidRPr="009C523D">
              <w:rPr>
                <w:rFonts w:ascii="Arial Narrow" w:hAnsi="Arial Narrow" w:cs="Arial"/>
                <w:sz w:val="20"/>
                <w:szCs w:val="20"/>
              </w:rPr>
              <w:t>67,2</w:t>
            </w:r>
          </w:p>
        </w:tc>
      </w:tr>
    </w:tbl>
    <w:p w14:paraId="490F0271" w14:textId="4BC33D95" w:rsidR="008B40EF" w:rsidRDefault="003A0E6D" w:rsidP="008B40EF">
      <w:pPr>
        <w:spacing w:line="240" w:lineRule="auto"/>
        <w:rPr>
          <w:rFonts w:ascii="Century Gothic" w:hAnsi="Century Gothic"/>
          <w:i/>
          <w:sz w:val="18"/>
          <w:szCs w:val="18"/>
        </w:rPr>
      </w:pPr>
      <w:r w:rsidRPr="002968D3">
        <w:rPr>
          <w:rFonts w:ascii="Century Gothic" w:hAnsi="Century Gothic"/>
          <w:i/>
          <w:sz w:val="18"/>
          <w:szCs w:val="18"/>
        </w:rPr>
        <w:t xml:space="preserve">Zdroj: NCZI, </w:t>
      </w:r>
      <w:r w:rsidR="000E7059">
        <w:rPr>
          <w:rFonts w:ascii="Century Gothic" w:hAnsi="Century Gothic"/>
          <w:i/>
          <w:sz w:val="18"/>
          <w:szCs w:val="18"/>
        </w:rPr>
        <w:t>vlastné spracovanie</w:t>
      </w:r>
      <w:r w:rsidR="008B40EF">
        <w:rPr>
          <w:rFonts w:ascii="Century Gothic" w:hAnsi="Century Gothic"/>
          <w:i/>
          <w:sz w:val="18"/>
          <w:szCs w:val="18"/>
        </w:rPr>
        <w:t xml:space="preserve"> (počet obyvateľov na </w:t>
      </w:r>
      <w:proofErr w:type="spellStart"/>
      <w:r w:rsidR="008B40EF">
        <w:rPr>
          <w:rFonts w:ascii="Century Gothic" w:hAnsi="Century Gothic"/>
          <w:i/>
          <w:sz w:val="18"/>
          <w:szCs w:val="18"/>
        </w:rPr>
        <w:t>FNsP</w:t>
      </w:r>
      <w:proofErr w:type="spellEnd"/>
      <w:r w:rsidR="008B40EF">
        <w:rPr>
          <w:rFonts w:ascii="Century Gothic" w:hAnsi="Century Gothic"/>
          <w:i/>
          <w:sz w:val="18"/>
          <w:szCs w:val="18"/>
        </w:rPr>
        <w:t xml:space="preserve"> Žilina je dané súčtom okresov Žilina, Bytča a ½ z Kysucké Nové Mesto)</w:t>
      </w:r>
    </w:p>
    <w:p w14:paraId="6310B7CE" w14:textId="5FDD73C1" w:rsidR="003A0E6D" w:rsidRPr="002968D3" w:rsidRDefault="003A0E6D" w:rsidP="003A0E6D">
      <w:pPr>
        <w:spacing w:line="240" w:lineRule="auto"/>
        <w:rPr>
          <w:rFonts w:ascii="Century Gothic" w:hAnsi="Century Gothic"/>
          <w:i/>
          <w:sz w:val="18"/>
          <w:szCs w:val="18"/>
        </w:rPr>
      </w:pPr>
    </w:p>
    <w:p w14:paraId="248CAC3B" w14:textId="14EED646" w:rsidR="003A0E6D" w:rsidRDefault="003A0E6D" w:rsidP="003A0E6D">
      <w:pPr>
        <w:spacing w:line="240" w:lineRule="auto"/>
        <w:rPr>
          <w:rFonts w:ascii="Century Gothic" w:hAnsi="Century Gothic"/>
          <w:sz w:val="22"/>
          <w:szCs w:val="22"/>
        </w:rPr>
      </w:pPr>
      <w:r w:rsidRPr="002968D3">
        <w:rPr>
          <w:rFonts w:ascii="Century Gothic" w:hAnsi="Century Gothic"/>
          <w:sz w:val="22"/>
          <w:szCs w:val="22"/>
        </w:rPr>
        <w:t xml:space="preserve">Z pohľadu štruktúry lôžkového fondu je v ŽSK k dispozícii v princípe celé spektrum špecializačných odborov v dostatočnom počte a štruktúre. Jedinými oblasťami, ktoré nie sú pokryté sú </w:t>
      </w:r>
      <w:proofErr w:type="spellStart"/>
      <w:r w:rsidRPr="002968D3">
        <w:rPr>
          <w:rFonts w:ascii="Century Gothic" w:hAnsi="Century Gothic"/>
          <w:sz w:val="22"/>
          <w:szCs w:val="22"/>
        </w:rPr>
        <w:t>kardiochirurgia</w:t>
      </w:r>
      <w:proofErr w:type="spellEnd"/>
      <w:r w:rsidRPr="002968D3">
        <w:rPr>
          <w:rFonts w:ascii="Century Gothic" w:hAnsi="Century Gothic"/>
          <w:sz w:val="22"/>
          <w:szCs w:val="22"/>
        </w:rPr>
        <w:t xml:space="preserve"> (základným spádovým pracoviskom je </w:t>
      </w:r>
      <w:r w:rsidRPr="002968D3">
        <w:rPr>
          <w:rFonts w:ascii="Century Gothic" w:hAnsi="Century Gothic"/>
          <w:sz w:val="22"/>
          <w:szCs w:val="22"/>
        </w:rPr>
        <w:lastRenderedPageBreak/>
        <w:t xml:space="preserve">Stredoslovenský ústav srdcových </w:t>
      </w:r>
      <w:r w:rsidR="00312A43">
        <w:rPr>
          <w:rFonts w:ascii="Century Gothic" w:hAnsi="Century Gothic"/>
          <w:sz w:val="22"/>
          <w:szCs w:val="22"/>
        </w:rPr>
        <w:t xml:space="preserve">a cievnych </w:t>
      </w:r>
      <w:r w:rsidRPr="002968D3">
        <w:rPr>
          <w:rFonts w:ascii="Century Gothic" w:hAnsi="Century Gothic"/>
          <w:sz w:val="22"/>
          <w:szCs w:val="22"/>
        </w:rPr>
        <w:t xml:space="preserve">chorôb) a niektoré špecifické odbory </w:t>
      </w:r>
      <w:r w:rsidR="00C8452A" w:rsidRPr="002968D3">
        <w:rPr>
          <w:rFonts w:ascii="Century Gothic" w:hAnsi="Century Gothic"/>
          <w:sz w:val="22"/>
          <w:szCs w:val="22"/>
        </w:rPr>
        <w:t>viažuce</w:t>
      </w:r>
      <w:r w:rsidRPr="002968D3">
        <w:rPr>
          <w:rFonts w:ascii="Century Gothic" w:hAnsi="Century Gothic"/>
          <w:sz w:val="22"/>
          <w:szCs w:val="22"/>
        </w:rPr>
        <w:t xml:space="preserve"> sa na detský vek – onkológia, neurológia, psychiatria (po</w:t>
      </w:r>
      <w:r w:rsidR="00312A43">
        <w:rPr>
          <w:rFonts w:ascii="Century Gothic" w:hAnsi="Century Gothic"/>
          <w:sz w:val="22"/>
          <w:szCs w:val="22"/>
        </w:rPr>
        <w:t>kryté Detská fakultná nemocnica s poliklinikou Banská Bystrica a Národný ústav detských chorôb</w:t>
      </w:r>
      <w:r w:rsidRPr="002968D3">
        <w:rPr>
          <w:rFonts w:ascii="Century Gothic" w:hAnsi="Century Gothic"/>
          <w:sz w:val="22"/>
          <w:szCs w:val="22"/>
        </w:rPr>
        <w:t>).</w:t>
      </w:r>
    </w:p>
    <w:p w14:paraId="51CE17A4" w14:textId="6A6DD959" w:rsidR="009664F0" w:rsidRDefault="009664F0" w:rsidP="003A0E6D">
      <w:pPr>
        <w:spacing w:line="240" w:lineRule="auto"/>
        <w:rPr>
          <w:rFonts w:ascii="Century Gothic" w:hAnsi="Century Gothic"/>
          <w:sz w:val="22"/>
          <w:szCs w:val="22"/>
        </w:rPr>
      </w:pPr>
    </w:p>
    <w:p w14:paraId="13382551" w14:textId="21B27FB5" w:rsidR="009664F0" w:rsidRDefault="009664F0" w:rsidP="003A0E6D">
      <w:pPr>
        <w:spacing w:line="240" w:lineRule="auto"/>
        <w:rPr>
          <w:rFonts w:ascii="Century Gothic" w:hAnsi="Century Gothic"/>
          <w:sz w:val="22"/>
          <w:szCs w:val="22"/>
        </w:rPr>
      </w:pPr>
      <w:r>
        <w:rPr>
          <w:rFonts w:ascii="Century Gothic" w:hAnsi="Century Gothic"/>
          <w:sz w:val="22"/>
          <w:szCs w:val="22"/>
        </w:rPr>
        <w:t>Samostatný komentár si zasluhuje pôrodnícka starostlivosť a starostlivosť o novorodenca.</w:t>
      </w:r>
      <w:r w:rsidR="006B2F12">
        <w:rPr>
          <w:rFonts w:ascii="Century Gothic" w:hAnsi="Century Gothic"/>
          <w:sz w:val="22"/>
          <w:szCs w:val="22"/>
        </w:rPr>
        <w:t xml:space="preserve"> Podľa kva</w:t>
      </w:r>
      <w:r w:rsidR="0034492E">
        <w:rPr>
          <w:rFonts w:ascii="Century Gothic" w:hAnsi="Century Gothic"/>
          <w:sz w:val="22"/>
          <w:szCs w:val="22"/>
        </w:rPr>
        <w:t>ntitatívnych</w:t>
      </w:r>
      <w:r w:rsidR="006B2F12">
        <w:rPr>
          <w:rFonts w:ascii="Century Gothic" w:hAnsi="Century Gothic"/>
          <w:sz w:val="22"/>
          <w:szCs w:val="22"/>
        </w:rPr>
        <w:t xml:space="preserve"> údajov počet pôrodov (podľa hospitalizácii nov</w:t>
      </w:r>
      <w:r w:rsidR="00312A43">
        <w:rPr>
          <w:rFonts w:ascii="Century Gothic" w:hAnsi="Century Gothic"/>
          <w:sz w:val="22"/>
          <w:szCs w:val="22"/>
        </w:rPr>
        <w:t>orodencov) v ŽSK osciluje</w:t>
      </w:r>
      <w:r w:rsidR="006B2F12">
        <w:rPr>
          <w:rFonts w:ascii="Century Gothic" w:hAnsi="Century Gothic"/>
          <w:sz w:val="22"/>
          <w:szCs w:val="22"/>
        </w:rPr>
        <w:t xml:space="preserve"> okolo 7 tisíc ročne, pričom od roku 2018 je naznačený pokles v súlade z celoslovenským trendom.</w:t>
      </w:r>
    </w:p>
    <w:p w14:paraId="59B4C565" w14:textId="0BE52C49" w:rsidR="006B2F12" w:rsidRDefault="006B2F12" w:rsidP="003A0E6D">
      <w:pPr>
        <w:spacing w:line="240" w:lineRule="auto"/>
        <w:rPr>
          <w:rFonts w:ascii="Century Gothic" w:hAnsi="Century Gothic"/>
          <w:sz w:val="22"/>
          <w:szCs w:val="22"/>
        </w:rPr>
      </w:pPr>
    </w:p>
    <w:p w14:paraId="71E09D4C" w14:textId="7C0CABF0" w:rsidR="00D048F2" w:rsidRPr="00D048F2" w:rsidRDefault="00A664BB" w:rsidP="00A664BB">
      <w:pPr>
        <w:keepNext/>
        <w:spacing w:line="240" w:lineRule="auto"/>
        <w:jc w:val="left"/>
        <w:rPr>
          <w:rFonts w:ascii="Century Gothic" w:hAnsi="Century Gothic" w:cs="Arial"/>
          <w:i/>
          <w:sz w:val="20"/>
          <w:szCs w:val="20"/>
        </w:rPr>
      </w:pPr>
      <w:bookmarkStart w:id="63" w:name="_Toc145219872"/>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w:t>
      </w:r>
      <w:r w:rsidRPr="00A664BB">
        <w:rPr>
          <w:rFonts w:ascii="Century Gothic" w:hAnsi="Century Gothic" w:cs="Arial"/>
          <w:i/>
          <w:sz w:val="20"/>
          <w:szCs w:val="20"/>
        </w:rPr>
        <w:fldChar w:fldCharType="end"/>
      </w:r>
      <w:r w:rsidR="00B45ABE" w:rsidRPr="00D048F2">
        <w:rPr>
          <w:rFonts w:ascii="Century Gothic" w:hAnsi="Century Gothic" w:cs="Arial"/>
          <w:i/>
          <w:sz w:val="20"/>
          <w:szCs w:val="20"/>
        </w:rPr>
        <w:t xml:space="preserve"> Pôrody v Žilinskom samosprávnom kraji</w:t>
      </w:r>
      <w:bookmarkEnd w:id="63"/>
    </w:p>
    <w:p w14:paraId="7F7FF91F" w14:textId="6FDBC03A" w:rsidR="006B2F12" w:rsidRDefault="006B2F12" w:rsidP="00B227E6">
      <w:pPr>
        <w:spacing w:line="240" w:lineRule="auto"/>
        <w:jc w:val="center"/>
        <w:rPr>
          <w:rFonts w:ascii="Century Gothic" w:hAnsi="Century Gothic"/>
          <w:sz w:val="22"/>
          <w:szCs w:val="22"/>
        </w:rPr>
      </w:pPr>
      <w:r>
        <w:rPr>
          <w:noProof/>
        </w:rPr>
        <w:drawing>
          <wp:inline distT="0" distB="0" distL="0" distR="0" wp14:anchorId="15C7D353" wp14:editId="73B76D52">
            <wp:extent cx="5738884" cy="2743200"/>
            <wp:effectExtent l="0" t="0" r="0" b="0"/>
            <wp:docPr id="40" name="Graf 40">
              <a:extLst xmlns:a="http://schemas.openxmlformats.org/drawingml/2006/main">
                <a:ext uri="{FF2B5EF4-FFF2-40B4-BE49-F238E27FC236}">
                  <a16:creationId xmlns:a16="http://schemas.microsoft.com/office/drawing/2014/main" id="{9F027421-87C1-D76D-2036-A49D9F73D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6D0E6E8" w14:textId="0F517B9B" w:rsidR="00735C9C" w:rsidRDefault="00735C9C" w:rsidP="00735C9C">
      <w:pPr>
        <w:spacing w:line="240" w:lineRule="auto"/>
        <w:rPr>
          <w:rFonts w:ascii="Century Gothic" w:hAnsi="Century Gothic"/>
          <w:i/>
          <w:sz w:val="18"/>
          <w:szCs w:val="18"/>
        </w:rPr>
      </w:pPr>
      <w:r w:rsidRPr="002968D3">
        <w:rPr>
          <w:rFonts w:ascii="Century Gothic" w:hAnsi="Century Gothic"/>
          <w:i/>
          <w:sz w:val="18"/>
          <w:szCs w:val="18"/>
        </w:rPr>
        <w:t xml:space="preserve">Zdroj: NCZI, </w:t>
      </w:r>
      <w:r w:rsidR="000E7059">
        <w:rPr>
          <w:rFonts w:ascii="Century Gothic" w:hAnsi="Century Gothic"/>
          <w:i/>
          <w:sz w:val="18"/>
          <w:szCs w:val="18"/>
        </w:rPr>
        <w:t>vlastné spracovanie</w:t>
      </w:r>
    </w:p>
    <w:p w14:paraId="5C6A5878" w14:textId="77777777" w:rsidR="00735C9C" w:rsidRDefault="00735C9C" w:rsidP="003A0E6D">
      <w:pPr>
        <w:spacing w:line="240" w:lineRule="auto"/>
        <w:rPr>
          <w:rFonts w:ascii="Century Gothic" w:hAnsi="Century Gothic"/>
          <w:sz w:val="22"/>
          <w:szCs w:val="22"/>
        </w:rPr>
      </w:pPr>
    </w:p>
    <w:p w14:paraId="2A3C188C" w14:textId="4A77126F" w:rsidR="006B2F12" w:rsidRDefault="006B2F12" w:rsidP="003A0E6D">
      <w:pPr>
        <w:spacing w:line="240" w:lineRule="auto"/>
        <w:rPr>
          <w:rFonts w:ascii="Century Gothic" w:hAnsi="Century Gothic"/>
          <w:sz w:val="22"/>
          <w:szCs w:val="22"/>
        </w:rPr>
      </w:pPr>
      <w:r>
        <w:rPr>
          <w:rFonts w:ascii="Century Gothic" w:hAnsi="Century Gothic"/>
          <w:sz w:val="22"/>
          <w:szCs w:val="22"/>
        </w:rPr>
        <w:t xml:space="preserve">AK sa však pozrieme taxatívne na vývoj pôrodov po jednotlivých nemocniciach, vidíme, že postupne rastie počet pôrodov v NsP Považská Bystrica, čo možno interpretovať ako reorganizáciu pôrodníc v rámci TSK. </w:t>
      </w:r>
      <w:r w:rsidRPr="00735C9C">
        <w:rPr>
          <w:rFonts w:ascii="Century Gothic" w:hAnsi="Century Gothic"/>
          <w:b/>
          <w:bCs/>
          <w:i/>
          <w:iCs/>
          <w:sz w:val="22"/>
          <w:szCs w:val="22"/>
        </w:rPr>
        <w:t xml:space="preserve">Napriek miernemu poklesu pôrodnosti v rámci ŽSK </w:t>
      </w:r>
      <w:r w:rsidR="00735C9C" w:rsidRPr="00735C9C">
        <w:rPr>
          <w:rFonts w:ascii="Century Gothic" w:hAnsi="Century Gothic"/>
          <w:b/>
          <w:bCs/>
          <w:i/>
          <w:iCs/>
          <w:sz w:val="22"/>
          <w:szCs w:val="22"/>
        </w:rPr>
        <w:t xml:space="preserve">od roku 2018 rastie počet pôrodov vo </w:t>
      </w:r>
      <w:proofErr w:type="spellStart"/>
      <w:r w:rsidR="00735C9C" w:rsidRPr="00735C9C">
        <w:rPr>
          <w:rFonts w:ascii="Century Gothic" w:hAnsi="Century Gothic"/>
          <w:b/>
          <w:bCs/>
          <w:i/>
          <w:iCs/>
          <w:sz w:val="22"/>
          <w:szCs w:val="22"/>
        </w:rPr>
        <w:t>FNsP</w:t>
      </w:r>
      <w:proofErr w:type="spellEnd"/>
      <w:r w:rsidR="00735C9C" w:rsidRPr="00735C9C">
        <w:rPr>
          <w:rFonts w:ascii="Century Gothic" w:hAnsi="Century Gothic"/>
          <w:b/>
          <w:bCs/>
          <w:i/>
          <w:iCs/>
          <w:sz w:val="22"/>
          <w:szCs w:val="22"/>
        </w:rPr>
        <w:t xml:space="preserve"> Žilina, pri poklese v NsP Čadca a UN</w:t>
      </w:r>
      <w:r w:rsidR="007E18E4">
        <w:rPr>
          <w:rFonts w:ascii="Century Gothic" w:hAnsi="Century Gothic"/>
          <w:b/>
          <w:bCs/>
          <w:i/>
          <w:iCs/>
          <w:sz w:val="22"/>
          <w:szCs w:val="22"/>
        </w:rPr>
        <w:t>M</w:t>
      </w:r>
      <w:r w:rsidR="00735C9C" w:rsidRPr="00735C9C">
        <w:rPr>
          <w:rFonts w:ascii="Century Gothic" w:hAnsi="Century Gothic"/>
          <w:b/>
          <w:bCs/>
          <w:i/>
          <w:iCs/>
          <w:sz w:val="22"/>
          <w:szCs w:val="22"/>
        </w:rPr>
        <w:t xml:space="preserve"> Martin. Stav interpretujeme ako návrat rodičiek, ktoré odchádzali rodiť do UN</w:t>
      </w:r>
      <w:r w:rsidR="007E18E4">
        <w:rPr>
          <w:rFonts w:ascii="Century Gothic" w:hAnsi="Century Gothic"/>
          <w:b/>
          <w:bCs/>
          <w:i/>
          <w:iCs/>
          <w:sz w:val="22"/>
          <w:szCs w:val="22"/>
        </w:rPr>
        <w:t>M</w:t>
      </w:r>
      <w:r w:rsidR="00735C9C" w:rsidRPr="00735C9C">
        <w:rPr>
          <w:rFonts w:ascii="Century Gothic" w:hAnsi="Century Gothic"/>
          <w:b/>
          <w:bCs/>
          <w:i/>
          <w:iCs/>
          <w:sz w:val="22"/>
          <w:szCs w:val="22"/>
        </w:rPr>
        <w:t xml:space="preserve"> Martin, ako aj stiahnutie rodičiek z NsP Čadca, kde pôrody klesajú</w:t>
      </w:r>
      <w:r w:rsidR="00735C9C">
        <w:rPr>
          <w:rFonts w:ascii="Century Gothic" w:hAnsi="Century Gothic"/>
          <w:sz w:val="22"/>
          <w:szCs w:val="22"/>
        </w:rPr>
        <w:t>. Zreteľný je kon</w:t>
      </w:r>
      <w:r w:rsidR="009852FF">
        <w:rPr>
          <w:rFonts w:ascii="Century Gothic" w:hAnsi="Century Gothic"/>
          <w:sz w:val="22"/>
          <w:szCs w:val="22"/>
        </w:rPr>
        <w:t>tinuálne nízky počet pôrodov v ÚV</w:t>
      </w:r>
      <w:r w:rsidR="00735C9C">
        <w:rPr>
          <w:rFonts w:ascii="Century Gothic" w:hAnsi="Century Gothic"/>
          <w:sz w:val="22"/>
          <w:szCs w:val="22"/>
        </w:rPr>
        <w:t xml:space="preserve">N Ružomberok, NsP Dolný Kubín a NsP Liptovský Mikuláš. Vzhľadom na personálnu situáciu je vysoká </w:t>
      </w:r>
      <w:r w:rsidR="002519B1">
        <w:rPr>
          <w:rFonts w:ascii="Century Gothic" w:hAnsi="Century Gothic"/>
          <w:sz w:val="22"/>
          <w:szCs w:val="22"/>
        </w:rPr>
        <w:t>pravdepodobnosť</w:t>
      </w:r>
      <w:r w:rsidR="00735C9C">
        <w:rPr>
          <w:rFonts w:ascii="Century Gothic" w:hAnsi="Century Gothic"/>
          <w:sz w:val="22"/>
          <w:szCs w:val="22"/>
        </w:rPr>
        <w:t xml:space="preserve">, že dôjde k zlučovaniu pôrodníc v tomto </w:t>
      </w:r>
      <w:proofErr w:type="spellStart"/>
      <w:r w:rsidR="00735C9C">
        <w:rPr>
          <w:rFonts w:ascii="Century Gothic" w:hAnsi="Century Gothic"/>
          <w:sz w:val="22"/>
          <w:szCs w:val="22"/>
        </w:rPr>
        <w:t>clustri</w:t>
      </w:r>
      <w:proofErr w:type="spellEnd"/>
      <w:r w:rsidR="00735C9C">
        <w:rPr>
          <w:rFonts w:ascii="Century Gothic" w:hAnsi="Century Gothic"/>
          <w:sz w:val="22"/>
          <w:szCs w:val="22"/>
        </w:rPr>
        <w:t>.</w:t>
      </w:r>
    </w:p>
    <w:p w14:paraId="46C48CFF" w14:textId="1A580D93" w:rsidR="00735C9C" w:rsidRDefault="00735C9C" w:rsidP="003A0E6D">
      <w:pPr>
        <w:spacing w:line="240" w:lineRule="auto"/>
        <w:rPr>
          <w:rFonts w:ascii="Century Gothic" w:hAnsi="Century Gothic"/>
          <w:sz w:val="22"/>
          <w:szCs w:val="22"/>
        </w:rPr>
      </w:pPr>
    </w:p>
    <w:p w14:paraId="3F0D8BEE" w14:textId="1F33CEAF" w:rsidR="00D048F2" w:rsidRDefault="00D048F2" w:rsidP="003A0E6D">
      <w:pPr>
        <w:spacing w:line="240" w:lineRule="auto"/>
        <w:rPr>
          <w:rFonts w:ascii="Century Gothic" w:hAnsi="Century Gothic"/>
          <w:sz w:val="22"/>
          <w:szCs w:val="22"/>
        </w:rPr>
      </w:pPr>
    </w:p>
    <w:p w14:paraId="218CC0A8" w14:textId="1A9DA16B" w:rsidR="00D048F2" w:rsidRDefault="00D048F2" w:rsidP="003A0E6D">
      <w:pPr>
        <w:spacing w:line="240" w:lineRule="auto"/>
        <w:rPr>
          <w:rFonts w:ascii="Century Gothic" w:hAnsi="Century Gothic"/>
          <w:sz w:val="22"/>
          <w:szCs w:val="22"/>
        </w:rPr>
      </w:pPr>
    </w:p>
    <w:p w14:paraId="2C465166" w14:textId="4E191946" w:rsidR="00D048F2" w:rsidRDefault="00D048F2" w:rsidP="003A0E6D">
      <w:pPr>
        <w:spacing w:line="240" w:lineRule="auto"/>
        <w:rPr>
          <w:rFonts w:ascii="Century Gothic" w:hAnsi="Century Gothic"/>
          <w:sz w:val="22"/>
          <w:szCs w:val="22"/>
        </w:rPr>
      </w:pPr>
    </w:p>
    <w:p w14:paraId="33EB63E1" w14:textId="5A8AC9AD" w:rsidR="00D048F2" w:rsidRDefault="00D048F2" w:rsidP="003A0E6D">
      <w:pPr>
        <w:spacing w:line="240" w:lineRule="auto"/>
        <w:rPr>
          <w:rFonts w:ascii="Century Gothic" w:hAnsi="Century Gothic"/>
          <w:sz w:val="22"/>
          <w:szCs w:val="22"/>
        </w:rPr>
      </w:pPr>
    </w:p>
    <w:p w14:paraId="1967EA09" w14:textId="32E282C2" w:rsidR="00D048F2" w:rsidRDefault="00D048F2" w:rsidP="003A0E6D">
      <w:pPr>
        <w:spacing w:line="240" w:lineRule="auto"/>
        <w:rPr>
          <w:rFonts w:ascii="Century Gothic" w:hAnsi="Century Gothic"/>
          <w:sz w:val="22"/>
          <w:szCs w:val="22"/>
        </w:rPr>
      </w:pPr>
    </w:p>
    <w:p w14:paraId="36BF1708" w14:textId="2467DE52" w:rsidR="00D048F2" w:rsidRDefault="00D048F2" w:rsidP="003A0E6D">
      <w:pPr>
        <w:spacing w:line="240" w:lineRule="auto"/>
        <w:rPr>
          <w:rFonts w:ascii="Century Gothic" w:hAnsi="Century Gothic"/>
          <w:sz w:val="22"/>
          <w:szCs w:val="22"/>
        </w:rPr>
      </w:pPr>
    </w:p>
    <w:p w14:paraId="3FC8A66A" w14:textId="0DB6CCCF" w:rsidR="00D048F2" w:rsidRDefault="00D048F2" w:rsidP="003A0E6D">
      <w:pPr>
        <w:spacing w:line="240" w:lineRule="auto"/>
        <w:rPr>
          <w:rFonts w:ascii="Century Gothic" w:hAnsi="Century Gothic"/>
          <w:sz w:val="22"/>
          <w:szCs w:val="22"/>
        </w:rPr>
      </w:pPr>
    </w:p>
    <w:p w14:paraId="38DBD1C1" w14:textId="31EB7836" w:rsidR="00D048F2" w:rsidRDefault="00D048F2" w:rsidP="003A0E6D">
      <w:pPr>
        <w:spacing w:line="240" w:lineRule="auto"/>
        <w:rPr>
          <w:rFonts w:ascii="Century Gothic" w:hAnsi="Century Gothic"/>
          <w:sz w:val="22"/>
          <w:szCs w:val="22"/>
        </w:rPr>
      </w:pPr>
    </w:p>
    <w:p w14:paraId="316F8E2E" w14:textId="56F1F1E3" w:rsidR="00D048F2" w:rsidRPr="00D048F2" w:rsidRDefault="00A664BB" w:rsidP="00A664BB">
      <w:pPr>
        <w:keepNext/>
        <w:spacing w:line="240" w:lineRule="auto"/>
        <w:jc w:val="left"/>
        <w:rPr>
          <w:rFonts w:ascii="Century Gothic" w:hAnsi="Century Gothic" w:cs="Arial"/>
          <w:i/>
          <w:sz w:val="20"/>
          <w:szCs w:val="20"/>
        </w:rPr>
      </w:pPr>
      <w:bookmarkStart w:id="64" w:name="_Toc145219873"/>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2</w:t>
      </w:r>
      <w:r w:rsidRPr="00A664BB">
        <w:rPr>
          <w:rFonts w:ascii="Century Gothic" w:hAnsi="Century Gothic" w:cs="Arial"/>
          <w:i/>
          <w:sz w:val="20"/>
          <w:szCs w:val="20"/>
        </w:rPr>
        <w:fldChar w:fldCharType="end"/>
      </w:r>
      <w:r w:rsidR="00D048F2" w:rsidRPr="00D048F2">
        <w:rPr>
          <w:rFonts w:ascii="Century Gothic" w:hAnsi="Century Gothic" w:cs="Arial"/>
          <w:i/>
          <w:sz w:val="20"/>
          <w:szCs w:val="20"/>
        </w:rPr>
        <w:t xml:space="preserve"> Počet hospitalizovaných novorodencov v Žilinskom samosprávnom kraji + okres Považská Bystrica</w:t>
      </w:r>
      <w:bookmarkEnd w:id="64"/>
    </w:p>
    <w:p w14:paraId="2A3EA0A1" w14:textId="47374106" w:rsidR="009664F0" w:rsidRDefault="006B2F12" w:rsidP="003A0E6D">
      <w:pPr>
        <w:spacing w:line="240" w:lineRule="auto"/>
        <w:rPr>
          <w:rFonts w:ascii="Century Gothic" w:hAnsi="Century Gothic"/>
          <w:sz w:val="22"/>
          <w:szCs w:val="22"/>
        </w:rPr>
      </w:pPr>
      <w:r>
        <w:rPr>
          <w:noProof/>
        </w:rPr>
        <w:drawing>
          <wp:inline distT="0" distB="0" distL="0" distR="0" wp14:anchorId="483D03F3" wp14:editId="4463A969">
            <wp:extent cx="5760720" cy="3221355"/>
            <wp:effectExtent l="0" t="0" r="0" b="0"/>
            <wp:docPr id="32" name="Graf 32">
              <a:extLst xmlns:a="http://schemas.openxmlformats.org/drawingml/2006/main">
                <a:ext uri="{FF2B5EF4-FFF2-40B4-BE49-F238E27FC236}">
                  <a16:creationId xmlns:a16="http://schemas.microsoft.com/office/drawing/2014/main" id="{6D0FE87A-AE8A-E6AF-7DD7-7A4C24262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09D3B74" w14:textId="741AAFB4" w:rsidR="00735C9C" w:rsidRDefault="00735C9C" w:rsidP="00735C9C">
      <w:pPr>
        <w:spacing w:line="240" w:lineRule="auto"/>
        <w:rPr>
          <w:rFonts w:ascii="Century Gothic" w:hAnsi="Century Gothic"/>
          <w:i/>
          <w:sz w:val="18"/>
          <w:szCs w:val="18"/>
        </w:rPr>
      </w:pPr>
      <w:r w:rsidRPr="002968D3">
        <w:rPr>
          <w:rFonts w:ascii="Century Gothic" w:hAnsi="Century Gothic"/>
          <w:i/>
          <w:sz w:val="18"/>
          <w:szCs w:val="18"/>
        </w:rPr>
        <w:t xml:space="preserve">Zdroj: NCZI, </w:t>
      </w:r>
      <w:r w:rsidR="00D048F2">
        <w:rPr>
          <w:rFonts w:ascii="Century Gothic" w:hAnsi="Century Gothic"/>
          <w:i/>
          <w:sz w:val="18"/>
          <w:szCs w:val="18"/>
        </w:rPr>
        <w:t>vlastné</w:t>
      </w:r>
      <w:r w:rsidR="002519B1">
        <w:rPr>
          <w:rFonts w:ascii="Century Gothic" w:hAnsi="Century Gothic"/>
          <w:i/>
          <w:sz w:val="18"/>
          <w:szCs w:val="18"/>
        </w:rPr>
        <w:t xml:space="preserve"> spracovanie</w:t>
      </w:r>
      <w:r w:rsidR="00B227E6">
        <w:rPr>
          <w:rFonts w:ascii="Century Gothic" w:hAnsi="Century Gothic"/>
          <w:i/>
          <w:sz w:val="18"/>
          <w:szCs w:val="18"/>
        </w:rPr>
        <w:t>)</w:t>
      </w:r>
    </w:p>
    <w:p w14:paraId="43B81645" w14:textId="77777777" w:rsidR="003A0E6D" w:rsidRPr="002968D3" w:rsidRDefault="003A0E6D" w:rsidP="003A0E6D">
      <w:pPr>
        <w:spacing w:line="240" w:lineRule="auto"/>
        <w:rPr>
          <w:rFonts w:ascii="Century Gothic" w:hAnsi="Century Gothic"/>
          <w:sz w:val="22"/>
          <w:szCs w:val="22"/>
        </w:rPr>
      </w:pPr>
    </w:p>
    <w:p w14:paraId="083B2FCF" w14:textId="77777777" w:rsidR="003A0E6D" w:rsidRPr="002968D3" w:rsidRDefault="003A0E6D" w:rsidP="003A0E6D">
      <w:pPr>
        <w:spacing w:line="240" w:lineRule="auto"/>
        <w:rPr>
          <w:rFonts w:ascii="Century Gothic" w:hAnsi="Century Gothic"/>
          <w:sz w:val="22"/>
          <w:szCs w:val="22"/>
        </w:rPr>
      </w:pPr>
      <w:r w:rsidRPr="002968D3">
        <w:rPr>
          <w:rFonts w:ascii="Century Gothic" w:hAnsi="Century Gothic"/>
          <w:sz w:val="22"/>
          <w:szCs w:val="22"/>
        </w:rPr>
        <w:t xml:space="preserve">Ďalšie kapacitné a výkonové charakteristiky a vzťahy uvedieme pri analýze činnosti samotnej </w:t>
      </w:r>
      <w:proofErr w:type="spellStart"/>
      <w:r w:rsidRPr="002968D3">
        <w:rPr>
          <w:rFonts w:ascii="Century Gothic" w:hAnsi="Century Gothic"/>
          <w:sz w:val="22"/>
          <w:szCs w:val="22"/>
        </w:rPr>
        <w:t>FNsP</w:t>
      </w:r>
      <w:proofErr w:type="spellEnd"/>
      <w:r w:rsidRPr="002968D3">
        <w:rPr>
          <w:rFonts w:ascii="Century Gothic" w:hAnsi="Century Gothic"/>
          <w:sz w:val="22"/>
          <w:szCs w:val="22"/>
        </w:rPr>
        <w:t xml:space="preserve"> Žilina nižšie.</w:t>
      </w:r>
    </w:p>
    <w:p w14:paraId="73B23B80" w14:textId="77777777" w:rsidR="007B7154" w:rsidRPr="00282C86" w:rsidRDefault="007B7154" w:rsidP="007B7154">
      <w:pPr>
        <w:spacing w:line="240" w:lineRule="auto"/>
        <w:rPr>
          <w:rFonts w:ascii="Century Gothic" w:hAnsi="Century Gothic"/>
        </w:rPr>
      </w:pPr>
    </w:p>
    <w:p w14:paraId="17A19E74" w14:textId="77777777" w:rsidR="007B7154" w:rsidRPr="00C72254" w:rsidRDefault="007B7154" w:rsidP="00D66CEF">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65" w:name="_Toc145219949"/>
      <w:proofErr w:type="spellStart"/>
      <w:r w:rsidRPr="00C72254">
        <w:rPr>
          <w:rFonts w:ascii="Century Gothic" w:hAnsi="Century Gothic" w:cs="Calibri Light"/>
          <w:b w:val="0"/>
          <w:bCs w:val="0"/>
          <w:color w:val="365F91" w:themeColor="accent1" w:themeShade="BF"/>
          <w:lang w:eastAsia="en-US"/>
        </w:rPr>
        <w:t>FNsP</w:t>
      </w:r>
      <w:proofErr w:type="spellEnd"/>
      <w:r w:rsidRPr="00C72254">
        <w:rPr>
          <w:rFonts w:ascii="Century Gothic" w:hAnsi="Century Gothic" w:cs="Calibri Light"/>
          <w:b w:val="0"/>
          <w:bCs w:val="0"/>
          <w:color w:val="365F91" w:themeColor="accent1" w:themeShade="BF"/>
          <w:lang w:eastAsia="en-US"/>
        </w:rPr>
        <w:t xml:space="preserve"> Žilina v systéme zdravotnej starostlivosti</w:t>
      </w:r>
      <w:bookmarkEnd w:id="65"/>
      <w:r w:rsidRPr="00C72254">
        <w:rPr>
          <w:rFonts w:ascii="Century Gothic" w:hAnsi="Century Gothic" w:cs="Calibri Light"/>
          <w:b w:val="0"/>
          <w:bCs w:val="0"/>
          <w:color w:val="365F91" w:themeColor="accent1" w:themeShade="BF"/>
          <w:lang w:eastAsia="en-US"/>
        </w:rPr>
        <w:t xml:space="preserve"> </w:t>
      </w:r>
    </w:p>
    <w:p w14:paraId="2E4892D8" w14:textId="77777777" w:rsidR="007B7154" w:rsidRDefault="007B7154" w:rsidP="007B7154">
      <w:pPr>
        <w:spacing w:line="240" w:lineRule="auto"/>
        <w:rPr>
          <w:rFonts w:ascii="Century Gothic" w:hAnsi="Century Gothic"/>
        </w:rPr>
      </w:pPr>
    </w:p>
    <w:p w14:paraId="675AFCCE" w14:textId="77777777" w:rsidR="00712F85" w:rsidRPr="00FB6BF8" w:rsidRDefault="00712F85" w:rsidP="00712F85">
      <w:pPr>
        <w:spacing w:line="240" w:lineRule="auto"/>
        <w:rPr>
          <w:rFonts w:ascii="Century Gothic" w:hAnsi="Century Gothic"/>
          <w:sz w:val="22"/>
          <w:szCs w:val="22"/>
        </w:rPr>
      </w:pPr>
      <w:proofErr w:type="spellStart"/>
      <w:r w:rsidRPr="00FB6BF8">
        <w:rPr>
          <w:rFonts w:ascii="Century Gothic" w:hAnsi="Century Gothic"/>
          <w:sz w:val="22"/>
          <w:szCs w:val="22"/>
        </w:rPr>
        <w:t>FNsP</w:t>
      </w:r>
      <w:proofErr w:type="spellEnd"/>
      <w:r w:rsidRPr="00FB6BF8">
        <w:rPr>
          <w:rFonts w:ascii="Century Gothic" w:hAnsi="Century Gothic"/>
          <w:sz w:val="22"/>
          <w:szCs w:val="22"/>
        </w:rPr>
        <w:t xml:space="preserve"> Žilina pracuje ako všeobecná nemocnica s nadregionálnym zabezpečovaním liečebno-preventívnej starostlivosti. Bola zriadená zriaďovacou listinou MZ SR číslo 3724/1991–A/XIV–1 zo dňa 9.12.1991 s účinnosťou od 1.1.1992 ako štátna príspevková organizácia. Rozhodnutím MZ SR č. 15627–2/2006–SP došlo k zmene zriaďovacej listiny s účinnosťou od 15.5.2006, v ktorej predmetom činnosti </w:t>
      </w:r>
      <w:proofErr w:type="spellStart"/>
      <w:r w:rsidRPr="00FB6BF8">
        <w:rPr>
          <w:rFonts w:ascii="Century Gothic" w:hAnsi="Century Gothic"/>
          <w:sz w:val="22"/>
          <w:szCs w:val="22"/>
        </w:rPr>
        <w:t>FNsP</w:t>
      </w:r>
      <w:proofErr w:type="spellEnd"/>
      <w:r w:rsidRPr="00FB6BF8">
        <w:rPr>
          <w:rFonts w:ascii="Century Gothic" w:hAnsi="Century Gothic"/>
          <w:sz w:val="22"/>
          <w:szCs w:val="22"/>
        </w:rPr>
        <w:t xml:space="preserve"> je poskytovanie konkrétne špecifikovanej zdravotnej starostlivosti. </w:t>
      </w:r>
    </w:p>
    <w:p w14:paraId="28A15696" w14:textId="77777777" w:rsidR="00712F85" w:rsidRPr="00FB6BF8" w:rsidRDefault="00712F85" w:rsidP="00712F85">
      <w:pPr>
        <w:spacing w:line="240" w:lineRule="auto"/>
        <w:rPr>
          <w:rFonts w:ascii="Century Gothic" w:hAnsi="Century Gothic"/>
          <w:sz w:val="22"/>
          <w:szCs w:val="22"/>
        </w:rPr>
      </w:pPr>
    </w:p>
    <w:p w14:paraId="5083739C" w14:textId="6FA39EFA" w:rsidR="00712F85" w:rsidRPr="002968D3" w:rsidRDefault="00712F85" w:rsidP="00712F85">
      <w:pPr>
        <w:spacing w:line="240" w:lineRule="auto"/>
        <w:rPr>
          <w:rFonts w:ascii="Century Gothic" w:hAnsi="Century Gothic"/>
          <w:sz w:val="22"/>
          <w:szCs w:val="22"/>
        </w:rPr>
      </w:pPr>
      <w:r w:rsidRPr="002968D3">
        <w:rPr>
          <w:rFonts w:ascii="Century Gothic" w:hAnsi="Century Gothic"/>
          <w:sz w:val="22"/>
          <w:szCs w:val="22"/>
        </w:rPr>
        <w:t xml:space="preserve">Pre zabezpečenie ústavnej starostlivosti slúži posteľový fond s počtom lôžok 772 na 21 lôžkových oddeleniach. Vo </w:t>
      </w:r>
      <w:proofErr w:type="spellStart"/>
      <w:r w:rsidRPr="002968D3">
        <w:rPr>
          <w:rFonts w:ascii="Century Gothic" w:hAnsi="Century Gothic"/>
          <w:sz w:val="22"/>
          <w:szCs w:val="22"/>
        </w:rPr>
        <w:t>FNsP</w:t>
      </w:r>
      <w:proofErr w:type="spellEnd"/>
      <w:r w:rsidRPr="002968D3">
        <w:rPr>
          <w:rFonts w:ascii="Century Gothic" w:hAnsi="Century Gothic"/>
          <w:sz w:val="22"/>
          <w:szCs w:val="22"/>
        </w:rPr>
        <w:t xml:space="preserve"> </w:t>
      </w:r>
      <w:r w:rsidR="00A43F92">
        <w:rPr>
          <w:rFonts w:ascii="Century Gothic" w:hAnsi="Century Gothic"/>
          <w:sz w:val="22"/>
          <w:szCs w:val="22"/>
        </w:rPr>
        <w:t xml:space="preserve">Žilina </w:t>
      </w:r>
      <w:r w:rsidRPr="002968D3">
        <w:rPr>
          <w:rFonts w:ascii="Century Gothic" w:hAnsi="Century Gothic"/>
          <w:sz w:val="22"/>
          <w:szCs w:val="22"/>
        </w:rPr>
        <w:t xml:space="preserve">je zriadených 6 stacionárov, z toho: psychiatrický 25 miest, kožný 15 miest, ORL 5 miest, neurologický 15 miest, detský stacionár 10 miest, CPLDZ stacionár 15 miest a 7 </w:t>
      </w:r>
      <w:proofErr w:type="spellStart"/>
      <w:r w:rsidRPr="002968D3">
        <w:rPr>
          <w:rFonts w:ascii="Century Gothic" w:hAnsi="Century Gothic"/>
          <w:sz w:val="22"/>
          <w:szCs w:val="22"/>
        </w:rPr>
        <w:t>SVaLZ</w:t>
      </w:r>
      <w:proofErr w:type="spellEnd"/>
      <w:r w:rsidRPr="002968D3">
        <w:rPr>
          <w:rFonts w:ascii="Century Gothic" w:hAnsi="Century Gothic"/>
          <w:sz w:val="22"/>
          <w:szCs w:val="22"/>
        </w:rPr>
        <w:t>. Ambulantnú starostlivosť zabezpečuje 72 odborných ambulancií.</w:t>
      </w:r>
    </w:p>
    <w:p w14:paraId="5DF70D93" w14:textId="77777777" w:rsidR="00712F85" w:rsidRDefault="00712F85" w:rsidP="00712F85">
      <w:pPr>
        <w:spacing w:line="240" w:lineRule="auto"/>
        <w:rPr>
          <w:rFonts w:ascii="Century Gothic" w:hAnsi="Century Gothic" w:cs="Arial"/>
          <w:color w:val="3E3E3E"/>
          <w:sz w:val="22"/>
          <w:szCs w:val="22"/>
        </w:rPr>
      </w:pPr>
    </w:p>
    <w:p w14:paraId="69D09B70" w14:textId="77777777" w:rsidR="00712F85" w:rsidRDefault="00712F85" w:rsidP="00712F85">
      <w:pPr>
        <w:spacing w:line="240" w:lineRule="auto"/>
        <w:rPr>
          <w:rFonts w:ascii="Century Gothic" w:hAnsi="Century Gothic" w:cs="Arial"/>
          <w:sz w:val="22"/>
          <w:szCs w:val="22"/>
        </w:rPr>
      </w:pPr>
      <w:proofErr w:type="spellStart"/>
      <w:r w:rsidRPr="001B7885">
        <w:rPr>
          <w:rFonts w:ascii="Century Gothic" w:hAnsi="Century Gothic" w:cs="Arial"/>
          <w:sz w:val="22"/>
          <w:szCs w:val="22"/>
        </w:rPr>
        <w:t>FNsP</w:t>
      </w:r>
      <w:proofErr w:type="spellEnd"/>
      <w:r w:rsidRPr="001B7885">
        <w:rPr>
          <w:rFonts w:ascii="Century Gothic" w:hAnsi="Century Gothic" w:cs="Arial"/>
          <w:sz w:val="22"/>
          <w:szCs w:val="22"/>
        </w:rPr>
        <w:t xml:space="preserve"> Žilina </w:t>
      </w:r>
      <w:r>
        <w:rPr>
          <w:rFonts w:ascii="Century Gothic" w:hAnsi="Century Gothic" w:cs="Arial"/>
          <w:sz w:val="22"/>
          <w:szCs w:val="22"/>
        </w:rPr>
        <w:t>poskytuje</w:t>
      </w:r>
      <w:r w:rsidRPr="001B7885">
        <w:rPr>
          <w:rFonts w:ascii="Century Gothic" w:hAnsi="Century Gothic" w:cs="Arial"/>
          <w:sz w:val="22"/>
          <w:szCs w:val="22"/>
        </w:rPr>
        <w:t xml:space="preserve"> zdravotnú starostlivosť vo vybraných odbornostiach  okrem samotného okresu Žilina a Bytča aj pre ďalšie oblasti na  </w:t>
      </w:r>
      <w:proofErr w:type="spellStart"/>
      <w:r w:rsidRPr="001B7885">
        <w:rPr>
          <w:rFonts w:ascii="Century Gothic" w:hAnsi="Century Gothic" w:cs="Arial"/>
          <w:sz w:val="22"/>
          <w:szCs w:val="22"/>
        </w:rPr>
        <w:t>Kysuciach</w:t>
      </w:r>
      <w:proofErr w:type="spellEnd"/>
      <w:r w:rsidRPr="001B7885">
        <w:rPr>
          <w:rFonts w:ascii="Century Gothic" w:hAnsi="Century Gothic" w:cs="Arial"/>
          <w:sz w:val="22"/>
          <w:szCs w:val="22"/>
        </w:rPr>
        <w:t>, v okrese Považská Bystrica, Ilava  a aj pre niektoré časti  Oravy. Okres Kysucké Nové Mesto patrí do spádovej oblasti Čadca,  ale dojazd do  nemocnice v Žiline je 9 km, z toho</w:t>
      </w:r>
      <w:r>
        <w:rPr>
          <w:rFonts w:ascii="Century Gothic" w:hAnsi="Century Gothic" w:cs="Arial"/>
          <w:sz w:val="22"/>
          <w:szCs w:val="22"/>
        </w:rPr>
        <w:t>to</w:t>
      </w:r>
      <w:r w:rsidRPr="001B7885">
        <w:rPr>
          <w:rFonts w:ascii="Century Gothic" w:hAnsi="Century Gothic" w:cs="Arial"/>
          <w:sz w:val="22"/>
          <w:szCs w:val="22"/>
        </w:rPr>
        <w:t xml:space="preserve"> dôvodu pacientov vozia do Žiliny</w:t>
      </w:r>
      <w:r>
        <w:rPr>
          <w:rFonts w:ascii="Century Gothic" w:hAnsi="Century Gothic" w:cs="Arial"/>
          <w:sz w:val="22"/>
          <w:szCs w:val="22"/>
        </w:rPr>
        <w:t xml:space="preserve"> aj posádky RZP/RLP ako sme dokumentovali vyššie</w:t>
      </w:r>
      <w:r w:rsidRPr="001B7885">
        <w:rPr>
          <w:rFonts w:ascii="Century Gothic" w:hAnsi="Century Gothic" w:cs="Arial"/>
          <w:sz w:val="22"/>
          <w:szCs w:val="22"/>
        </w:rPr>
        <w:t xml:space="preserve">.  Dôležité je zdôrazniť, že v Kysuckom Novom Meste nie je k dispozícii detská LSPP a všetky deti z tohto regiónu sú ošetrované vo </w:t>
      </w:r>
      <w:proofErr w:type="spellStart"/>
      <w:r w:rsidRPr="001B7885">
        <w:rPr>
          <w:rFonts w:ascii="Century Gothic" w:hAnsi="Century Gothic" w:cs="Arial"/>
          <w:sz w:val="22"/>
          <w:szCs w:val="22"/>
        </w:rPr>
        <w:t>FNsP</w:t>
      </w:r>
      <w:proofErr w:type="spellEnd"/>
      <w:r w:rsidRPr="001B7885">
        <w:rPr>
          <w:rFonts w:ascii="Century Gothic" w:hAnsi="Century Gothic" w:cs="Arial"/>
          <w:sz w:val="22"/>
          <w:szCs w:val="22"/>
        </w:rPr>
        <w:t xml:space="preserve"> Žilina</w:t>
      </w:r>
      <w:r>
        <w:rPr>
          <w:rFonts w:ascii="Century Gothic" w:hAnsi="Century Gothic" w:cs="Arial"/>
          <w:sz w:val="22"/>
          <w:szCs w:val="22"/>
        </w:rPr>
        <w:t>.</w:t>
      </w:r>
    </w:p>
    <w:p w14:paraId="02E80C21" w14:textId="77777777" w:rsidR="00712F85" w:rsidRDefault="00712F85" w:rsidP="00712F85">
      <w:pPr>
        <w:spacing w:line="240" w:lineRule="auto"/>
        <w:rPr>
          <w:rFonts w:ascii="Century Gothic" w:hAnsi="Century Gothic" w:cs="Arial"/>
          <w:sz w:val="22"/>
          <w:szCs w:val="22"/>
        </w:rPr>
      </w:pPr>
    </w:p>
    <w:p w14:paraId="1B260BCF" w14:textId="5D3F8B67" w:rsidR="00712F85" w:rsidRDefault="00712F85" w:rsidP="00712F85">
      <w:pPr>
        <w:spacing w:line="240" w:lineRule="auto"/>
        <w:rPr>
          <w:rFonts w:ascii="Century Gothic" w:hAnsi="Century Gothic" w:cs="Arial"/>
          <w:sz w:val="22"/>
          <w:szCs w:val="22"/>
        </w:rPr>
      </w:pPr>
      <w:r>
        <w:rPr>
          <w:rFonts w:ascii="Century Gothic" w:hAnsi="Century Gothic" w:cs="Arial"/>
          <w:sz w:val="22"/>
          <w:szCs w:val="22"/>
        </w:rPr>
        <w:t>Nemocnica poskytuje ambulantnú starostlivosť v 29 špecializačných odboroch. Špecializované ambulancie navštívi cca</w:t>
      </w:r>
      <w:r w:rsidR="009852FF">
        <w:rPr>
          <w:rFonts w:ascii="Century Gothic" w:hAnsi="Century Gothic" w:cs="Arial"/>
          <w:sz w:val="22"/>
          <w:szCs w:val="22"/>
        </w:rPr>
        <w:t>.</w:t>
      </w:r>
      <w:r>
        <w:rPr>
          <w:rFonts w:ascii="Century Gothic" w:hAnsi="Century Gothic" w:cs="Arial"/>
          <w:sz w:val="22"/>
          <w:szCs w:val="22"/>
        </w:rPr>
        <w:t xml:space="preserve"> 250 – 300 tisíc pacientov ročne. </w:t>
      </w:r>
    </w:p>
    <w:p w14:paraId="127EBA3A" w14:textId="0FE25278" w:rsidR="00712F85" w:rsidRDefault="00712F85" w:rsidP="00712F85">
      <w:pPr>
        <w:spacing w:line="240" w:lineRule="auto"/>
        <w:rPr>
          <w:rFonts w:ascii="Century Gothic" w:hAnsi="Century Gothic" w:cs="Arial"/>
          <w:sz w:val="22"/>
          <w:szCs w:val="22"/>
        </w:rPr>
      </w:pPr>
      <w:r>
        <w:rPr>
          <w:rFonts w:ascii="Century Gothic" w:hAnsi="Century Gothic" w:cs="Arial"/>
          <w:sz w:val="22"/>
          <w:szCs w:val="22"/>
        </w:rPr>
        <w:lastRenderedPageBreak/>
        <w:t xml:space="preserve">Nemocnica poskytuje pomocné laboratórne a zobrazovacie vyšetrenia v odboroch hematológia, </w:t>
      </w:r>
      <w:proofErr w:type="spellStart"/>
      <w:r>
        <w:rPr>
          <w:rFonts w:ascii="Century Gothic" w:hAnsi="Century Gothic" w:cs="Arial"/>
          <w:sz w:val="22"/>
          <w:szCs w:val="22"/>
        </w:rPr>
        <w:t>histopatológia</w:t>
      </w:r>
      <w:proofErr w:type="spellEnd"/>
      <w:r>
        <w:rPr>
          <w:rFonts w:ascii="Century Gothic" w:hAnsi="Century Gothic" w:cs="Arial"/>
          <w:sz w:val="22"/>
          <w:szCs w:val="22"/>
        </w:rPr>
        <w:t xml:space="preserve">, genetika a zobrazovacích vyšetreniach. Nemocnica nemá vlastné biochemické laboratórium ako následok nezmyselnej privatizácie tejto činnosti v prospech spol. </w:t>
      </w:r>
      <w:r w:rsidR="009852FF">
        <w:rPr>
          <w:rFonts w:ascii="Century Gothic" w:hAnsi="Century Gothic" w:cs="Arial"/>
          <w:sz w:val="22"/>
          <w:szCs w:val="22"/>
        </w:rPr>
        <w:t xml:space="preserve">KLINICKÁ BIOCHÉMIA </w:t>
      </w:r>
      <w:proofErr w:type="spellStart"/>
      <w:r>
        <w:rPr>
          <w:rFonts w:ascii="Century Gothic" w:hAnsi="Century Gothic" w:cs="Arial"/>
          <w:sz w:val="22"/>
          <w:szCs w:val="22"/>
        </w:rPr>
        <w:t>s</w:t>
      </w:r>
      <w:r w:rsidR="009852FF">
        <w:rPr>
          <w:rFonts w:ascii="Century Gothic" w:hAnsi="Century Gothic" w:cs="Arial"/>
          <w:sz w:val="22"/>
          <w:szCs w:val="22"/>
        </w:rPr>
        <w:t>.</w:t>
      </w:r>
      <w:r>
        <w:rPr>
          <w:rFonts w:ascii="Century Gothic" w:hAnsi="Century Gothic" w:cs="Arial"/>
          <w:sz w:val="22"/>
          <w:szCs w:val="22"/>
        </w:rPr>
        <w:t>r</w:t>
      </w:r>
      <w:r w:rsidR="009852FF">
        <w:rPr>
          <w:rFonts w:ascii="Century Gothic" w:hAnsi="Century Gothic" w:cs="Arial"/>
          <w:sz w:val="22"/>
          <w:szCs w:val="22"/>
        </w:rPr>
        <w:t>.</w:t>
      </w:r>
      <w:r>
        <w:rPr>
          <w:rFonts w:ascii="Century Gothic" w:hAnsi="Century Gothic" w:cs="Arial"/>
          <w:sz w:val="22"/>
          <w:szCs w:val="22"/>
        </w:rPr>
        <w:t>o</w:t>
      </w:r>
      <w:proofErr w:type="spellEnd"/>
      <w:r w:rsidR="009852FF">
        <w:rPr>
          <w:rFonts w:ascii="Century Gothic" w:hAnsi="Century Gothic" w:cs="Arial"/>
          <w:sz w:val="22"/>
          <w:szCs w:val="22"/>
        </w:rPr>
        <w:t>.</w:t>
      </w:r>
      <w:r>
        <w:rPr>
          <w:rFonts w:ascii="Century Gothic" w:hAnsi="Century Gothic" w:cs="Arial"/>
          <w:sz w:val="22"/>
          <w:szCs w:val="22"/>
        </w:rPr>
        <w:t>, ktorej služby nemocnica využíva.</w:t>
      </w:r>
    </w:p>
    <w:p w14:paraId="22BAEF35" w14:textId="77777777" w:rsidR="00712F85" w:rsidRDefault="00712F85" w:rsidP="00712F85">
      <w:pPr>
        <w:spacing w:line="240" w:lineRule="auto"/>
        <w:rPr>
          <w:rFonts w:ascii="Century Gothic" w:hAnsi="Century Gothic" w:cs="Arial"/>
          <w:sz w:val="22"/>
          <w:szCs w:val="22"/>
        </w:rPr>
      </w:pPr>
    </w:p>
    <w:p w14:paraId="78777734" w14:textId="6500E59F" w:rsidR="00712F85" w:rsidRDefault="00712F85" w:rsidP="00712F85">
      <w:pPr>
        <w:spacing w:line="240" w:lineRule="auto"/>
        <w:rPr>
          <w:rFonts w:ascii="Century Gothic" w:hAnsi="Century Gothic" w:cs="Arial"/>
          <w:sz w:val="22"/>
          <w:szCs w:val="22"/>
        </w:rPr>
      </w:pPr>
      <w:r>
        <w:rPr>
          <w:rFonts w:ascii="Century Gothic" w:hAnsi="Century Gothic" w:cs="Arial"/>
          <w:sz w:val="22"/>
          <w:szCs w:val="22"/>
        </w:rPr>
        <w:t>Nemocnica poskytuje ústavnú zdravotnú starostlivosť v 25 špecializačných odboroch v rámci areálu a prevádzkuje centrum pre liečbu drogových závislostí v Po</w:t>
      </w:r>
      <w:r w:rsidR="009852FF">
        <w:rPr>
          <w:rFonts w:ascii="Century Gothic" w:hAnsi="Century Gothic" w:cs="Arial"/>
          <w:sz w:val="22"/>
          <w:szCs w:val="22"/>
        </w:rPr>
        <w:t>važskom Chlmci. V roku 2011 boli</w:t>
      </w:r>
      <w:r>
        <w:rPr>
          <w:rFonts w:ascii="Century Gothic" w:hAnsi="Century Gothic" w:cs="Arial"/>
          <w:sz w:val="22"/>
          <w:szCs w:val="22"/>
        </w:rPr>
        <w:t xml:space="preserve"> rozhodnutím MZ SR zrušené samostatné oddelenia </w:t>
      </w:r>
      <w:proofErr w:type="spellStart"/>
      <w:r>
        <w:rPr>
          <w:rFonts w:ascii="Century Gothic" w:hAnsi="Century Gothic" w:cs="Arial"/>
          <w:sz w:val="22"/>
          <w:szCs w:val="22"/>
        </w:rPr>
        <w:t>infektológie</w:t>
      </w:r>
      <w:proofErr w:type="spellEnd"/>
      <w:r>
        <w:rPr>
          <w:rFonts w:ascii="Century Gothic" w:hAnsi="Century Gothic" w:cs="Arial"/>
          <w:sz w:val="22"/>
          <w:szCs w:val="22"/>
        </w:rPr>
        <w:t xml:space="preserve">, dermatológie, </w:t>
      </w:r>
      <w:proofErr w:type="spellStart"/>
      <w:r>
        <w:rPr>
          <w:rFonts w:ascii="Century Gothic" w:hAnsi="Century Gothic" w:cs="Arial"/>
          <w:sz w:val="22"/>
          <w:szCs w:val="22"/>
        </w:rPr>
        <w:t>penumológie</w:t>
      </w:r>
      <w:proofErr w:type="spellEnd"/>
      <w:r>
        <w:rPr>
          <w:rFonts w:ascii="Century Gothic" w:hAnsi="Century Gothic" w:cs="Arial"/>
          <w:sz w:val="22"/>
          <w:szCs w:val="22"/>
        </w:rPr>
        <w:t xml:space="preserve"> a </w:t>
      </w:r>
      <w:proofErr w:type="spellStart"/>
      <w:r>
        <w:rPr>
          <w:rFonts w:ascii="Century Gothic" w:hAnsi="Century Gothic" w:cs="Arial"/>
          <w:sz w:val="22"/>
          <w:szCs w:val="22"/>
        </w:rPr>
        <w:t>ftizeológie</w:t>
      </w:r>
      <w:proofErr w:type="spellEnd"/>
      <w:r>
        <w:rPr>
          <w:rFonts w:ascii="Century Gothic" w:hAnsi="Century Gothic" w:cs="Arial"/>
          <w:sz w:val="22"/>
          <w:szCs w:val="22"/>
        </w:rPr>
        <w:t xml:space="preserve">, cievnej chirurgie a samostatné oddelenie </w:t>
      </w:r>
      <w:proofErr w:type="spellStart"/>
      <w:r>
        <w:rPr>
          <w:rFonts w:ascii="Century Gothic" w:hAnsi="Century Gothic" w:cs="Arial"/>
          <w:sz w:val="22"/>
          <w:szCs w:val="22"/>
        </w:rPr>
        <w:t>arytmológie</w:t>
      </w:r>
      <w:proofErr w:type="spellEnd"/>
      <w:r>
        <w:rPr>
          <w:rFonts w:ascii="Century Gothic" w:hAnsi="Century Gothic" w:cs="Arial"/>
          <w:sz w:val="22"/>
          <w:szCs w:val="22"/>
        </w:rPr>
        <w:t xml:space="preserve"> a koronárnej jednotky. Tieto špecializačné odbory neboli v rámci ŽSK ničím nahradené. Niektorých pacientov nemocnica stratila, iní sú tu ďalej liečení na príbuzných lôžkach.</w:t>
      </w:r>
    </w:p>
    <w:p w14:paraId="090F1967" w14:textId="77777777" w:rsidR="007B7154" w:rsidRDefault="007B7154" w:rsidP="007B7154">
      <w:pPr>
        <w:spacing w:line="240" w:lineRule="auto"/>
        <w:rPr>
          <w:rFonts w:ascii="Century Gothic" w:hAnsi="Century Gothic"/>
        </w:rPr>
      </w:pPr>
    </w:p>
    <w:p w14:paraId="135C0CA4" w14:textId="6302CE50" w:rsidR="00C839CF" w:rsidRDefault="00C839CF" w:rsidP="00C839CF">
      <w:pPr>
        <w:spacing w:line="240" w:lineRule="auto"/>
        <w:rPr>
          <w:rFonts w:ascii="Century Gothic" w:hAnsi="Century Gothic" w:cstheme="minorHAnsi"/>
          <w:sz w:val="22"/>
          <w:szCs w:val="22"/>
        </w:rPr>
      </w:pPr>
      <w:r>
        <w:rPr>
          <w:rFonts w:ascii="Century Gothic" w:hAnsi="Century Gothic" w:cstheme="minorHAnsi"/>
          <w:sz w:val="22"/>
          <w:szCs w:val="22"/>
        </w:rPr>
        <w:t xml:space="preserve">Dôležitým pohľadom na výkon nemocnice je vývoj v čase. Ide o zásadný pohľad potrebný na plánovanie budúcich a moderáciu súčasných kapacít. Rok 2020 a 2021 sú ako </w:t>
      </w:r>
      <w:r w:rsidR="009852FF">
        <w:rPr>
          <w:rFonts w:ascii="Century Gothic" w:hAnsi="Century Gothic" w:cstheme="minorHAnsi"/>
          <w:sz w:val="22"/>
          <w:szCs w:val="22"/>
        </w:rPr>
        <w:t>COVID</w:t>
      </w:r>
      <w:r>
        <w:rPr>
          <w:rFonts w:ascii="Century Gothic" w:hAnsi="Century Gothic" w:cstheme="minorHAnsi"/>
          <w:sz w:val="22"/>
          <w:szCs w:val="22"/>
        </w:rPr>
        <w:t>-</w:t>
      </w:r>
      <w:proofErr w:type="spellStart"/>
      <w:r>
        <w:rPr>
          <w:rFonts w:ascii="Century Gothic" w:hAnsi="Century Gothic" w:cstheme="minorHAnsi"/>
          <w:sz w:val="22"/>
          <w:szCs w:val="22"/>
        </w:rPr>
        <w:t>ové</w:t>
      </w:r>
      <w:proofErr w:type="spellEnd"/>
      <w:r>
        <w:rPr>
          <w:rFonts w:ascii="Century Gothic" w:hAnsi="Century Gothic" w:cstheme="minorHAnsi"/>
          <w:sz w:val="22"/>
          <w:szCs w:val="22"/>
        </w:rPr>
        <w:t xml:space="preserve"> roky výkonovo nižšie.</w:t>
      </w:r>
    </w:p>
    <w:p w14:paraId="3BD1B533" w14:textId="160DF316" w:rsidR="00943E84" w:rsidRDefault="00943E84" w:rsidP="00943E84">
      <w:pPr>
        <w:spacing w:line="240" w:lineRule="auto"/>
        <w:rPr>
          <w:rFonts w:ascii="Century Gothic" w:hAnsi="Century Gothic" w:cstheme="minorHAnsi"/>
          <w:sz w:val="22"/>
          <w:szCs w:val="22"/>
        </w:rPr>
      </w:pPr>
    </w:p>
    <w:p w14:paraId="4FF482B5" w14:textId="37531758"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Po zhodnotení údajov za posledných 10</w:t>
      </w:r>
      <w:r w:rsidR="006A43FD">
        <w:rPr>
          <w:rFonts w:ascii="Century Gothic" w:hAnsi="Century Gothic" w:cstheme="minorHAnsi"/>
          <w:sz w:val="22"/>
          <w:szCs w:val="22"/>
        </w:rPr>
        <w:t>, resp. 12</w:t>
      </w:r>
      <w:r>
        <w:rPr>
          <w:rFonts w:ascii="Century Gothic" w:hAnsi="Century Gothic" w:cstheme="minorHAnsi"/>
          <w:sz w:val="22"/>
          <w:szCs w:val="22"/>
        </w:rPr>
        <w:t xml:space="preserve"> rokov možno pozorovať nasledovné tendencie:</w:t>
      </w:r>
    </w:p>
    <w:p w14:paraId="724743A0" w14:textId="77777777" w:rsidR="00943E84" w:rsidRDefault="00943E84" w:rsidP="00943E84">
      <w:pPr>
        <w:spacing w:line="240" w:lineRule="auto"/>
        <w:rPr>
          <w:rFonts w:ascii="Century Gothic" w:hAnsi="Century Gothic" w:cstheme="minorHAnsi"/>
          <w:sz w:val="22"/>
          <w:szCs w:val="22"/>
        </w:rPr>
      </w:pPr>
    </w:p>
    <w:p w14:paraId="32FA4437" w14:textId="77777777" w:rsidR="00943E84" w:rsidRPr="00943E84" w:rsidRDefault="00943E84" w:rsidP="007F681B">
      <w:pPr>
        <w:pStyle w:val="Odsekzoznamu"/>
        <w:numPr>
          <w:ilvl w:val="0"/>
          <w:numId w:val="47"/>
        </w:numPr>
        <w:spacing w:line="240" w:lineRule="auto"/>
        <w:rPr>
          <w:rFonts w:ascii="Century Gothic" w:hAnsi="Century Gothic" w:cstheme="minorHAnsi"/>
          <w:b/>
          <w:sz w:val="22"/>
          <w:szCs w:val="22"/>
        </w:rPr>
      </w:pPr>
      <w:r w:rsidRPr="00943E84">
        <w:rPr>
          <w:rFonts w:ascii="Century Gothic" w:hAnsi="Century Gothic" w:cstheme="minorHAnsi"/>
          <w:b/>
          <w:sz w:val="22"/>
          <w:szCs w:val="22"/>
        </w:rPr>
        <w:t>Ambulantná sféra</w:t>
      </w:r>
    </w:p>
    <w:p w14:paraId="4617CBD2" w14:textId="49CD870A"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 xml:space="preserve">Medzi rokmi 2010 a 2019 môžeme pozorovať kontinuálny nárast návštev v ambulantnej starostlivosti, pričom nárast bol priebežne okolo 1-2 % medziročne. Celkový nárast za uvedených </w:t>
      </w:r>
      <w:r w:rsidR="00DF0C2D">
        <w:rPr>
          <w:rFonts w:ascii="Century Gothic" w:hAnsi="Century Gothic" w:cstheme="minorHAnsi"/>
          <w:sz w:val="22"/>
          <w:szCs w:val="22"/>
        </w:rPr>
        <w:t>12</w:t>
      </w:r>
      <w:r>
        <w:rPr>
          <w:rFonts w:ascii="Century Gothic" w:hAnsi="Century Gothic" w:cstheme="minorHAnsi"/>
          <w:sz w:val="22"/>
          <w:szCs w:val="22"/>
        </w:rPr>
        <w:t xml:space="preserve"> rokov je </w:t>
      </w:r>
      <w:r w:rsidR="00DF0C2D">
        <w:rPr>
          <w:rFonts w:ascii="Century Gothic" w:hAnsi="Century Gothic" w:cstheme="minorHAnsi"/>
          <w:sz w:val="22"/>
          <w:szCs w:val="22"/>
        </w:rPr>
        <w:t>35,75</w:t>
      </w:r>
      <w:r>
        <w:rPr>
          <w:rFonts w:ascii="Century Gothic" w:hAnsi="Century Gothic" w:cstheme="minorHAnsi"/>
          <w:sz w:val="22"/>
          <w:szCs w:val="22"/>
        </w:rPr>
        <w:t xml:space="preserve"> %. </w:t>
      </w:r>
      <w:r w:rsidR="00DF0C2D">
        <w:rPr>
          <w:rFonts w:ascii="Century Gothic" w:hAnsi="Century Gothic" w:cstheme="minorHAnsi"/>
          <w:sz w:val="22"/>
          <w:szCs w:val="22"/>
        </w:rPr>
        <w:t>Výkyv v rokoch 2020 a 2021 možno interpretovať</w:t>
      </w:r>
      <w:r w:rsidR="009852FF">
        <w:rPr>
          <w:rFonts w:ascii="Century Gothic" w:hAnsi="Century Gothic" w:cstheme="minorHAnsi"/>
          <w:sz w:val="22"/>
          <w:szCs w:val="22"/>
        </w:rPr>
        <w:t xml:space="preserve"> ako absenciu služieb pre COVID</w:t>
      </w:r>
      <w:r w:rsidR="00DF0C2D">
        <w:rPr>
          <w:rFonts w:ascii="Century Gothic" w:hAnsi="Century Gothic" w:cstheme="minorHAnsi"/>
          <w:sz w:val="22"/>
          <w:szCs w:val="22"/>
        </w:rPr>
        <w:t xml:space="preserve"> a jej následnú kompenzáciu. </w:t>
      </w:r>
    </w:p>
    <w:p w14:paraId="2B0440CB" w14:textId="2B515BC8" w:rsidR="009E2327" w:rsidRDefault="009E2327" w:rsidP="00943E84">
      <w:pPr>
        <w:spacing w:line="240" w:lineRule="auto"/>
        <w:rPr>
          <w:rFonts w:ascii="Century Gothic" w:hAnsi="Century Gothic" w:cstheme="minorHAnsi"/>
          <w:sz w:val="22"/>
          <w:szCs w:val="22"/>
        </w:rPr>
      </w:pPr>
    </w:p>
    <w:p w14:paraId="47F1CFCD" w14:textId="267ACF45" w:rsidR="009E2327" w:rsidRPr="00A664BB" w:rsidRDefault="00A664BB" w:rsidP="00A664BB">
      <w:pPr>
        <w:keepNext/>
        <w:spacing w:line="240" w:lineRule="auto"/>
        <w:jc w:val="left"/>
        <w:rPr>
          <w:rFonts w:ascii="Century Gothic" w:hAnsi="Century Gothic" w:cs="Arial"/>
          <w:i/>
          <w:sz w:val="20"/>
          <w:szCs w:val="20"/>
        </w:rPr>
      </w:pPr>
      <w:bookmarkStart w:id="66" w:name="_Toc145219874"/>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3</w:t>
      </w:r>
      <w:r w:rsidRPr="00A664BB">
        <w:rPr>
          <w:rFonts w:ascii="Century Gothic" w:hAnsi="Century Gothic" w:cs="Arial"/>
          <w:i/>
          <w:sz w:val="20"/>
          <w:szCs w:val="20"/>
        </w:rPr>
        <w:fldChar w:fldCharType="end"/>
      </w:r>
      <w:r w:rsidR="009E2327" w:rsidRPr="00A664BB">
        <w:rPr>
          <w:rFonts w:ascii="Century Gothic" w:hAnsi="Century Gothic" w:cs="Arial"/>
          <w:i/>
          <w:sz w:val="20"/>
          <w:szCs w:val="20"/>
        </w:rPr>
        <w:t xml:space="preserve"> Počet návštev v ambulanciách celkom</w:t>
      </w:r>
      <w:bookmarkEnd w:id="66"/>
    </w:p>
    <w:p w14:paraId="19F308F7" w14:textId="65206339" w:rsidR="00943E84" w:rsidRDefault="00DF0C2D" w:rsidP="00906409">
      <w:pPr>
        <w:spacing w:line="240" w:lineRule="auto"/>
        <w:jc w:val="center"/>
        <w:rPr>
          <w:rFonts w:ascii="Century Gothic" w:hAnsi="Century Gothic" w:cstheme="minorHAnsi"/>
          <w:sz w:val="22"/>
          <w:szCs w:val="22"/>
        </w:rPr>
      </w:pPr>
      <w:r>
        <w:rPr>
          <w:noProof/>
        </w:rPr>
        <w:drawing>
          <wp:inline distT="0" distB="0" distL="0" distR="0" wp14:anchorId="268B7FD0" wp14:editId="1A7C3C9A">
            <wp:extent cx="4572000" cy="2743200"/>
            <wp:effectExtent l="0" t="0" r="0" b="0"/>
            <wp:docPr id="20" name="Graf 20">
              <a:extLst xmlns:a="http://schemas.openxmlformats.org/drawingml/2006/main">
                <a:ext uri="{FF2B5EF4-FFF2-40B4-BE49-F238E27FC236}">
                  <a16:creationId xmlns:a16="http://schemas.microsoft.com/office/drawing/2014/main" id="{A5A7C93E-625E-7854-C391-35B7E69CE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9AC73DF" w14:textId="77777777" w:rsidR="00B54781" w:rsidRDefault="00B54781" w:rsidP="00B54781">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40A214EE" w14:textId="77777777" w:rsidR="009E2327" w:rsidRDefault="009E2327" w:rsidP="00943E84">
      <w:pPr>
        <w:spacing w:line="240" w:lineRule="auto"/>
        <w:rPr>
          <w:rFonts w:ascii="Century Gothic" w:hAnsi="Century Gothic" w:cstheme="minorHAnsi"/>
          <w:sz w:val="22"/>
          <w:szCs w:val="22"/>
        </w:rPr>
      </w:pPr>
    </w:p>
    <w:p w14:paraId="21F646B4" w14:textId="760E093A" w:rsidR="00943E84" w:rsidRDefault="00943E84" w:rsidP="007F681B">
      <w:pPr>
        <w:pStyle w:val="Odsekzoznamu"/>
        <w:numPr>
          <w:ilvl w:val="0"/>
          <w:numId w:val="49"/>
        </w:numPr>
        <w:spacing w:line="240" w:lineRule="auto"/>
        <w:rPr>
          <w:rFonts w:ascii="Century Gothic" w:hAnsi="Century Gothic" w:cstheme="minorHAnsi"/>
          <w:sz w:val="22"/>
          <w:szCs w:val="22"/>
        </w:rPr>
      </w:pPr>
      <w:r w:rsidRPr="007476C5">
        <w:rPr>
          <w:rFonts w:ascii="Century Gothic" w:hAnsi="Century Gothic" w:cstheme="minorHAnsi"/>
          <w:sz w:val="22"/>
          <w:szCs w:val="22"/>
        </w:rPr>
        <w:t>Bežná starostlivosť</w:t>
      </w:r>
    </w:p>
    <w:p w14:paraId="1384E8F0" w14:textId="77777777" w:rsidR="00943E84" w:rsidRPr="007476C5" w:rsidRDefault="00943E84" w:rsidP="00943E84">
      <w:pPr>
        <w:pStyle w:val="Odsekzoznamu"/>
        <w:spacing w:line="240" w:lineRule="auto"/>
        <w:ind w:left="1068"/>
        <w:rPr>
          <w:rFonts w:ascii="Century Gothic" w:hAnsi="Century Gothic" w:cstheme="minorHAnsi"/>
          <w:sz w:val="22"/>
          <w:szCs w:val="22"/>
        </w:rPr>
      </w:pPr>
    </w:p>
    <w:p w14:paraId="00033326" w14:textId="2C33323C"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 xml:space="preserve">V bežnej starostlivosti (počas pracovnej doby) je možné pozorovať trend </w:t>
      </w:r>
      <w:r w:rsidR="00B10220">
        <w:rPr>
          <w:rFonts w:ascii="Century Gothic" w:hAnsi="Century Gothic" w:cstheme="minorHAnsi"/>
          <w:sz w:val="22"/>
          <w:szCs w:val="22"/>
        </w:rPr>
        <w:t>výrazného zaťaženia</w:t>
      </w:r>
      <w:r>
        <w:rPr>
          <w:rFonts w:ascii="Century Gothic" w:hAnsi="Century Gothic" w:cstheme="minorHAnsi"/>
          <w:sz w:val="22"/>
          <w:szCs w:val="22"/>
        </w:rPr>
        <w:t xml:space="preserve"> niektorých odborných ambulancií. Ide najmä o chirurgické odbory ako aj odbory súvisiace s onkologickou liečbou a </w:t>
      </w:r>
      <w:r w:rsidR="001E714D">
        <w:rPr>
          <w:rFonts w:ascii="Century Gothic" w:hAnsi="Century Gothic" w:cstheme="minorHAnsi"/>
          <w:sz w:val="22"/>
          <w:szCs w:val="22"/>
        </w:rPr>
        <w:t>psychiatriu</w:t>
      </w:r>
      <w:r>
        <w:rPr>
          <w:rFonts w:ascii="Century Gothic" w:hAnsi="Century Gothic" w:cstheme="minorHAnsi"/>
          <w:sz w:val="22"/>
          <w:szCs w:val="22"/>
        </w:rPr>
        <w:t>. V týchto exponovaných odboroch sú medziročné nárasty pacientov 2,5 – 6,7 %. Celkom ide o nárast medzi 2010 a 20</w:t>
      </w:r>
      <w:r w:rsidR="003D00E5">
        <w:rPr>
          <w:rFonts w:ascii="Century Gothic" w:hAnsi="Century Gothic" w:cstheme="minorHAnsi"/>
          <w:sz w:val="22"/>
          <w:szCs w:val="22"/>
        </w:rPr>
        <w:t>22</w:t>
      </w:r>
      <w:r>
        <w:rPr>
          <w:rFonts w:ascii="Century Gothic" w:hAnsi="Century Gothic" w:cstheme="minorHAnsi"/>
          <w:sz w:val="22"/>
          <w:szCs w:val="22"/>
        </w:rPr>
        <w:t xml:space="preserve"> o 67 %.</w:t>
      </w:r>
    </w:p>
    <w:p w14:paraId="15CDDE6C" w14:textId="431AE4F0"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lastRenderedPageBreak/>
        <w:t>Nárast výkonov vysvetľujeme zhoršením situácie v ambulantnej sfére mimo nemocnicu, zvýšeným záujmom pacientov o</w:t>
      </w:r>
      <w:r w:rsidR="009852FF">
        <w:rPr>
          <w:rFonts w:ascii="Century Gothic" w:hAnsi="Century Gothic" w:cstheme="minorHAnsi"/>
          <w:sz w:val="22"/>
          <w:szCs w:val="22"/>
        </w:rPr>
        <w:t> </w:t>
      </w:r>
      <w:r>
        <w:rPr>
          <w:rFonts w:ascii="Century Gothic" w:hAnsi="Century Gothic" w:cstheme="minorHAnsi"/>
          <w:sz w:val="22"/>
          <w:szCs w:val="22"/>
        </w:rPr>
        <w:t>služby</w:t>
      </w:r>
      <w:r w:rsidR="009852FF">
        <w:rPr>
          <w:rFonts w:ascii="Century Gothic" w:hAnsi="Century Gothic" w:cstheme="minorHAnsi"/>
          <w:sz w:val="22"/>
          <w:szCs w:val="22"/>
        </w:rPr>
        <w:t xml:space="preserve"> </w:t>
      </w:r>
      <w:proofErr w:type="spellStart"/>
      <w:r w:rsidR="009852FF">
        <w:rPr>
          <w:rFonts w:ascii="Century Gothic" w:hAnsi="Century Gothic" w:cstheme="minorHAnsi"/>
          <w:sz w:val="22"/>
          <w:szCs w:val="22"/>
        </w:rPr>
        <w:t>FNsP</w:t>
      </w:r>
      <w:proofErr w:type="spellEnd"/>
      <w:r w:rsidR="009852FF">
        <w:rPr>
          <w:rFonts w:ascii="Century Gothic" w:hAnsi="Century Gothic" w:cstheme="minorHAnsi"/>
          <w:sz w:val="22"/>
          <w:szCs w:val="22"/>
        </w:rPr>
        <w:t xml:space="preserve"> Žilina</w:t>
      </w:r>
      <w:r>
        <w:rPr>
          <w:rFonts w:ascii="Century Gothic" w:hAnsi="Century Gothic" w:cstheme="minorHAnsi"/>
          <w:sz w:val="22"/>
          <w:szCs w:val="22"/>
        </w:rPr>
        <w:t>, investíciami do oblasti onkologickej diagnostiky a liečby, najmä v ambulantnej onkológii ako aj v neposlednom rade posilnenie výkonov ústavnej chirurgickej liečby a potrebného predoperačného a pooperačného sledovania pacientov.</w:t>
      </w:r>
    </w:p>
    <w:p w14:paraId="15DA8FC2" w14:textId="54B3402B" w:rsidR="00943E84" w:rsidRDefault="00943E84" w:rsidP="00943E84">
      <w:pPr>
        <w:spacing w:line="240" w:lineRule="auto"/>
        <w:rPr>
          <w:rFonts w:ascii="Century Gothic" w:hAnsi="Century Gothic" w:cstheme="minorHAnsi"/>
          <w:sz w:val="22"/>
          <w:szCs w:val="22"/>
        </w:rPr>
      </w:pPr>
    </w:p>
    <w:p w14:paraId="7BB19559" w14:textId="0826700E" w:rsidR="009E2327" w:rsidRPr="00A664BB" w:rsidRDefault="00A664BB" w:rsidP="00A664BB">
      <w:pPr>
        <w:keepNext/>
        <w:spacing w:line="240" w:lineRule="auto"/>
        <w:jc w:val="left"/>
        <w:rPr>
          <w:rFonts w:ascii="Century Gothic" w:hAnsi="Century Gothic" w:cs="Arial"/>
          <w:i/>
          <w:sz w:val="20"/>
          <w:szCs w:val="20"/>
        </w:rPr>
      </w:pPr>
      <w:bookmarkStart w:id="67" w:name="_Toc145219875"/>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4</w:t>
      </w:r>
      <w:r w:rsidRPr="00A664BB">
        <w:rPr>
          <w:rFonts w:ascii="Century Gothic" w:hAnsi="Century Gothic" w:cs="Arial"/>
          <w:i/>
          <w:sz w:val="20"/>
          <w:szCs w:val="20"/>
        </w:rPr>
        <w:fldChar w:fldCharType="end"/>
      </w:r>
      <w:r w:rsidRPr="00A664BB">
        <w:rPr>
          <w:rFonts w:ascii="Century Gothic" w:hAnsi="Century Gothic" w:cs="Arial"/>
          <w:i/>
          <w:sz w:val="20"/>
          <w:szCs w:val="20"/>
        </w:rPr>
        <w:t xml:space="preserve"> </w:t>
      </w:r>
      <w:r w:rsidR="009E2327" w:rsidRPr="00A664BB">
        <w:rPr>
          <w:rFonts w:ascii="Century Gothic" w:hAnsi="Century Gothic" w:cs="Arial"/>
          <w:i/>
          <w:sz w:val="20"/>
          <w:szCs w:val="20"/>
        </w:rPr>
        <w:t xml:space="preserve"> Najzaťaženejšie ambulancie – chirurgické</w:t>
      </w:r>
      <w:bookmarkEnd w:id="67"/>
      <w:r w:rsidR="009E2327" w:rsidRPr="00A664BB">
        <w:rPr>
          <w:rFonts w:ascii="Century Gothic" w:hAnsi="Century Gothic" w:cs="Arial"/>
          <w:i/>
          <w:sz w:val="20"/>
          <w:szCs w:val="20"/>
        </w:rPr>
        <w:t xml:space="preserve"> </w:t>
      </w:r>
    </w:p>
    <w:p w14:paraId="7CC9C174" w14:textId="6D644B58" w:rsidR="00943E84" w:rsidRDefault="00DF0C2D" w:rsidP="00B227E6">
      <w:pPr>
        <w:spacing w:line="240" w:lineRule="auto"/>
        <w:jc w:val="center"/>
        <w:rPr>
          <w:rFonts w:ascii="Century Gothic" w:hAnsi="Century Gothic" w:cstheme="minorHAnsi"/>
          <w:sz w:val="22"/>
          <w:szCs w:val="22"/>
        </w:rPr>
      </w:pPr>
      <w:r>
        <w:rPr>
          <w:noProof/>
        </w:rPr>
        <w:drawing>
          <wp:inline distT="0" distB="0" distL="0" distR="0" wp14:anchorId="3BAB73BE" wp14:editId="7E7D58B7">
            <wp:extent cx="5760720" cy="3447415"/>
            <wp:effectExtent l="0" t="0" r="0" b="635"/>
            <wp:docPr id="39" name="Graf 39">
              <a:extLst xmlns:a="http://schemas.openxmlformats.org/drawingml/2006/main">
                <a:ext uri="{FF2B5EF4-FFF2-40B4-BE49-F238E27FC236}">
                  <a16:creationId xmlns:a16="http://schemas.microsoft.com/office/drawing/2014/main" id="{8E36E625-67A3-214D-D77F-A28C29C01D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80B173E" w14:textId="6412B22A" w:rsidR="009E2327" w:rsidRDefault="009E2327" w:rsidP="009E2327">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3448790A" w14:textId="6B5E39A9" w:rsidR="009E2327" w:rsidRDefault="009E2327" w:rsidP="009E2327">
      <w:pPr>
        <w:rPr>
          <w:lang w:eastAsia="cs-CZ"/>
        </w:rPr>
      </w:pPr>
    </w:p>
    <w:p w14:paraId="4497FAD5" w14:textId="77777777" w:rsidR="00D048F2" w:rsidRDefault="00D048F2" w:rsidP="009E2327">
      <w:pPr>
        <w:spacing w:line="240" w:lineRule="auto"/>
        <w:rPr>
          <w:rFonts w:ascii="Century Gothic" w:hAnsi="Century Gothic"/>
          <w:i/>
          <w:sz w:val="20"/>
          <w:szCs w:val="20"/>
        </w:rPr>
      </w:pPr>
    </w:p>
    <w:p w14:paraId="4F51D3F6" w14:textId="77777777" w:rsidR="00D048F2" w:rsidRDefault="00D048F2" w:rsidP="009E2327">
      <w:pPr>
        <w:spacing w:line="240" w:lineRule="auto"/>
        <w:rPr>
          <w:rFonts w:ascii="Century Gothic" w:hAnsi="Century Gothic"/>
          <w:i/>
          <w:sz w:val="20"/>
          <w:szCs w:val="20"/>
        </w:rPr>
      </w:pPr>
    </w:p>
    <w:p w14:paraId="61E6BB6E" w14:textId="77777777" w:rsidR="00D048F2" w:rsidRDefault="00D048F2" w:rsidP="009E2327">
      <w:pPr>
        <w:spacing w:line="240" w:lineRule="auto"/>
        <w:rPr>
          <w:rFonts w:ascii="Century Gothic" w:hAnsi="Century Gothic"/>
          <w:i/>
          <w:sz w:val="20"/>
          <w:szCs w:val="20"/>
        </w:rPr>
      </w:pPr>
    </w:p>
    <w:p w14:paraId="0517FE92" w14:textId="77777777" w:rsidR="00D048F2" w:rsidRDefault="00D048F2" w:rsidP="009E2327">
      <w:pPr>
        <w:spacing w:line="240" w:lineRule="auto"/>
        <w:rPr>
          <w:rFonts w:ascii="Century Gothic" w:hAnsi="Century Gothic"/>
          <w:i/>
          <w:sz w:val="20"/>
          <w:szCs w:val="20"/>
        </w:rPr>
      </w:pPr>
    </w:p>
    <w:p w14:paraId="160B4711" w14:textId="77777777" w:rsidR="00D048F2" w:rsidRDefault="00D048F2" w:rsidP="009E2327">
      <w:pPr>
        <w:spacing w:line="240" w:lineRule="auto"/>
        <w:rPr>
          <w:rFonts w:ascii="Century Gothic" w:hAnsi="Century Gothic"/>
          <w:i/>
          <w:sz w:val="20"/>
          <w:szCs w:val="20"/>
        </w:rPr>
      </w:pPr>
    </w:p>
    <w:p w14:paraId="4796514D" w14:textId="77777777" w:rsidR="00D048F2" w:rsidRDefault="00D048F2" w:rsidP="009E2327">
      <w:pPr>
        <w:spacing w:line="240" w:lineRule="auto"/>
        <w:rPr>
          <w:rFonts w:ascii="Century Gothic" w:hAnsi="Century Gothic"/>
          <w:i/>
          <w:sz w:val="20"/>
          <w:szCs w:val="20"/>
        </w:rPr>
      </w:pPr>
    </w:p>
    <w:p w14:paraId="24FB183D" w14:textId="77777777" w:rsidR="00D048F2" w:rsidRDefault="00D048F2" w:rsidP="009E2327">
      <w:pPr>
        <w:spacing w:line="240" w:lineRule="auto"/>
        <w:rPr>
          <w:rFonts w:ascii="Century Gothic" w:hAnsi="Century Gothic"/>
          <w:i/>
          <w:sz w:val="20"/>
          <w:szCs w:val="20"/>
        </w:rPr>
      </w:pPr>
    </w:p>
    <w:p w14:paraId="11332657" w14:textId="77777777" w:rsidR="00D048F2" w:rsidRDefault="00D048F2" w:rsidP="009E2327">
      <w:pPr>
        <w:spacing w:line="240" w:lineRule="auto"/>
        <w:rPr>
          <w:rFonts w:ascii="Century Gothic" w:hAnsi="Century Gothic"/>
          <w:i/>
          <w:sz w:val="20"/>
          <w:szCs w:val="20"/>
        </w:rPr>
      </w:pPr>
    </w:p>
    <w:p w14:paraId="792E34CB" w14:textId="77777777" w:rsidR="00D048F2" w:rsidRDefault="00D048F2" w:rsidP="009E2327">
      <w:pPr>
        <w:spacing w:line="240" w:lineRule="auto"/>
        <w:rPr>
          <w:rFonts w:ascii="Century Gothic" w:hAnsi="Century Gothic"/>
          <w:i/>
          <w:sz w:val="20"/>
          <w:szCs w:val="20"/>
        </w:rPr>
      </w:pPr>
    </w:p>
    <w:p w14:paraId="5C37DF6F" w14:textId="77777777" w:rsidR="00D048F2" w:rsidRDefault="00D048F2" w:rsidP="009E2327">
      <w:pPr>
        <w:spacing w:line="240" w:lineRule="auto"/>
        <w:rPr>
          <w:rFonts w:ascii="Century Gothic" w:hAnsi="Century Gothic"/>
          <w:i/>
          <w:sz w:val="20"/>
          <w:szCs w:val="20"/>
        </w:rPr>
      </w:pPr>
    </w:p>
    <w:p w14:paraId="7E0B5EB8" w14:textId="77777777" w:rsidR="00D048F2" w:rsidRDefault="00D048F2" w:rsidP="009E2327">
      <w:pPr>
        <w:spacing w:line="240" w:lineRule="auto"/>
        <w:rPr>
          <w:rFonts w:ascii="Century Gothic" w:hAnsi="Century Gothic"/>
          <w:i/>
          <w:sz w:val="20"/>
          <w:szCs w:val="20"/>
        </w:rPr>
      </w:pPr>
    </w:p>
    <w:p w14:paraId="10C8916C" w14:textId="77777777" w:rsidR="00D048F2" w:rsidRDefault="00D048F2" w:rsidP="009E2327">
      <w:pPr>
        <w:spacing w:line="240" w:lineRule="auto"/>
        <w:rPr>
          <w:rFonts w:ascii="Century Gothic" w:hAnsi="Century Gothic"/>
          <w:i/>
          <w:sz w:val="20"/>
          <w:szCs w:val="20"/>
        </w:rPr>
      </w:pPr>
    </w:p>
    <w:p w14:paraId="0293FF29" w14:textId="77777777" w:rsidR="00D048F2" w:rsidRDefault="00D048F2" w:rsidP="009E2327">
      <w:pPr>
        <w:spacing w:line="240" w:lineRule="auto"/>
        <w:rPr>
          <w:rFonts w:ascii="Century Gothic" w:hAnsi="Century Gothic"/>
          <w:i/>
          <w:sz w:val="20"/>
          <w:szCs w:val="20"/>
        </w:rPr>
      </w:pPr>
    </w:p>
    <w:p w14:paraId="057C47E1" w14:textId="77777777" w:rsidR="00D048F2" w:rsidRDefault="00D048F2" w:rsidP="009E2327">
      <w:pPr>
        <w:spacing w:line="240" w:lineRule="auto"/>
        <w:rPr>
          <w:rFonts w:ascii="Century Gothic" w:hAnsi="Century Gothic"/>
          <w:i/>
          <w:sz w:val="20"/>
          <w:szCs w:val="20"/>
        </w:rPr>
      </w:pPr>
    </w:p>
    <w:p w14:paraId="7038719A" w14:textId="77777777" w:rsidR="00D048F2" w:rsidRDefault="00D048F2" w:rsidP="009E2327">
      <w:pPr>
        <w:spacing w:line="240" w:lineRule="auto"/>
        <w:rPr>
          <w:rFonts w:ascii="Century Gothic" w:hAnsi="Century Gothic"/>
          <w:i/>
          <w:sz w:val="20"/>
          <w:szCs w:val="20"/>
        </w:rPr>
      </w:pPr>
    </w:p>
    <w:p w14:paraId="6063CAB4" w14:textId="77777777" w:rsidR="00D048F2" w:rsidRDefault="00D048F2" w:rsidP="009E2327">
      <w:pPr>
        <w:spacing w:line="240" w:lineRule="auto"/>
        <w:rPr>
          <w:rFonts w:ascii="Century Gothic" w:hAnsi="Century Gothic"/>
          <w:i/>
          <w:sz w:val="20"/>
          <w:szCs w:val="20"/>
        </w:rPr>
      </w:pPr>
    </w:p>
    <w:p w14:paraId="26B3422B" w14:textId="77777777" w:rsidR="00D048F2" w:rsidRDefault="00D048F2" w:rsidP="009E2327">
      <w:pPr>
        <w:spacing w:line="240" w:lineRule="auto"/>
        <w:rPr>
          <w:rFonts w:ascii="Century Gothic" w:hAnsi="Century Gothic"/>
          <w:i/>
          <w:sz w:val="20"/>
          <w:szCs w:val="20"/>
        </w:rPr>
      </w:pPr>
    </w:p>
    <w:p w14:paraId="17C01A19" w14:textId="16896D97" w:rsidR="00D048F2" w:rsidRDefault="00D048F2" w:rsidP="009E2327">
      <w:pPr>
        <w:spacing w:line="240" w:lineRule="auto"/>
        <w:rPr>
          <w:rFonts w:ascii="Century Gothic" w:hAnsi="Century Gothic"/>
          <w:i/>
          <w:sz w:val="20"/>
          <w:szCs w:val="20"/>
        </w:rPr>
      </w:pPr>
    </w:p>
    <w:p w14:paraId="313E054F" w14:textId="1E473826" w:rsidR="00B54781" w:rsidRDefault="00B54781" w:rsidP="009E2327">
      <w:pPr>
        <w:spacing w:line="240" w:lineRule="auto"/>
        <w:rPr>
          <w:rFonts w:ascii="Century Gothic" w:hAnsi="Century Gothic"/>
          <w:i/>
          <w:sz w:val="20"/>
          <w:szCs w:val="20"/>
        </w:rPr>
      </w:pPr>
    </w:p>
    <w:p w14:paraId="2D41BC75" w14:textId="6840BEA8" w:rsidR="00B54781" w:rsidRDefault="00B54781" w:rsidP="009E2327">
      <w:pPr>
        <w:spacing w:line="240" w:lineRule="auto"/>
        <w:rPr>
          <w:rFonts w:ascii="Century Gothic" w:hAnsi="Century Gothic"/>
          <w:i/>
          <w:sz w:val="20"/>
          <w:szCs w:val="20"/>
        </w:rPr>
      </w:pPr>
    </w:p>
    <w:p w14:paraId="16DF2CF1" w14:textId="5B9294E2" w:rsidR="00B54781" w:rsidRDefault="00B54781" w:rsidP="009E2327">
      <w:pPr>
        <w:spacing w:line="240" w:lineRule="auto"/>
        <w:rPr>
          <w:rFonts w:ascii="Century Gothic" w:hAnsi="Century Gothic"/>
          <w:i/>
          <w:sz w:val="20"/>
          <w:szCs w:val="20"/>
        </w:rPr>
      </w:pPr>
    </w:p>
    <w:p w14:paraId="216698DD" w14:textId="77777777" w:rsidR="00B54781" w:rsidRDefault="00B54781" w:rsidP="009E2327">
      <w:pPr>
        <w:spacing w:line="240" w:lineRule="auto"/>
        <w:rPr>
          <w:rFonts w:ascii="Century Gothic" w:hAnsi="Century Gothic"/>
          <w:i/>
          <w:sz w:val="20"/>
          <w:szCs w:val="20"/>
        </w:rPr>
      </w:pPr>
    </w:p>
    <w:p w14:paraId="11145880" w14:textId="44F160CF" w:rsidR="00D048F2" w:rsidRDefault="00D048F2" w:rsidP="009E2327">
      <w:pPr>
        <w:spacing w:line="240" w:lineRule="auto"/>
        <w:rPr>
          <w:rFonts w:ascii="Century Gothic" w:hAnsi="Century Gothic"/>
          <w:i/>
          <w:sz w:val="20"/>
          <w:szCs w:val="20"/>
        </w:rPr>
      </w:pPr>
    </w:p>
    <w:p w14:paraId="7B1BCF98" w14:textId="77777777" w:rsidR="00B227E6" w:rsidRDefault="00B227E6" w:rsidP="009E2327">
      <w:pPr>
        <w:spacing w:line="240" w:lineRule="auto"/>
        <w:rPr>
          <w:rFonts w:ascii="Century Gothic" w:hAnsi="Century Gothic"/>
          <w:i/>
          <w:sz w:val="20"/>
          <w:szCs w:val="20"/>
        </w:rPr>
      </w:pPr>
    </w:p>
    <w:p w14:paraId="665566A3" w14:textId="77777777" w:rsidR="00D048F2" w:rsidRDefault="00D048F2" w:rsidP="009E2327">
      <w:pPr>
        <w:spacing w:line="240" w:lineRule="auto"/>
        <w:rPr>
          <w:rFonts w:ascii="Century Gothic" w:hAnsi="Century Gothic"/>
          <w:i/>
          <w:sz w:val="20"/>
          <w:szCs w:val="20"/>
        </w:rPr>
      </w:pPr>
    </w:p>
    <w:p w14:paraId="630F7BA2" w14:textId="0550C7D1" w:rsidR="00943E84" w:rsidRPr="00A664BB" w:rsidRDefault="00A664BB" w:rsidP="00A664BB">
      <w:pPr>
        <w:keepNext/>
        <w:spacing w:line="240" w:lineRule="auto"/>
        <w:jc w:val="left"/>
        <w:rPr>
          <w:rFonts w:ascii="Century Gothic" w:hAnsi="Century Gothic" w:cs="Arial"/>
          <w:i/>
          <w:sz w:val="20"/>
          <w:szCs w:val="20"/>
        </w:rPr>
      </w:pPr>
      <w:bookmarkStart w:id="68" w:name="_Toc145219876"/>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5</w:t>
      </w:r>
      <w:r w:rsidRPr="00A664BB">
        <w:rPr>
          <w:rFonts w:ascii="Century Gothic" w:hAnsi="Century Gothic" w:cs="Arial"/>
          <w:i/>
          <w:sz w:val="20"/>
          <w:szCs w:val="20"/>
        </w:rPr>
        <w:fldChar w:fldCharType="end"/>
      </w:r>
      <w:r w:rsidRPr="00A664BB">
        <w:rPr>
          <w:rFonts w:ascii="Century Gothic" w:hAnsi="Century Gothic" w:cs="Arial"/>
          <w:i/>
          <w:sz w:val="20"/>
          <w:szCs w:val="20"/>
        </w:rPr>
        <w:t xml:space="preserve"> </w:t>
      </w:r>
      <w:r w:rsidR="009E2327" w:rsidRPr="00A664BB">
        <w:rPr>
          <w:rFonts w:ascii="Century Gothic" w:hAnsi="Century Gothic" w:cs="Arial"/>
          <w:i/>
          <w:sz w:val="20"/>
          <w:szCs w:val="20"/>
        </w:rPr>
        <w:t>Najzaťaženejšie ambulancie – ONKO/NEU/PSYCH</w:t>
      </w:r>
      <w:bookmarkEnd w:id="68"/>
    </w:p>
    <w:p w14:paraId="6406DB14" w14:textId="733308E0" w:rsidR="00943E84" w:rsidRDefault="003D00E5" w:rsidP="00B227E6">
      <w:pPr>
        <w:spacing w:line="240" w:lineRule="auto"/>
        <w:jc w:val="center"/>
        <w:rPr>
          <w:rFonts w:ascii="Century Gothic" w:hAnsi="Century Gothic" w:cstheme="minorHAnsi"/>
          <w:sz w:val="22"/>
          <w:szCs w:val="22"/>
        </w:rPr>
      </w:pPr>
      <w:r>
        <w:rPr>
          <w:noProof/>
        </w:rPr>
        <w:drawing>
          <wp:inline distT="0" distB="0" distL="0" distR="0" wp14:anchorId="07E86E31" wp14:editId="3F907D50">
            <wp:extent cx="5648325" cy="3248025"/>
            <wp:effectExtent l="0" t="0" r="0" b="0"/>
            <wp:docPr id="45" name="Graf 45">
              <a:extLst xmlns:a="http://schemas.openxmlformats.org/drawingml/2006/main">
                <a:ext uri="{FF2B5EF4-FFF2-40B4-BE49-F238E27FC236}">
                  <a16:creationId xmlns:a16="http://schemas.microsoft.com/office/drawing/2014/main" id="{187ACBAE-30A6-4894-3E50-A683F85C5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A90DDD" w14:textId="77777777" w:rsidR="00B54781" w:rsidRDefault="00B54781" w:rsidP="00B54781">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4AF93C3D" w14:textId="77777777" w:rsidR="009E2327" w:rsidRDefault="009E2327" w:rsidP="00943E84">
      <w:pPr>
        <w:spacing w:line="240" w:lineRule="auto"/>
        <w:rPr>
          <w:rFonts w:ascii="Century Gothic" w:hAnsi="Century Gothic" w:cstheme="minorHAnsi"/>
          <w:sz w:val="22"/>
          <w:szCs w:val="22"/>
        </w:rPr>
      </w:pPr>
    </w:p>
    <w:p w14:paraId="0CC430F5" w14:textId="1D99A74F" w:rsidR="00943E84" w:rsidRDefault="00943E84" w:rsidP="007F681B">
      <w:pPr>
        <w:pStyle w:val="Odsekzoznamu"/>
        <w:numPr>
          <w:ilvl w:val="0"/>
          <w:numId w:val="49"/>
        </w:numPr>
        <w:spacing w:line="240" w:lineRule="auto"/>
        <w:rPr>
          <w:rFonts w:ascii="Century Gothic" w:hAnsi="Century Gothic" w:cstheme="minorHAnsi"/>
          <w:sz w:val="22"/>
          <w:szCs w:val="22"/>
        </w:rPr>
      </w:pPr>
      <w:r>
        <w:rPr>
          <w:rFonts w:ascii="Century Gothic" w:hAnsi="Century Gothic" w:cstheme="minorHAnsi"/>
          <w:sz w:val="22"/>
          <w:szCs w:val="22"/>
        </w:rPr>
        <w:t>Urgentná starostlivosť</w:t>
      </w:r>
    </w:p>
    <w:p w14:paraId="2AB454DF" w14:textId="77777777" w:rsidR="00943E84" w:rsidRDefault="00943E84" w:rsidP="00943E84">
      <w:pPr>
        <w:pStyle w:val="Odsekzoznamu"/>
        <w:spacing w:line="240" w:lineRule="auto"/>
        <w:ind w:left="1068"/>
        <w:rPr>
          <w:rFonts w:ascii="Century Gothic" w:hAnsi="Century Gothic" w:cstheme="minorHAnsi"/>
          <w:sz w:val="22"/>
          <w:szCs w:val="22"/>
        </w:rPr>
      </w:pPr>
    </w:p>
    <w:p w14:paraId="5D96D529" w14:textId="37CB1022"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 xml:space="preserve">Neodkladná zdravotná starostlivosť vo FNSP </w:t>
      </w:r>
      <w:r w:rsidR="00017804">
        <w:rPr>
          <w:rFonts w:ascii="Century Gothic" w:hAnsi="Century Gothic" w:cstheme="minorHAnsi"/>
          <w:sz w:val="22"/>
          <w:szCs w:val="22"/>
        </w:rPr>
        <w:t xml:space="preserve">Žilina </w:t>
      </w:r>
      <w:r>
        <w:rPr>
          <w:rFonts w:ascii="Century Gothic" w:hAnsi="Century Gothic" w:cstheme="minorHAnsi"/>
          <w:sz w:val="22"/>
          <w:szCs w:val="22"/>
        </w:rPr>
        <w:t xml:space="preserve">prebieha samozrejme počas 24 hodín a 365 dní v roku. Je veľmi ťažké oddeliť ju preto exaktne od plánovanej. Dá sa však, definovať, ktorí pacienti boli vyšetrení mimo štandardnej ošetrovacej doby v tzv. </w:t>
      </w:r>
      <w:r w:rsidR="00CC01B2">
        <w:rPr>
          <w:rFonts w:ascii="Century Gothic" w:hAnsi="Century Gothic" w:cstheme="minorHAnsi"/>
          <w:sz w:val="22"/>
          <w:szCs w:val="22"/>
        </w:rPr>
        <w:t>ú</w:t>
      </w:r>
      <w:r w:rsidR="009852FF">
        <w:rPr>
          <w:rFonts w:ascii="Century Gothic" w:hAnsi="Century Gothic" w:cstheme="minorHAnsi"/>
          <w:sz w:val="22"/>
          <w:szCs w:val="22"/>
        </w:rPr>
        <w:t>stavnej pohotovostnej službe (Ú</w:t>
      </w:r>
      <w:r>
        <w:rPr>
          <w:rFonts w:ascii="Century Gothic" w:hAnsi="Century Gothic" w:cstheme="minorHAnsi"/>
          <w:sz w:val="22"/>
          <w:szCs w:val="22"/>
        </w:rPr>
        <w:t>PS</w:t>
      </w:r>
      <w:r w:rsidR="009852FF">
        <w:rPr>
          <w:rFonts w:ascii="Century Gothic" w:hAnsi="Century Gothic" w:cstheme="minorHAnsi"/>
          <w:sz w:val="22"/>
          <w:szCs w:val="22"/>
        </w:rPr>
        <w:t>)</w:t>
      </w:r>
      <w:r>
        <w:rPr>
          <w:rFonts w:ascii="Century Gothic" w:hAnsi="Century Gothic" w:cstheme="minorHAnsi"/>
          <w:sz w:val="22"/>
          <w:szCs w:val="22"/>
        </w:rPr>
        <w:t>.</w:t>
      </w:r>
    </w:p>
    <w:p w14:paraId="7E7C5B89" w14:textId="0DEF4C37"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Za celú nemocnicu ide o priemerné zvyšovanie počtu návštev okolo 5</w:t>
      </w:r>
      <w:r w:rsidR="00B10220">
        <w:rPr>
          <w:rFonts w:ascii="Century Gothic" w:hAnsi="Century Gothic" w:cstheme="minorHAnsi"/>
          <w:sz w:val="22"/>
          <w:szCs w:val="22"/>
        </w:rPr>
        <w:t xml:space="preserve"> </w:t>
      </w:r>
      <w:r>
        <w:rPr>
          <w:rFonts w:ascii="Century Gothic" w:hAnsi="Century Gothic" w:cstheme="minorHAnsi"/>
          <w:sz w:val="22"/>
          <w:szCs w:val="22"/>
        </w:rPr>
        <w:t>% medziročne celkovým nárastom 2010/2019 na úrovni 148,34 %. Najvypuklejšie nárasty sú v odboroch interná medicína 247</w:t>
      </w:r>
      <w:r w:rsidR="00B10220">
        <w:rPr>
          <w:rFonts w:ascii="Century Gothic" w:hAnsi="Century Gothic" w:cstheme="minorHAnsi"/>
          <w:sz w:val="22"/>
          <w:szCs w:val="22"/>
        </w:rPr>
        <w:t xml:space="preserve"> </w:t>
      </w:r>
      <w:r>
        <w:rPr>
          <w:rFonts w:ascii="Century Gothic" w:hAnsi="Century Gothic" w:cstheme="minorHAnsi"/>
          <w:sz w:val="22"/>
          <w:szCs w:val="22"/>
        </w:rPr>
        <w:t xml:space="preserve">%, chirurgia 180 % a úrazová chirurgia 144 %. </w:t>
      </w:r>
    </w:p>
    <w:p w14:paraId="44D1D33F" w14:textId="77777777" w:rsidR="00943E84" w:rsidRDefault="00943E84" w:rsidP="00943E84">
      <w:pPr>
        <w:spacing w:line="240" w:lineRule="auto"/>
        <w:rPr>
          <w:rFonts w:ascii="Century Gothic" w:hAnsi="Century Gothic" w:cstheme="minorHAnsi"/>
          <w:sz w:val="22"/>
          <w:szCs w:val="22"/>
        </w:rPr>
      </w:pPr>
    </w:p>
    <w:p w14:paraId="774C719B" w14:textId="77777777" w:rsidR="00336D72" w:rsidRDefault="00336D72" w:rsidP="00336D72">
      <w:pPr>
        <w:spacing w:line="240" w:lineRule="auto"/>
        <w:rPr>
          <w:rFonts w:ascii="Century Gothic" w:hAnsi="Century Gothic" w:cstheme="minorHAnsi"/>
          <w:sz w:val="22"/>
          <w:szCs w:val="22"/>
        </w:rPr>
      </w:pPr>
      <w:r>
        <w:rPr>
          <w:rFonts w:ascii="Century Gothic" w:hAnsi="Century Gothic" w:cstheme="minorHAnsi"/>
          <w:sz w:val="22"/>
          <w:szCs w:val="22"/>
        </w:rPr>
        <w:t xml:space="preserve">Z uvedeného možno jednoznačne pomenovať, že ide o oslabovanie zdravotnej starostlivosti v ambulanciách a poliklinických častiach nemocníc geograficky dostupnejších pre spádové územie, nakoľko celkové množstvá pacientov sa takýmto zásadným spôsobom nezvyšujú. </w:t>
      </w:r>
    </w:p>
    <w:p w14:paraId="720659C1" w14:textId="6D8FDB81" w:rsidR="00943E84" w:rsidRDefault="00943E84" w:rsidP="00943E84">
      <w:pPr>
        <w:spacing w:line="240" w:lineRule="auto"/>
        <w:rPr>
          <w:rFonts w:ascii="Century Gothic" w:hAnsi="Century Gothic" w:cstheme="minorHAnsi"/>
          <w:sz w:val="22"/>
          <w:szCs w:val="22"/>
        </w:rPr>
      </w:pPr>
    </w:p>
    <w:p w14:paraId="604659A8" w14:textId="77777777" w:rsidR="007B16E4" w:rsidRDefault="007B16E4" w:rsidP="009E2327">
      <w:pPr>
        <w:spacing w:line="240" w:lineRule="auto"/>
        <w:rPr>
          <w:rFonts w:ascii="Century Gothic" w:hAnsi="Century Gothic"/>
          <w:i/>
          <w:sz w:val="20"/>
          <w:szCs w:val="20"/>
        </w:rPr>
      </w:pPr>
    </w:p>
    <w:p w14:paraId="5809BC42" w14:textId="77777777" w:rsidR="007B16E4" w:rsidRDefault="007B16E4" w:rsidP="009E2327">
      <w:pPr>
        <w:spacing w:line="240" w:lineRule="auto"/>
        <w:rPr>
          <w:rFonts w:ascii="Century Gothic" w:hAnsi="Century Gothic"/>
          <w:i/>
          <w:sz w:val="20"/>
          <w:szCs w:val="20"/>
        </w:rPr>
      </w:pPr>
    </w:p>
    <w:p w14:paraId="469C2C9F" w14:textId="77777777" w:rsidR="007B16E4" w:rsidRDefault="007B16E4" w:rsidP="009E2327">
      <w:pPr>
        <w:spacing w:line="240" w:lineRule="auto"/>
        <w:rPr>
          <w:rFonts w:ascii="Century Gothic" w:hAnsi="Century Gothic"/>
          <w:i/>
          <w:sz w:val="20"/>
          <w:szCs w:val="20"/>
        </w:rPr>
      </w:pPr>
    </w:p>
    <w:p w14:paraId="31BB4F24" w14:textId="77777777" w:rsidR="007B16E4" w:rsidRDefault="007B16E4" w:rsidP="009E2327">
      <w:pPr>
        <w:spacing w:line="240" w:lineRule="auto"/>
        <w:rPr>
          <w:rFonts w:ascii="Century Gothic" w:hAnsi="Century Gothic"/>
          <w:i/>
          <w:sz w:val="20"/>
          <w:szCs w:val="20"/>
        </w:rPr>
      </w:pPr>
    </w:p>
    <w:p w14:paraId="435A8715" w14:textId="77777777" w:rsidR="007B16E4" w:rsidRDefault="007B16E4" w:rsidP="009E2327">
      <w:pPr>
        <w:spacing w:line="240" w:lineRule="auto"/>
        <w:rPr>
          <w:rFonts w:ascii="Century Gothic" w:hAnsi="Century Gothic"/>
          <w:i/>
          <w:sz w:val="20"/>
          <w:szCs w:val="20"/>
        </w:rPr>
      </w:pPr>
    </w:p>
    <w:p w14:paraId="5C823B39" w14:textId="77777777" w:rsidR="007B16E4" w:rsidRDefault="007B16E4" w:rsidP="009E2327">
      <w:pPr>
        <w:spacing w:line="240" w:lineRule="auto"/>
        <w:rPr>
          <w:rFonts w:ascii="Century Gothic" w:hAnsi="Century Gothic"/>
          <w:i/>
          <w:sz w:val="20"/>
          <w:szCs w:val="20"/>
        </w:rPr>
      </w:pPr>
    </w:p>
    <w:p w14:paraId="6CFEF2E5" w14:textId="77777777" w:rsidR="007B16E4" w:rsidRDefault="007B16E4" w:rsidP="009E2327">
      <w:pPr>
        <w:spacing w:line="240" w:lineRule="auto"/>
        <w:rPr>
          <w:rFonts w:ascii="Century Gothic" w:hAnsi="Century Gothic"/>
          <w:i/>
          <w:sz w:val="20"/>
          <w:szCs w:val="20"/>
        </w:rPr>
      </w:pPr>
    </w:p>
    <w:p w14:paraId="222AD2B0" w14:textId="77777777" w:rsidR="007B16E4" w:rsidRDefault="007B16E4" w:rsidP="009E2327">
      <w:pPr>
        <w:spacing w:line="240" w:lineRule="auto"/>
        <w:rPr>
          <w:rFonts w:ascii="Century Gothic" w:hAnsi="Century Gothic"/>
          <w:i/>
          <w:sz w:val="20"/>
          <w:szCs w:val="20"/>
        </w:rPr>
      </w:pPr>
    </w:p>
    <w:p w14:paraId="66F36549" w14:textId="77777777" w:rsidR="007B16E4" w:rsidRDefault="007B16E4" w:rsidP="009E2327">
      <w:pPr>
        <w:spacing w:line="240" w:lineRule="auto"/>
        <w:rPr>
          <w:rFonts w:ascii="Century Gothic" w:hAnsi="Century Gothic"/>
          <w:i/>
          <w:sz w:val="20"/>
          <w:szCs w:val="20"/>
        </w:rPr>
      </w:pPr>
    </w:p>
    <w:p w14:paraId="03EC2BF7" w14:textId="77777777" w:rsidR="007B16E4" w:rsidRDefault="007B16E4" w:rsidP="009E2327">
      <w:pPr>
        <w:spacing w:line="240" w:lineRule="auto"/>
        <w:rPr>
          <w:rFonts w:ascii="Century Gothic" w:hAnsi="Century Gothic"/>
          <w:i/>
          <w:sz w:val="20"/>
          <w:szCs w:val="20"/>
        </w:rPr>
      </w:pPr>
    </w:p>
    <w:p w14:paraId="114FCFC6" w14:textId="77777777" w:rsidR="007B16E4" w:rsidRDefault="007B16E4" w:rsidP="009E2327">
      <w:pPr>
        <w:spacing w:line="240" w:lineRule="auto"/>
        <w:rPr>
          <w:rFonts w:ascii="Century Gothic" w:hAnsi="Century Gothic"/>
          <w:i/>
          <w:sz w:val="20"/>
          <w:szCs w:val="20"/>
        </w:rPr>
      </w:pPr>
    </w:p>
    <w:p w14:paraId="153E1718" w14:textId="77777777" w:rsidR="007B16E4" w:rsidRDefault="007B16E4" w:rsidP="009E2327">
      <w:pPr>
        <w:spacing w:line="240" w:lineRule="auto"/>
        <w:rPr>
          <w:rFonts w:ascii="Century Gothic" w:hAnsi="Century Gothic"/>
          <w:i/>
          <w:sz w:val="20"/>
          <w:szCs w:val="20"/>
        </w:rPr>
      </w:pPr>
    </w:p>
    <w:p w14:paraId="4137A1F8" w14:textId="77777777" w:rsidR="007B16E4" w:rsidRDefault="007B16E4" w:rsidP="009E2327">
      <w:pPr>
        <w:spacing w:line="240" w:lineRule="auto"/>
        <w:rPr>
          <w:rFonts w:ascii="Century Gothic" w:hAnsi="Century Gothic"/>
          <w:i/>
          <w:sz w:val="20"/>
          <w:szCs w:val="20"/>
        </w:rPr>
      </w:pPr>
    </w:p>
    <w:p w14:paraId="42E4C858" w14:textId="0057EE57" w:rsidR="009E2327" w:rsidRPr="00A664BB" w:rsidRDefault="00A664BB" w:rsidP="00A664BB">
      <w:pPr>
        <w:keepNext/>
        <w:spacing w:line="240" w:lineRule="auto"/>
        <w:jc w:val="left"/>
        <w:rPr>
          <w:rFonts w:ascii="Century Gothic" w:hAnsi="Century Gothic" w:cs="Arial"/>
          <w:i/>
          <w:sz w:val="20"/>
          <w:szCs w:val="20"/>
        </w:rPr>
      </w:pPr>
      <w:bookmarkStart w:id="69" w:name="_Toc145219877"/>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6</w:t>
      </w:r>
      <w:r w:rsidRPr="00A664BB">
        <w:rPr>
          <w:rFonts w:ascii="Century Gothic" w:hAnsi="Century Gothic" w:cs="Arial"/>
          <w:i/>
          <w:sz w:val="20"/>
          <w:szCs w:val="20"/>
        </w:rPr>
        <w:fldChar w:fldCharType="end"/>
      </w:r>
      <w:r w:rsidRPr="00A664BB">
        <w:rPr>
          <w:rFonts w:ascii="Century Gothic" w:hAnsi="Century Gothic" w:cs="Arial"/>
          <w:i/>
          <w:sz w:val="20"/>
          <w:szCs w:val="20"/>
        </w:rPr>
        <w:t xml:space="preserve"> </w:t>
      </w:r>
      <w:r w:rsidR="009E2327" w:rsidRPr="00A664BB">
        <w:rPr>
          <w:rFonts w:ascii="Century Gothic" w:hAnsi="Century Gothic" w:cs="Arial"/>
          <w:i/>
          <w:sz w:val="20"/>
          <w:szCs w:val="20"/>
        </w:rPr>
        <w:t>Ambulantné ošetrenia v rámci ÚPS</w:t>
      </w:r>
      <w:bookmarkEnd w:id="69"/>
    </w:p>
    <w:p w14:paraId="78AE2EA8" w14:textId="1A6B0EAD" w:rsidR="00943E84" w:rsidRDefault="003D00E5" w:rsidP="00B227E6">
      <w:pPr>
        <w:spacing w:line="240" w:lineRule="auto"/>
        <w:jc w:val="center"/>
        <w:rPr>
          <w:rFonts w:ascii="Century Gothic" w:hAnsi="Century Gothic" w:cstheme="minorHAnsi"/>
          <w:sz w:val="22"/>
          <w:szCs w:val="22"/>
        </w:rPr>
      </w:pPr>
      <w:r>
        <w:rPr>
          <w:noProof/>
        </w:rPr>
        <w:drawing>
          <wp:inline distT="0" distB="0" distL="0" distR="0" wp14:anchorId="181EBD5F" wp14:editId="53D5BDA0">
            <wp:extent cx="4572000" cy="2933700"/>
            <wp:effectExtent l="0" t="0" r="0" b="0"/>
            <wp:docPr id="50" name="Graf 50">
              <a:extLst xmlns:a="http://schemas.openxmlformats.org/drawingml/2006/main">
                <a:ext uri="{FF2B5EF4-FFF2-40B4-BE49-F238E27FC236}">
                  <a16:creationId xmlns:a16="http://schemas.microsoft.com/office/drawing/2014/main" id="{3F25FA49-406A-0701-B0BF-AFA8E2B13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B51737" w14:textId="70E07F17" w:rsidR="009E2327" w:rsidRDefault="009E2327" w:rsidP="009E2327">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4D40D273" w14:textId="77777777" w:rsidR="00943E84" w:rsidRDefault="00943E84" w:rsidP="00943E84">
      <w:pPr>
        <w:spacing w:line="240" w:lineRule="auto"/>
        <w:rPr>
          <w:rFonts w:ascii="Century Gothic" w:hAnsi="Century Gothic" w:cstheme="minorHAnsi"/>
          <w:sz w:val="22"/>
          <w:szCs w:val="22"/>
        </w:rPr>
      </w:pPr>
    </w:p>
    <w:p w14:paraId="4AD66383" w14:textId="0B90F29A"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 xml:space="preserve">V roku 2018 začala </w:t>
      </w: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w:t>
      </w:r>
      <w:r w:rsidR="00B10220">
        <w:rPr>
          <w:rFonts w:ascii="Century Gothic" w:hAnsi="Century Gothic" w:cstheme="minorHAnsi"/>
          <w:sz w:val="22"/>
          <w:szCs w:val="22"/>
        </w:rPr>
        <w:t>Žilina</w:t>
      </w:r>
      <w:r>
        <w:rPr>
          <w:rFonts w:ascii="Century Gothic" w:hAnsi="Century Gothic" w:cstheme="minorHAnsi"/>
          <w:sz w:val="22"/>
          <w:szCs w:val="22"/>
        </w:rPr>
        <w:t xml:space="preserve"> prevádzkovať ambulancie pohotovostnej služby</w:t>
      </w:r>
      <w:r w:rsidR="005A0DE9">
        <w:rPr>
          <w:rFonts w:ascii="Century Gothic" w:hAnsi="Century Gothic" w:cstheme="minorHAnsi"/>
          <w:sz w:val="22"/>
          <w:szCs w:val="22"/>
        </w:rPr>
        <w:t xml:space="preserve"> pre dospelých aj pre deti</w:t>
      </w:r>
      <w:r>
        <w:rPr>
          <w:rFonts w:ascii="Century Gothic" w:hAnsi="Century Gothic" w:cstheme="minorHAnsi"/>
          <w:sz w:val="22"/>
          <w:szCs w:val="22"/>
        </w:rPr>
        <w:t xml:space="preserve">, preto za tieto obdobia je celkový počet pacientov navýšený v grafe oddelený farebne. </w:t>
      </w:r>
      <w:r w:rsidR="005A0DE9">
        <w:rPr>
          <w:rFonts w:ascii="Century Gothic" w:hAnsi="Century Gothic" w:cstheme="minorHAnsi"/>
          <w:sz w:val="22"/>
          <w:szCs w:val="22"/>
        </w:rPr>
        <w:t xml:space="preserve">Ide o významný kvalitatívny posun v čase nárastu </w:t>
      </w:r>
      <w:r w:rsidR="004E231E">
        <w:rPr>
          <w:rFonts w:ascii="Century Gothic" w:hAnsi="Century Gothic" w:cstheme="minorHAnsi"/>
          <w:sz w:val="22"/>
          <w:szCs w:val="22"/>
        </w:rPr>
        <w:t>akútnych</w:t>
      </w:r>
      <w:r w:rsidR="005A0DE9">
        <w:rPr>
          <w:rFonts w:ascii="Century Gothic" w:hAnsi="Century Gothic" w:cstheme="minorHAnsi"/>
          <w:sz w:val="22"/>
          <w:szCs w:val="22"/>
        </w:rPr>
        <w:t xml:space="preserve"> pacientov, nakoľko prvý kontrakt pre bežných pacientov vykonajú tieto ambulancie a odbremenia čiastočne urgentný príjem samotnej nemocnice. </w:t>
      </w:r>
      <w:r>
        <w:rPr>
          <w:rFonts w:ascii="Century Gothic" w:hAnsi="Century Gothic" w:cstheme="minorHAnsi"/>
          <w:sz w:val="22"/>
          <w:szCs w:val="22"/>
        </w:rPr>
        <w:t>Tieto ošetrenia nie sú započítané do prepočtov uvedených vyššie.</w:t>
      </w:r>
    </w:p>
    <w:p w14:paraId="67F588B8" w14:textId="75CEF431" w:rsidR="009E2327" w:rsidRDefault="009E2327" w:rsidP="00943E84">
      <w:pPr>
        <w:spacing w:line="240" w:lineRule="auto"/>
        <w:rPr>
          <w:rFonts w:ascii="Century Gothic" w:hAnsi="Century Gothic" w:cstheme="minorHAnsi"/>
          <w:sz w:val="22"/>
          <w:szCs w:val="22"/>
        </w:rPr>
      </w:pPr>
    </w:p>
    <w:p w14:paraId="088E1A99" w14:textId="361F16DC"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V </w:t>
      </w:r>
      <w:r w:rsidR="009852FF">
        <w:rPr>
          <w:rFonts w:ascii="Century Gothic" w:hAnsi="Century Gothic" w:cstheme="minorHAnsi"/>
          <w:sz w:val="22"/>
          <w:szCs w:val="22"/>
        </w:rPr>
        <w:t>najzaťaženejších</w:t>
      </w:r>
      <w:r>
        <w:rPr>
          <w:rFonts w:ascii="Century Gothic" w:hAnsi="Century Gothic" w:cstheme="minorHAnsi"/>
          <w:sz w:val="22"/>
          <w:szCs w:val="22"/>
        </w:rPr>
        <w:t xml:space="preserve"> odboroch urgentnej medicíny ide o zásadné navýšenie počtu ošetrených pacientov, pričom za 1</w:t>
      </w:r>
      <w:r w:rsidR="003D5DCC">
        <w:rPr>
          <w:rFonts w:ascii="Century Gothic" w:hAnsi="Century Gothic" w:cstheme="minorHAnsi"/>
          <w:sz w:val="22"/>
          <w:szCs w:val="22"/>
        </w:rPr>
        <w:t>2</w:t>
      </w:r>
      <w:r>
        <w:rPr>
          <w:rFonts w:ascii="Century Gothic" w:hAnsi="Century Gothic" w:cstheme="minorHAnsi"/>
          <w:sz w:val="22"/>
          <w:szCs w:val="22"/>
        </w:rPr>
        <w:t xml:space="preserve"> rokov ide o</w:t>
      </w:r>
      <w:r w:rsidR="009852FF">
        <w:rPr>
          <w:rFonts w:ascii="Century Gothic" w:hAnsi="Century Gothic" w:cstheme="minorHAnsi"/>
          <w:sz w:val="22"/>
          <w:szCs w:val="22"/>
        </w:rPr>
        <w:t> </w:t>
      </w:r>
      <w:r>
        <w:rPr>
          <w:rFonts w:ascii="Century Gothic" w:hAnsi="Century Gothic" w:cstheme="minorHAnsi"/>
          <w:sz w:val="22"/>
          <w:szCs w:val="22"/>
        </w:rPr>
        <w:t>4</w:t>
      </w:r>
      <w:r w:rsidR="003D5DCC">
        <w:rPr>
          <w:rFonts w:ascii="Century Gothic" w:hAnsi="Century Gothic" w:cstheme="minorHAnsi"/>
          <w:sz w:val="22"/>
          <w:szCs w:val="22"/>
        </w:rPr>
        <w:t>8</w:t>
      </w:r>
      <w:r w:rsidR="009852FF">
        <w:rPr>
          <w:rFonts w:ascii="Century Gothic" w:hAnsi="Century Gothic" w:cstheme="minorHAnsi"/>
          <w:sz w:val="22"/>
          <w:szCs w:val="22"/>
        </w:rPr>
        <w:t xml:space="preserve"> </w:t>
      </w:r>
      <w:r>
        <w:rPr>
          <w:rFonts w:ascii="Century Gothic" w:hAnsi="Century Gothic" w:cstheme="minorHAnsi"/>
          <w:sz w:val="22"/>
          <w:szCs w:val="22"/>
        </w:rPr>
        <w:t xml:space="preserve">% pri úrazovej chirurgii a až </w:t>
      </w:r>
      <w:r w:rsidR="003D5DCC">
        <w:rPr>
          <w:rFonts w:ascii="Century Gothic" w:hAnsi="Century Gothic" w:cstheme="minorHAnsi"/>
          <w:sz w:val="22"/>
          <w:szCs w:val="22"/>
        </w:rPr>
        <w:t>160</w:t>
      </w:r>
      <w:r w:rsidR="009852FF">
        <w:rPr>
          <w:rFonts w:ascii="Century Gothic" w:hAnsi="Century Gothic" w:cstheme="minorHAnsi"/>
          <w:sz w:val="22"/>
          <w:szCs w:val="22"/>
        </w:rPr>
        <w:t xml:space="preserve"> </w:t>
      </w:r>
      <w:r>
        <w:rPr>
          <w:rFonts w:ascii="Century Gothic" w:hAnsi="Century Gothic" w:cstheme="minorHAnsi"/>
          <w:sz w:val="22"/>
          <w:szCs w:val="22"/>
        </w:rPr>
        <w:t xml:space="preserve">% pri </w:t>
      </w:r>
      <w:r w:rsidRPr="00554317">
        <w:rPr>
          <w:rFonts w:ascii="Century Gothic" w:hAnsi="Century Gothic" w:cstheme="minorHAnsi"/>
          <w:sz w:val="22"/>
          <w:szCs w:val="22"/>
        </w:rPr>
        <w:t xml:space="preserve">internej medicíne. Je logické, že pavilón pre urgentný príjem a OAIM postavený na základe financovania </w:t>
      </w:r>
      <w:r w:rsidR="00336D72" w:rsidRPr="00554317">
        <w:rPr>
          <w:rFonts w:ascii="Century Gothic" w:hAnsi="Century Gothic" w:cstheme="minorHAnsi"/>
          <w:sz w:val="22"/>
          <w:szCs w:val="22"/>
        </w:rPr>
        <w:t>prostredníctvom</w:t>
      </w:r>
      <w:r w:rsidRPr="00554317">
        <w:rPr>
          <w:rFonts w:ascii="Century Gothic" w:hAnsi="Century Gothic" w:cstheme="minorHAnsi"/>
          <w:sz w:val="22"/>
          <w:szCs w:val="22"/>
        </w:rPr>
        <w:t xml:space="preserve"> Operačného programu zdravotníctvo a otvorený v roku </w:t>
      </w:r>
      <w:r w:rsidR="00554317" w:rsidRPr="00554317">
        <w:rPr>
          <w:rFonts w:ascii="Century Gothic" w:hAnsi="Century Gothic" w:cstheme="minorHAnsi"/>
          <w:sz w:val="22"/>
          <w:szCs w:val="22"/>
        </w:rPr>
        <w:t>2014</w:t>
      </w:r>
      <w:r w:rsidRPr="00554317">
        <w:rPr>
          <w:rFonts w:ascii="Century Gothic" w:hAnsi="Century Gothic" w:cstheme="minorHAnsi"/>
          <w:sz w:val="22"/>
          <w:szCs w:val="22"/>
        </w:rPr>
        <w:t>, v súčasnosti</w:t>
      </w:r>
      <w:r>
        <w:rPr>
          <w:rFonts w:ascii="Century Gothic" w:hAnsi="Century Gothic" w:cstheme="minorHAnsi"/>
          <w:sz w:val="22"/>
          <w:szCs w:val="22"/>
        </w:rPr>
        <w:t xml:space="preserve"> už kapacitne vonkoncom nedostačuje na uvedené počty pacientov.</w:t>
      </w:r>
    </w:p>
    <w:p w14:paraId="3F543E33" w14:textId="1C2EE2C4" w:rsidR="00F41314" w:rsidRDefault="00F41314" w:rsidP="00F41314">
      <w:pPr>
        <w:spacing w:line="240" w:lineRule="auto"/>
        <w:rPr>
          <w:rFonts w:ascii="Century Gothic" w:hAnsi="Century Gothic" w:cstheme="minorHAnsi"/>
          <w:sz w:val="22"/>
          <w:szCs w:val="22"/>
        </w:rPr>
      </w:pPr>
    </w:p>
    <w:p w14:paraId="49EC5CD3" w14:textId="08A2D66C" w:rsidR="007B16E4" w:rsidRDefault="007B16E4" w:rsidP="007B16E4">
      <w:pPr>
        <w:keepNext/>
        <w:spacing w:line="240" w:lineRule="auto"/>
        <w:rPr>
          <w:rFonts w:ascii="Century Gothic" w:hAnsi="Century Gothic" w:cstheme="minorHAnsi"/>
          <w:i/>
          <w:sz w:val="20"/>
          <w:szCs w:val="20"/>
        </w:rPr>
      </w:pPr>
      <w:bookmarkStart w:id="70" w:name="_Toc145219918"/>
      <w:r w:rsidRPr="007B16E4">
        <w:rPr>
          <w:rFonts w:ascii="Century Gothic" w:hAnsi="Century Gothic" w:cstheme="minorHAnsi"/>
          <w:i/>
          <w:sz w:val="20"/>
          <w:szCs w:val="20"/>
        </w:rPr>
        <w:t xml:space="preserve">Tabuľka </w:t>
      </w:r>
      <w:r w:rsidRPr="007B16E4">
        <w:rPr>
          <w:rFonts w:ascii="Century Gothic" w:hAnsi="Century Gothic" w:cstheme="minorHAnsi"/>
          <w:i/>
          <w:sz w:val="20"/>
          <w:szCs w:val="20"/>
        </w:rPr>
        <w:fldChar w:fldCharType="begin"/>
      </w:r>
      <w:r w:rsidRPr="007B16E4">
        <w:rPr>
          <w:rFonts w:ascii="Century Gothic" w:hAnsi="Century Gothic" w:cstheme="minorHAnsi"/>
          <w:i/>
          <w:sz w:val="20"/>
          <w:szCs w:val="20"/>
        </w:rPr>
        <w:instrText xml:space="preserve"> SEQ Tabuľka \* ARABIC </w:instrText>
      </w:r>
      <w:r w:rsidRPr="007B16E4">
        <w:rPr>
          <w:rFonts w:ascii="Century Gothic" w:hAnsi="Century Gothic" w:cstheme="minorHAnsi"/>
          <w:i/>
          <w:sz w:val="20"/>
          <w:szCs w:val="20"/>
        </w:rPr>
        <w:fldChar w:fldCharType="separate"/>
      </w:r>
      <w:r w:rsidR="007D6A44">
        <w:rPr>
          <w:rFonts w:ascii="Century Gothic" w:hAnsi="Century Gothic" w:cstheme="minorHAnsi"/>
          <w:i/>
          <w:noProof/>
          <w:sz w:val="20"/>
          <w:szCs w:val="20"/>
        </w:rPr>
        <w:t>17</w:t>
      </w:r>
      <w:r w:rsidRPr="007B16E4">
        <w:rPr>
          <w:rFonts w:ascii="Century Gothic" w:hAnsi="Century Gothic" w:cstheme="minorHAnsi"/>
          <w:i/>
          <w:sz w:val="20"/>
          <w:szCs w:val="20"/>
        </w:rPr>
        <w:fldChar w:fldCharType="end"/>
      </w:r>
      <w:r w:rsidRPr="007B16E4">
        <w:rPr>
          <w:rFonts w:ascii="Century Gothic" w:hAnsi="Century Gothic" w:cstheme="minorHAnsi"/>
          <w:i/>
          <w:sz w:val="20"/>
          <w:szCs w:val="20"/>
        </w:rPr>
        <w:t xml:space="preserve"> </w:t>
      </w:r>
      <w:r w:rsidRPr="002968D3">
        <w:rPr>
          <w:rFonts w:ascii="Century Gothic" w:hAnsi="Century Gothic" w:cstheme="minorHAnsi"/>
          <w:i/>
          <w:sz w:val="20"/>
          <w:szCs w:val="20"/>
        </w:rPr>
        <w:t xml:space="preserve">Nárast počtu ošetrených pacientov v rámci ÚPS 2010 </w:t>
      </w:r>
      <w:proofErr w:type="spellStart"/>
      <w:r w:rsidRPr="002968D3">
        <w:rPr>
          <w:rFonts w:ascii="Century Gothic" w:hAnsi="Century Gothic" w:cstheme="minorHAnsi"/>
          <w:i/>
          <w:sz w:val="20"/>
          <w:szCs w:val="20"/>
        </w:rPr>
        <w:t>vs</w:t>
      </w:r>
      <w:proofErr w:type="spellEnd"/>
      <w:r w:rsidRPr="002968D3">
        <w:rPr>
          <w:rFonts w:ascii="Century Gothic" w:hAnsi="Century Gothic" w:cstheme="minorHAnsi"/>
          <w:i/>
          <w:sz w:val="20"/>
          <w:szCs w:val="20"/>
        </w:rPr>
        <w:t xml:space="preserve"> 20</w:t>
      </w:r>
      <w:r>
        <w:rPr>
          <w:rFonts w:ascii="Century Gothic" w:hAnsi="Century Gothic" w:cstheme="minorHAnsi"/>
          <w:i/>
          <w:sz w:val="20"/>
          <w:szCs w:val="20"/>
        </w:rPr>
        <w:t>22</w:t>
      </w:r>
      <w:bookmarkEnd w:id="70"/>
    </w:p>
    <w:tbl>
      <w:tblPr>
        <w:tblW w:w="5380" w:type="dxa"/>
        <w:jc w:val="center"/>
        <w:tblCellMar>
          <w:left w:w="70" w:type="dxa"/>
          <w:right w:w="70" w:type="dxa"/>
        </w:tblCellMar>
        <w:tblLook w:val="04A0" w:firstRow="1" w:lastRow="0" w:firstColumn="1" w:lastColumn="0" w:noHBand="0" w:noVBand="1"/>
      </w:tblPr>
      <w:tblGrid>
        <w:gridCol w:w="2500"/>
        <w:gridCol w:w="960"/>
        <w:gridCol w:w="960"/>
        <w:gridCol w:w="960"/>
      </w:tblGrid>
      <w:tr w:rsidR="00A43F92" w:rsidRPr="00A43F92" w14:paraId="2EDBE56A" w14:textId="77777777" w:rsidTr="00A43F92">
        <w:trPr>
          <w:trHeight w:val="300"/>
          <w:jc w:val="center"/>
        </w:trPr>
        <w:tc>
          <w:tcPr>
            <w:tcW w:w="2500" w:type="dxa"/>
            <w:shd w:val="clear" w:color="auto" w:fill="595959" w:themeFill="text1" w:themeFillTint="A6"/>
            <w:noWrap/>
            <w:vAlign w:val="bottom"/>
            <w:hideMark/>
          </w:tcPr>
          <w:p w14:paraId="4F36CD01" w14:textId="77777777" w:rsidR="003D5DCC" w:rsidRPr="00A43F92" w:rsidRDefault="003D5DCC" w:rsidP="003D5DCC">
            <w:pPr>
              <w:spacing w:line="240" w:lineRule="auto"/>
              <w:jc w:val="left"/>
              <w:rPr>
                <w:rFonts w:ascii="Arial Narrow" w:hAnsi="Arial Narrow" w:cs="Calibri"/>
                <w:color w:val="FFFFFF" w:themeColor="background1"/>
                <w:sz w:val="20"/>
                <w:szCs w:val="20"/>
              </w:rPr>
            </w:pPr>
            <w:r w:rsidRPr="00A43F92">
              <w:rPr>
                <w:rFonts w:ascii="Arial Narrow" w:hAnsi="Arial Narrow" w:cs="Calibri"/>
                <w:color w:val="FFFFFF" w:themeColor="background1"/>
                <w:sz w:val="20"/>
                <w:szCs w:val="20"/>
              </w:rPr>
              <w:t> </w:t>
            </w:r>
          </w:p>
        </w:tc>
        <w:tc>
          <w:tcPr>
            <w:tcW w:w="960" w:type="dxa"/>
            <w:shd w:val="clear" w:color="auto" w:fill="595959" w:themeFill="text1" w:themeFillTint="A6"/>
            <w:noWrap/>
            <w:vAlign w:val="bottom"/>
            <w:hideMark/>
          </w:tcPr>
          <w:p w14:paraId="046371B7" w14:textId="77777777" w:rsidR="003D5DCC" w:rsidRPr="00A43F92" w:rsidRDefault="003D5DCC" w:rsidP="007B16E4">
            <w:pPr>
              <w:spacing w:line="240" w:lineRule="auto"/>
              <w:jc w:val="center"/>
              <w:rPr>
                <w:rFonts w:ascii="Arial Narrow" w:hAnsi="Arial Narrow" w:cs="Calibri"/>
                <w:b/>
                <w:color w:val="FFFFFF" w:themeColor="background1"/>
                <w:sz w:val="20"/>
                <w:szCs w:val="20"/>
              </w:rPr>
            </w:pPr>
            <w:r w:rsidRPr="00A43F92">
              <w:rPr>
                <w:rFonts w:ascii="Arial Narrow" w:hAnsi="Arial Narrow" w:cs="Calibri"/>
                <w:b/>
                <w:color w:val="FFFFFF" w:themeColor="background1"/>
                <w:sz w:val="20"/>
                <w:szCs w:val="20"/>
              </w:rPr>
              <w:t>2010</w:t>
            </w:r>
          </w:p>
        </w:tc>
        <w:tc>
          <w:tcPr>
            <w:tcW w:w="960" w:type="dxa"/>
            <w:shd w:val="clear" w:color="auto" w:fill="595959" w:themeFill="text1" w:themeFillTint="A6"/>
            <w:noWrap/>
            <w:vAlign w:val="bottom"/>
            <w:hideMark/>
          </w:tcPr>
          <w:p w14:paraId="760E1E7E" w14:textId="77777777" w:rsidR="003D5DCC" w:rsidRPr="00A43F92" w:rsidRDefault="003D5DCC" w:rsidP="007B16E4">
            <w:pPr>
              <w:spacing w:line="240" w:lineRule="auto"/>
              <w:jc w:val="center"/>
              <w:rPr>
                <w:rFonts w:ascii="Arial Narrow" w:hAnsi="Arial Narrow" w:cs="Calibri"/>
                <w:b/>
                <w:color w:val="FFFFFF" w:themeColor="background1"/>
                <w:sz w:val="20"/>
                <w:szCs w:val="20"/>
              </w:rPr>
            </w:pPr>
            <w:r w:rsidRPr="00A43F92">
              <w:rPr>
                <w:rFonts w:ascii="Arial Narrow" w:hAnsi="Arial Narrow" w:cs="Calibri"/>
                <w:b/>
                <w:color w:val="FFFFFF" w:themeColor="background1"/>
                <w:sz w:val="20"/>
                <w:szCs w:val="20"/>
              </w:rPr>
              <w:t>2022</w:t>
            </w:r>
          </w:p>
        </w:tc>
        <w:tc>
          <w:tcPr>
            <w:tcW w:w="960" w:type="dxa"/>
            <w:shd w:val="clear" w:color="auto" w:fill="595959" w:themeFill="text1" w:themeFillTint="A6"/>
            <w:noWrap/>
            <w:vAlign w:val="bottom"/>
            <w:hideMark/>
          </w:tcPr>
          <w:p w14:paraId="16B4BDA3" w14:textId="6F7E8E13" w:rsidR="003D5DCC" w:rsidRPr="00A43F92" w:rsidRDefault="003D5DCC" w:rsidP="007B16E4">
            <w:pPr>
              <w:spacing w:line="240" w:lineRule="auto"/>
              <w:jc w:val="center"/>
              <w:rPr>
                <w:rFonts w:ascii="Arial Narrow" w:hAnsi="Arial Narrow" w:cs="Calibri"/>
                <w:b/>
                <w:color w:val="FFFFFF" w:themeColor="background1"/>
                <w:sz w:val="20"/>
                <w:szCs w:val="20"/>
              </w:rPr>
            </w:pPr>
            <w:r w:rsidRPr="00A43F92">
              <w:rPr>
                <w:rFonts w:ascii="Arial Narrow" w:hAnsi="Arial Narrow" w:cs="Calibri"/>
                <w:b/>
                <w:color w:val="FFFFFF" w:themeColor="background1"/>
                <w:sz w:val="20"/>
                <w:szCs w:val="20"/>
              </w:rPr>
              <w:t>%</w:t>
            </w:r>
          </w:p>
        </w:tc>
      </w:tr>
      <w:tr w:rsidR="003D5DCC" w:rsidRPr="007B16E4" w14:paraId="520E5D40" w14:textId="77777777" w:rsidTr="00A43F92">
        <w:trPr>
          <w:trHeight w:val="300"/>
          <w:jc w:val="center"/>
        </w:trPr>
        <w:tc>
          <w:tcPr>
            <w:tcW w:w="2500" w:type="dxa"/>
            <w:shd w:val="clear" w:color="auto" w:fill="auto"/>
            <w:noWrap/>
            <w:vAlign w:val="bottom"/>
            <w:hideMark/>
          </w:tcPr>
          <w:p w14:paraId="44FCED1F" w14:textId="77777777" w:rsidR="003D5DCC" w:rsidRPr="007B16E4" w:rsidRDefault="003D5DCC" w:rsidP="003D5DCC">
            <w:pPr>
              <w:spacing w:line="240" w:lineRule="auto"/>
              <w:jc w:val="left"/>
              <w:rPr>
                <w:rFonts w:ascii="Arial Narrow" w:hAnsi="Arial Narrow" w:cs="Calibri"/>
                <w:color w:val="000000"/>
                <w:sz w:val="20"/>
                <w:szCs w:val="20"/>
              </w:rPr>
            </w:pPr>
            <w:r w:rsidRPr="007B16E4">
              <w:rPr>
                <w:rFonts w:ascii="Arial Narrow" w:hAnsi="Arial Narrow" w:cs="Calibri"/>
                <w:color w:val="000000"/>
                <w:sz w:val="20"/>
                <w:szCs w:val="20"/>
              </w:rPr>
              <w:t>chirurgia</w:t>
            </w:r>
          </w:p>
        </w:tc>
        <w:tc>
          <w:tcPr>
            <w:tcW w:w="960" w:type="dxa"/>
            <w:shd w:val="clear" w:color="auto" w:fill="auto"/>
            <w:noWrap/>
            <w:vAlign w:val="bottom"/>
            <w:hideMark/>
          </w:tcPr>
          <w:p w14:paraId="3621A165"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3 519</w:t>
            </w:r>
          </w:p>
        </w:tc>
        <w:tc>
          <w:tcPr>
            <w:tcW w:w="960" w:type="dxa"/>
            <w:shd w:val="clear" w:color="auto" w:fill="auto"/>
            <w:noWrap/>
            <w:vAlign w:val="bottom"/>
            <w:hideMark/>
          </w:tcPr>
          <w:p w14:paraId="43395F15"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6 759</w:t>
            </w:r>
          </w:p>
        </w:tc>
        <w:tc>
          <w:tcPr>
            <w:tcW w:w="960" w:type="dxa"/>
            <w:shd w:val="clear" w:color="auto" w:fill="auto"/>
            <w:noWrap/>
            <w:vAlign w:val="bottom"/>
            <w:hideMark/>
          </w:tcPr>
          <w:p w14:paraId="0B0175BC"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192</w:t>
            </w:r>
          </w:p>
        </w:tc>
      </w:tr>
      <w:tr w:rsidR="003D5DCC" w:rsidRPr="007B16E4" w14:paraId="258AABB5" w14:textId="77777777" w:rsidTr="00A43F92">
        <w:trPr>
          <w:trHeight w:val="300"/>
          <w:jc w:val="center"/>
        </w:trPr>
        <w:tc>
          <w:tcPr>
            <w:tcW w:w="2500" w:type="dxa"/>
            <w:shd w:val="clear" w:color="auto" w:fill="auto"/>
            <w:noWrap/>
            <w:vAlign w:val="bottom"/>
            <w:hideMark/>
          </w:tcPr>
          <w:p w14:paraId="0C1C43AF" w14:textId="77777777" w:rsidR="003D5DCC" w:rsidRPr="007B16E4" w:rsidRDefault="003D5DCC" w:rsidP="003D5DCC">
            <w:pPr>
              <w:spacing w:line="240" w:lineRule="auto"/>
              <w:jc w:val="left"/>
              <w:rPr>
                <w:rFonts w:ascii="Arial Narrow" w:hAnsi="Arial Narrow" w:cs="Calibri"/>
                <w:color w:val="000000"/>
                <w:sz w:val="20"/>
                <w:szCs w:val="20"/>
              </w:rPr>
            </w:pPr>
            <w:r w:rsidRPr="007B16E4">
              <w:rPr>
                <w:rFonts w:ascii="Arial Narrow" w:hAnsi="Arial Narrow" w:cs="Calibri"/>
                <w:color w:val="000000"/>
                <w:sz w:val="20"/>
                <w:szCs w:val="20"/>
              </w:rPr>
              <w:t>úrazová chirurgia</w:t>
            </w:r>
          </w:p>
        </w:tc>
        <w:tc>
          <w:tcPr>
            <w:tcW w:w="960" w:type="dxa"/>
            <w:shd w:val="clear" w:color="auto" w:fill="auto"/>
            <w:noWrap/>
            <w:vAlign w:val="bottom"/>
            <w:hideMark/>
          </w:tcPr>
          <w:p w14:paraId="335D457A"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11 015</w:t>
            </w:r>
          </w:p>
        </w:tc>
        <w:tc>
          <w:tcPr>
            <w:tcW w:w="960" w:type="dxa"/>
            <w:shd w:val="clear" w:color="auto" w:fill="auto"/>
            <w:noWrap/>
            <w:vAlign w:val="bottom"/>
            <w:hideMark/>
          </w:tcPr>
          <w:p w14:paraId="1C3F15F1"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16 291</w:t>
            </w:r>
          </w:p>
        </w:tc>
        <w:tc>
          <w:tcPr>
            <w:tcW w:w="960" w:type="dxa"/>
            <w:shd w:val="clear" w:color="auto" w:fill="auto"/>
            <w:noWrap/>
            <w:vAlign w:val="bottom"/>
            <w:hideMark/>
          </w:tcPr>
          <w:p w14:paraId="3B397001"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148</w:t>
            </w:r>
          </w:p>
        </w:tc>
      </w:tr>
      <w:tr w:rsidR="003D5DCC" w:rsidRPr="007B16E4" w14:paraId="778796C1" w14:textId="77777777" w:rsidTr="00A43F92">
        <w:trPr>
          <w:trHeight w:val="300"/>
          <w:jc w:val="center"/>
        </w:trPr>
        <w:tc>
          <w:tcPr>
            <w:tcW w:w="2500" w:type="dxa"/>
            <w:shd w:val="clear" w:color="auto" w:fill="auto"/>
            <w:noWrap/>
            <w:vAlign w:val="bottom"/>
            <w:hideMark/>
          </w:tcPr>
          <w:p w14:paraId="53EA1452" w14:textId="77777777" w:rsidR="003D5DCC" w:rsidRPr="007B16E4" w:rsidRDefault="003D5DCC" w:rsidP="003D5DCC">
            <w:pPr>
              <w:spacing w:line="240" w:lineRule="auto"/>
              <w:jc w:val="left"/>
              <w:rPr>
                <w:rFonts w:ascii="Arial Narrow" w:hAnsi="Arial Narrow" w:cs="Calibri"/>
                <w:color w:val="000000"/>
                <w:sz w:val="20"/>
                <w:szCs w:val="20"/>
              </w:rPr>
            </w:pPr>
            <w:r w:rsidRPr="007B16E4">
              <w:rPr>
                <w:rFonts w:ascii="Arial Narrow" w:hAnsi="Arial Narrow" w:cs="Calibri"/>
                <w:color w:val="000000"/>
                <w:sz w:val="20"/>
                <w:szCs w:val="20"/>
              </w:rPr>
              <w:t>vnútorné lekárstvo</w:t>
            </w:r>
          </w:p>
        </w:tc>
        <w:tc>
          <w:tcPr>
            <w:tcW w:w="960" w:type="dxa"/>
            <w:shd w:val="clear" w:color="auto" w:fill="auto"/>
            <w:noWrap/>
            <w:vAlign w:val="bottom"/>
            <w:hideMark/>
          </w:tcPr>
          <w:p w14:paraId="561A7843"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5 221</w:t>
            </w:r>
          </w:p>
        </w:tc>
        <w:tc>
          <w:tcPr>
            <w:tcW w:w="960" w:type="dxa"/>
            <w:shd w:val="clear" w:color="auto" w:fill="auto"/>
            <w:noWrap/>
            <w:vAlign w:val="bottom"/>
            <w:hideMark/>
          </w:tcPr>
          <w:p w14:paraId="50848073"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13 550</w:t>
            </w:r>
          </w:p>
        </w:tc>
        <w:tc>
          <w:tcPr>
            <w:tcW w:w="960" w:type="dxa"/>
            <w:shd w:val="clear" w:color="auto" w:fill="auto"/>
            <w:noWrap/>
            <w:vAlign w:val="bottom"/>
            <w:hideMark/>
          </w:tcPr>
          <w:p w14:paraId="06409B04" w14:textId="77777777" w:rsidR="003D5DCC" w:rsidRPr="007B16E4" w:rsidRDefault="003D5DCC" w:rsidP="007B16E4">
            <w:pPr>
              <w:spacing w:line="240" w:lineRule="auto"/>
              <w:jc w:val="center"/>
              <w:rPr>
                <w:rFonts w:ascii="Arial Narrow" w:hAnsi="Arial Narrow" w:cs="Calibri"/>
                <w:color w:val="000000"/>
                <w:sz w:val="20"/>
                <w:szCs w:val="20"/>
              </w:rPr>
            </w:pPr>
            <w:r w:rsidRPr="007B16E4">
              <w:rPr>
                <w:rFonts w:ascii="Arial Narrow" w:hAnsi="Arial Narrow" w:cs="Calibri"/>
                <w:color w:val="000000"/>
                <w:sz w:val="20"/>
                <w:szCs w:val="20"/>
              </w:rPr>
              <w:t>260</w:t>
            </w:r>
          </w:p>
        </w:tc>
      </w:tr>
    </w:tbl>
    <w:p w14:paraId="0D5818A4" w14:textId="6712E118" w:rsidR="00F41314" w:rsidRPr="006B1505" w:rsidRDefault="00F41314" w:rsidP="00F4131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r>
        <w:rPr>
          <w:rFonts w:ascii="Century Gothic" w:hAnsi="Century Gothic" w:cstheme="minorHAnsi"/>
          <w:b w:val="0"/>
          <w:i/>
          <w:sz w:val="18"/>
          <w:szCs w:val="18"/>
        </w:rPr>
        <w:t xml:space="preserve">, </w:t>
      </w:r>
      <w:r w:rsidR="00D048F2">
        <w:rPr>
          <w:rFonts w:ascii="Century Gothic" w:hAnsi="Century Gothic" w:cstheme="minorHAnsi"/>
          <w:b w:val="0"/>
          <w:i/>
          <w:sz w:val="18"/>
          <w:szCs w:val="18"/>
        </w:rPr>
        <w:t>vlastné spracovanie</w:t>
      </w:r>
    </w:p>
    <w:p w14:paraId="1F7B04D9" w14:textId="77777777" w:rsidR="00F41314" w:rsidRDefault="00F41314" w:rsidP="00943E84">
      <w:pPr>
        <w:spacing w:line="240" w:lineRule="auto"/>
        <w:rPr>
          <w:rFonts w:ascii="Century Gothic" w:hAnsi="Century Gothic" w:cstheme="minorHAnsi"/>
          <w:sz w:val="22"/>
          <w:szCs w:val="22"/>
        </w:rPr>
      </w:pPr>
    </w:p>
    <w:p w14:paraId="64341969" w14:textId="77777777" w:rsidR="00943E84" w:rsidRPr="00943E84" w:rsidRDefault="00943E84" w:rsidP="007F681B">
      <w:pPr>
        <w:pStyle w:val="Odsekzoznamu"/>
        <w:numPr>
          <w:ilvl w:val="0"/>
          <w:numId w:val="47"/>
        </w:numPr>
        <w:spacing w:line="240" w:lineRule="auto"/>
        <w:rPr>
          <w:rFonts w:ascii="Century Gothic" w:hAnsi="Century Gothic" w:cstheme="minorHAnsi"/>
          <w:b/>
          <w:sz w:val="22"/>
          <w:szCs w:val="22"/>
        </w:rPr>
      </w:pPr>
      <w:r w:rsidRPr="00943E84">
        <w:rPr>
          <w:rFonts w:ascii="Century Gothic" w:hAnsi="Century Gothic" w:cstheme="minorHAnsi"/>
          <w:b/>
          <w:sz w:val="22"/>
          <w:szCs w:val="22"/>
        </w:rPr>
        <w:t>Ústavná zdravotná starostlivosť</w:t>
      </w:r>
    </w:p>
    <w:p w14:paraId="3D62C32C" w14:textId="77777777" w:rsidR="00943E84" w:rsidRDefault="00943E84" w:rsidP="00943E84">
      <w:pPr>
        <w:spacing w:line="240" w:lineRule="auto"/>
        <w:rPr>
          <w:rFonts w:ascii="Century Gothic" w:hAnsi="Century Gothic" w:cstheme="minorHAnsi"/>
          <w:sz w:val="22"/>
          <w:szCs w:val="22"/>
        </w:rPr>
      </w:pPr>
    </w:p>
    <w:p w14:paraId="755205D3" w14:textId="77777777" w:rsidR="00032D3B" w:rsidRDefault="00032D3B" w:rsidP="00032D3B">
      <w:pPr>
        <w:spacing w:line="240" w:lineRule="auto"/>
        <w:rPr>
          <w:rFonts w:ascii="Century Gothic" w:hAnsi="Century Gothic" w:cstheme="minorHAnsi"/>
          <w:sz w:val="22"/>
          <w:szCs w:val="22"/>
        </w:rPr>
      </w:pPr>
      <w:r>
        <w:rPr>
          <w:rFonts w:ascii="Century Gothic" w:hAnsi="Century Gothic" w:cstheme="minorHAnsi"/>
          <w:sz w:val="22"/>
          <w:szCs w:val="22"/>
        </w:rPr>
        <w:t>Tak ako v ambulantnej sfére aj v oblasti ústavnej starostlivosti nemocnica posledných 10 rokov zvyšuje svoj výkon. Nejde až tak o kvantitatívne ako skôr o kvalitatívne údaje.</w:t>
      </w:r>
    </w:p>
    <w:p w14:paraId="66B65F38" w14:textId="151EEFEE" w:rsidR="00032D3B" w:rsidRDefault="00032D3B" w:rsidP="00032D3B">
      <w:pPr>
        <w:spacing w:line="240" w:lineRule="auto"/>
        <w:rPr>
          <w:rFonts w:ascii="Century Gothic" w:hAnsi="Century Gothic" w:cstheme="minorHAnsi"/>
          <w:sz w:val="22"/>
          <w:szCs w:val="22"/>
        </w:rPr>
      </w:pPr>
      <w:r>
        <w:rPr>
          <w:rFonts w:ascii="Century Gothic" w:hAnsi="Century Gothic" w:cstheme="minorHAnsi"/>
          <w:sz w:val="22"/>
          <w:szCs w:val="22"/>
        </w:rPr>
        <w:t>Vývoj počtu hospitalizovaných je ovplyvnený zrušením piatich oddelení k 1.7.2011 (pľúcne, infek</w:t>
      </w:r>
      <w:r w:rsidR="009852FF">
        <w:rPr>
          <w:rFonts w:ascii="Century Gothic" w:hAnsi="Century Gothic" w:cstheme="minorHAnsi"/>
          <w:sz w:val="22"/>
          <w:szCs w:val="22"/>
        </w:rPr>
        <w:t>čné, ORL, cievna chirurgia a </w:t>
      </w:r>
      <w:proofErr w:type="spellStart"/>
      <w:r w:rsidR="009852FF">
        <w:rPr>
          <w:rFonts w:ascii="Century Gothic" w:hAnsi="Century Gothic" w:cstheme="minorHAnsi"/>
          <w:sz w:val="22"/>
          <w:szCs w:val="22"/>
        </w:rPr>
        <w:t>ar</w:t>
      </w:r>
      <w:r>
        <w:rPr>
          <w:rFonts w:ascii="Century Gothic" w:hAnsi="Century Gothic" w:cstheme="minorHAnsi"/>
          <w:sz w:val="22"/>
          <w:szCs w:val="22"/>
        </w:rPr>
        <w:t>ytmológia</w:t>
      </w:r>
      <w:proofErr w:type="spellEnd"/>
      <w:r>
        <w:rPr>
          <w:rFonts w:ascii="Century Gothic" w:hAnsi="Century Gothic" w:cstheme="minorHAnsi"/>
          <w:sz w:val="22"/>
          <w:szCs w:val="22"/>
        </w:rPr>
        <w:t xml:space="preserve">/koronárna jednotka), čím nastal pokles v rokoch 2012-1015. Zároveň v roku 2016 vzniklo lôžkové oddelenie </w:t>
      </w:r>
      <w:r w:rsidR="001702DD">
        <w:rPr>
          <w:rFonts w:ascii="Century Gothic" w:hAnsi="Century Gothic" w:cstheme="minorHAnsi"/>
          <w:sz w:val="22"/>
          <w:szCs w:val="22"/>
        </w:rPr>
        <w:t xml:space="preserve"> </w:t>
      </w:r>
      <w:r w:rsidR="001702DD">
        <w:rPr>
          <w:rFonts w:ascii="Century Gothic" w:hAnsi="Century Gothic" w:cstheme="minorHAnsi"/>
          <w:sz w:val="20"/>
          <w:szCs w:val="20"/>
        </w:rPr>
        <w:t>FRO</w:t>
      </w:r>
      <w:r w:rsidR="00CC01B2">
        <w:rPr>
          <w:rFonts w:ascii="Century Gothic" w:hAnsi="Century Gothic" w:cstheme="minorHAnsi"/>
          <w:sz w:val="22"/>
          <w:szCs w:val="22"/>
        </w:rPr>
        <w:t xml:space="preserve"> a liečebnej rehabilitácie </w:t>
      </w:r>
      <w:r>
        <w:rPr>
          <w:rFonts w:ascii="Century Gothic" w:hAnsi="Century Gothic" w:cstheme="minorHAnsi"/>
          <w:sz w:val="22"/>
          <w:szCs w:val="22"/>
        </w:rPr>
        <w:t>a ošetrovateľské oddelenie v roku 2019. Návrat starostlivosti o cievno-chirurgických pacientov prebieha v rámci oddelenia chirurgie od roku 2018 po získaní príslušných špecialistov.</w:t>
      </w:r>
    </w:p>
    <w:p w14:paraId="3256E448" w14:textId="043EF90D"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lastRenderedPageBreak/>
        <w:t xml:space="preserve">Viaceré chirurgické odbornosti presúvajú svoje výkony do jednodňovej starostlivosti, čo bližšie popíšeme </w:t>
      </w:r>
      <w:r w:rsidR="00115C2E">
        <w:rPr>
          <w:rFonts w:ascii="Century Gothic" w:hAnsi="Century Gothic" w:cstheme="minorHAnsi"/>
          <w:sz w:val="22"/>
          <w:szCs w:val="22"/>
        </w:rPr>
        <w:t>v ďalšom texte</w:t>
      </w:r>
      <w:r>
        <w:rPr>
          <w:rFonts w:ascii="Century Gothic" w:hAnsi="Century Gothic" w:cstheme="minorHAnsi"/>
          <w:sz w:val="22"/>
          <w:szCs w:val="22"/>
        </w:rPr>
        <w:t>.</w:t>
      </w:r>
    </w:p>
    <w:p w14:paraId="4A805D8C" w14:textId="139E1F4A" w:rsidR="00943E84" w:rsidRDefault="00943E84" w:rsidP="00943E84">
      <w:pPr>
        <w:spacing w:line="240" w:lineRule="auto"/>
        <w:rPr>
          <w:rFonts w:ascii="Century Gothic" w:hAnsi="Century Gothic" w:cstheme="minorHAnsi"/>
          <w:sz w:val="22"/>
          <w:szCs w:val="22"/>
        </w:rPr>
      </w:pPr>
    </w:p>
    <w:p w14:paraId="187A71AE" w14:textId="1938E39E" w:rsidR="009E2327" w:rsidRPr="00A664BB" w:rsidRDefault="00A664BB" w:rsidP="00A664BB">
      <w:pPr>
        <w:keepNext/>
        <w:spacing w:line="240" w:lineRule="auto"/>
        <w:jc w:val="left"/>
        <w:rPr>
          <w:rFonts w:ascii="Century Gothic" w:hAnsi="Century Gothic" w:cs="Arial"/>
          <w:i/>
          <w:sz w:val="20"/>
          <w:szCs w:val="20"/>
        </w:rPr>
      </w:pPr>
      <w:bookmarkStart w:id="71" w:name="_Toc145219878"/>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7</w:t>
      </w:r>
      <w:r w:rsidRPr="00A664BB">
        <w:rPr>
          <w:rFonts w:ascii="Century Gothic" w:hAnsi="Century Gothic" w:cs="Arial"/>
          <w:i/>
          <w:sz w:val="20"/>
          <w:szCs w:val="20"/>
        </w:rPr>
        <w:fldChar w:fldCharType="end"/>
      </w:r>
      <w:r w:rsidR="009E2327" w:rsidRPr="00A664BB">
        <w:rPr>
          <w:rFonts w:ascii="Century Gothic" w:hAnsi="Century Gothic" w:cs="Arial"/>
          <w:i/>
          <w:sz w:val="20"/>
          <w:szCs w:val="20"/>
        </w:rPr>
        <w:t xml:space="preserve"> Vývoj počtu hospitalizovaných 2010 – 202</w:t>
      </w:r>
      <w:r w:rsidR="003D5DCC" w:rsidRPr="00A664BB">
        <w:rPr>
          <w:rFonts w:ascii="Century Gothic" w:hAnsi="Century Gothic" w:cs="Arial"/>
          <w:i/>
          <w:sz w:val="20"/>
          <w:szCs w:val="20"/>
        </w:rPr>
        <w:t>2</w:t>
      </w:r>
      <w:bookmarkEnd w:id="71"/>
      <w:r w:rsidR="009E2327" w:rsidRPr="00A664BB">
        <w:rPr>
          <w:rFonts w:ascii="Century Gothic" w:hAnsi="Century Gothic" w:cs="Arial"/>
          <w:i/>
          <w:sz w:val="20"/>
          <w:szCs w:val="20"/>
        </w:rPr>
        <w:t xml:space="preserve"> </w:t>
      </w:r>
    </w:p>
    <w:p w14:paraId="39919C76" w14:textId="7F2A2474" w:rsidR="00943E84" w:rsidRDefault="003D5DCC" w:rsidP="00B227E6">
      <w:pPr>
        <w:spacing w:line="240" w:lineRule="auto"/>
        <w:jc w:val="center"/>
        <w:rPr>
          <w:rFonts w:ascii="Century Gothic" w:hAnsi="Century Gothic" w:cstheme="minorHAnsi"/>
          <w:sz w:val="22"/>
          <w:szCs w:val="22"/>
        </w:rPr>
      </w:pPr>
      <w:r>
        <w:rPr>
          <w:noProof/>
        </w:rPr>
        <w:drawing>
          <wp:inline distT="0" distB="0" distL="0" distR="0" wp14:anchorId="0EC584E2" wp14:editId="48E200CD">
            <wp:extent cx="4532971" cy="2685121"/>
            <wp:effectExtent l="0" t="0" r="1270" b="1270"/>
            <wp:docPr id="51" name="Graf 51">
              <a:extLst xmlns:a="http://schemas.openxmlformats.org/drawingml/2006/main">
                <a:ext uri="{FF2B5EF4-FFF2-40B4-BE49-F238E27FC236}">
                  <a16:creationId xmlns:a16="http://schemas.microsoft.com/office/drawing/2014/main" id="{B0CFC02E-045C-F972-A7CF-84E77EFE3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9E45AA" w14:textId="1C967724" w:rsidR="009E2327" w:rsidRDefault="009E2327" w:rsidP="009E2327">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222C3FDF" w14:textId="77777777" w:rsidR="00943E84" w:rsidRDefault="00943E84" w:rsidP="00943E84">
      <w:pPr>
        <w:spacing w:line="240" w:lineRule="auto"/>
        <w:rPr>
          <w:rFonts w:ascii="Century Gothic" w:hAnsi="Century Gothic" w:cstheme="minorHAnsi"/>
          <w:sz w:val="22"/>
          <w:szCs w:val="22"/>
        </w:rPr>
      </w:pPr>
    </w:p>
    <w:p w14:paraId="277BC4DF" w14:textId="190FFDA1"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 xml:space="preserve">Dôležitým pohľadom na pacientov prijatých na lôžka je aj ich štruktúra. Neplánované príjmy tvoria síce stále cca </w:t>
      </w:r>
      <w:r w:rsidR="00681336">
        <w:rPr>
          <w:rFonts w:ascii="Century Gothic" w:hAnsi="Century Gothic" w:cstheme="minorHAnsi"/>
          <w:sz w:val="22"/>
          <w:szCs w:val="22"/>
        </w:rPr>
        <w:t>30-50</w:t>
      </w:r>
      <w:r>
        <w:rPr>
          <w:rFonts w:ascii="Century Gothic" w:hAnsi="Century Gothic" w:cstheme="minorHAnsi"/>
          <w:sz w:val="22"/>
          <w:szCs w:val="22"/>
        </w:rPr>
        <w:t xml:space="preserve"> % celkových príjmov, avšak ich absolútny počet samozrejme stúpa, čo je zásadnou záťažou pre personál v ÚPS a nočných službách nakoľko sa podiel príjmov mimo pracovnú dobu zvýšil z 11 % na </w:t>
      </w:r>
      <w:r w:rsidR="001B457D">
        <w:rPr>
          <w:rFonts w:ascii="Century Gothic" w:hAnsi="Century Gothic" w:cstheme="minorHAnsi"/>
          <w:sz w:val="22"/>
          <w:szCs w:val="22"/>
        </w:rPr>
        <w:t>25</w:t>
      </w:r>
      <w:r>
        <w:rPr>
          <w:rFonts w:ascii="Century Gothic" w:hAnsi="Century Gothic" w:cstheme="minorHAnsi"/>
          <w:sz w:val="22"/>
          <w:szCs w:val="22"/>
        </w:rPr>
        <w:t xml:space="preserve"> %. Celkový absolútny vzostup v roku 2020 je daný COVID pacientmi.</w:t>
      </w:r>
    </w:p>
    <w:p w14:paraId="10D90E35" w14:textId="728122BE" w:rsidR="00943E84" w:rsidRDefault="00943E84" w:rsidP="00943E84">
      <w:pPr>
        <w:spacing w:line="240" w:lineRule="auto"/>
        <w:rPr>
          <w:rFonts w:ascii="Century Gothic" w:hAnsi="Century Gothic" w:cstheme="minorHAnsi"/>
          <w:sz w:val="22"/>
          <w:szCs w:val="22"/>
        </w:rPr>
      </w:pPr>
    </w:p>
    <w:p w14:paraId="5F1ED639" w14:textId="5064B190" w:rsidR="009E2327" w:rsidRPr="000E4F94" w:rsidRDefault="000E4F94" w:rsidP="000E4F94">
      <w:pPr>
        <w:keepNext/>
        <w:spacing w:line="240" w:lineRule="auto"/>
        <w:jc w:val="left"/>
        <w:rPr>
          <w:rFonts w:ascii="Century Gothic" w:hAnsi="Century Gothic" w:cs="Arial"/>
          <w:i/>
          <w:sz w:val="20"/>
          <w:szCs w:val="20"/>
        </w:rPr>
      </w:pPr>
      <w:bookmarkStart w:id="72" w:name="_Toc145219879"/>
      <w:r w:rsidRPr="000E4F94">
        <w:rPr>
          <w:rFonts w:ascii="Century Gothic" w:hAnsi="Century Gothic" w:cs="Arial"/>
          <w:i/>
          <w:sz w:val="20"/>
          <w:szCs w:val="20"/>
        </w:rPr>
        <w:t xml:space="preserve">Graf </w:t>
      </w:r>
      <w:r w:rsidRPr="000E4F94">
        <w:rPr>
          <w:rFonts w:ascii="Century Gothic" w:hAnsi="Century Gothic" w:cs="Arial"/>
          <w:i/>
          <w:sz w:val="20"/>
          <w:szCs w:val="20"/>
        </w:rPr>
        <w:fldChar w:fldCharType="begin"/>
      </w:r>
      <w:r w:rsidRPr="000E4F94">
        <w:rPr>
          <w:rFonts w:ascii="Century Gothic" w:hAnsi="Century Gothic" w:cs="Arial"/>
          <w:i/>
          <w:sz w:val="20"/>
          <w:szCs w:val="20"/>
        </w:rPr>
        <w:instrText xml:space="preserve"> SEQ Graf \* ARABIC </w:instrText>
      </w:r>
      <w:r w:rsidRPr="000E4F94">
        <w:rPr>
          <w:rFonts w:ascii="Century Gothic" w:hAnsi="Century Gothic" w:cs="Arial"/>
          <w:i/>
          <w:sz w:val="20"/>
          <w:szCs w:val="20"/>
        </w:rPr>
        <w:fldChar w:fldCharType="separate"/>
      </w:r>
      <w:r w:rsidR="007D6A44">
        <w:rPr>
          <w:rFonts w:ascii="Century Gothic" w:hAnsi="Century Gothic" w:cs="Arial"/>
          <w:i/>
          <w:noProof/>
          <w:sz w:val="20"/>
          <w:szCs w:val="20"/>
        </w:rPr>
        <w:t>8</w:t>
      </w:r>
      <w:r w:rsidRPr="000E4F94">
        <w:rPr>
          <w:rFonts w:ascii="Century Gothic" w:hAnsi="Century Gothic" w:cs="Arial"/>
          <w:i/>
          <w:sz w:val="20"/>
          <w:szCs w:val="20"/>
        </w:rPr>
        <w:fldChar w:fldCharType="end"/>
      </w:r>
      <w:r w:rsidRPr="000E4F94">
        <w:rPr>
          <w:rFonts w:ascii="Century Gothic" w:hAnsi="Century Gothic" w:cs="Arial"/>
          <w:i/>
          <w:sz w:val="20"/>
          <w:szCs w:val="20"/>
        </w:rPr>
        <w:t xml:space="preserve"> </w:t>
      </w:r>
      <w:r w:rsidR="009E2327" w:rsidRPr="000E4F94">
        <w:rPr>
          <w:rFonts w:ascii="Century Gothic" w:hAnsi="Century Gothic" w:cs="Arial"/>
          <w:i/>
          <w:sz w:val="20"/>
          <w:szCs w:val="20"/>
        </w:rPr>
        <w:t>Počet akútnych príjmov</w:t>
      </w:r>
      <w:r w:rsidR="001B457D" w:rsidRPr="000E4F94">
        <w:rPr>
          <w:rFonts w:ascii="Century Gothic" w:hAnsi="Century Gothic" w:cs="Arial"/>
          <w:i/>
          <w:sz w:val="20"/>
          <w:szCs w:val="20"/>
        </w:rPr>
        <w:t xml:space="preserve"> vo vzťahu k celkovým </w:t>
      </w:r>
      <w:r w:rsidR="00511032" w:rsidRPr="000E4F94">
        <w:rPr>
          <w:rFonts w:ascii="Century Gothic" w:hAnsi="Century Gothic" w:cs="Arial"/>
          <w:i/>
          <w:sz w:val="20"/>
          <w:szCs w:val="20"/>
        </w:rPr>
        <w:t>príjmom</w:t>
      </w:r>
      <w:r w:rsidR="00130E36" w:rsidRPr="000E4F94">
        <w:rPr>
          <w:rFonts w:ascii="Century Gothic" w:hAnsi="Century Gothic" w:cs="Arial"/>
          <w:i/>
          <w:sz w:val="20"/>
          <w:szCs w:val="20"/>
        </w:rPr>
        <w:t xml:space="preserve"> vo </w:t>
      </w:r>
      <w:proofErr w:type="spellStart"/>
      <w:r w:rsidR="00130E36" w:rsidRPr="000E4F94">
        <w:rPr>
          <w:rFonts w:ascii="Century Gothic" w:hAnsi="Century Gothic" w:cs="Arial"/>
          <w:i/>
          <w:sz w:val="20"/>
          <w:szCs w:val="20"/>
        </w:rPr>
        <w:t>FNsP</w:t>
      </w:r>
      <w:proofErr w:type="spellEnd"/>
      <w:r w:rsidR="00130E36" w:rsidRPr="000E4F94">
        <w:rPr>
          <w:rFonts w:ascii="Century Gothic" w:hAnsi="Century Gothic" w:cs="Arial"/>
          <w:i/>
          <w:sz w:val="20"/>
          <w:szCs w:val="20"/>
        </w:rPr>
        <w:t xml:space="preserve"> Žilina</w:t>
      </w:r>
      <w:bookmarkEnd w:id="72"/>
    </w:p>
    <w:p w14:paraId="2BE01F33" w14:textId="1581D1F2" w:rsidR="00681336" w:rsidRDefault="00681336" w:rsidP="00B227E6">
      <w:pPr>
        <w:spacing w:line="240" w:lineRule="auto"/>
        <w:jc w:val="center"/>
        <w:rPr>
          <w:rFonts w:ascii="Century Gothic" w:hAnsi="Century Gothic"/>
          <w:i/>
          <w:sz w:val="20"/>
          <w:szCs w:val="20"/>
        </w:rPr>
      </w:pPr>
      <w:r>
        <w:rPr>
          <w:noProof/>
        </w:rPr>
        <w:drawing>
          <wp:inline distT="0" distB="0" distL="0" distR="0" wp14:anchorId="23EC7AD0" wp14:editId="65B3BB09">
            <wp:extent cx="4572000" cy="2743200"/>
            <wp:effectExtent l="0" t="0" r="0" b="0"/>
            <wp:docPr id="61" name="Graf 61">
              <a:extLst xmlns:a="http://schemas.openxmlformats.org/drawingml/2006/main">
                <a:ext uri="{FF2B5EF4-FFF2-40B4-BE49-F238E27FC236}">
                  <a16:creationId xmlns:a16="http://schemas.microsoft.com/office/drawing/2014/main" id="{1C7D397A-6A7A-1229-97E3-4426C824E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05FFD31" w14:textId="6D811731" w:rsidR="001B457D" w:rsidRDefault="001B457D" w:rsidP="009E2327">
      <w:pPr>
        <w:spacing w:line="240" w:lineRule="auto"/>
        <w:rPr>
          <w:rFonts w:ascii="Century Gothic" w:hAnsi="Century Gothic"/>
          <w:i/>
          <w:sz w:val="20"/>
          <w:szCs w:val="20"/>
        </w:rPr>
      </w:pPr>
    </w:p>
    <w:p w14:paraId="4F1E184C" w14:textId="77777777" w:rsidR="00B644EE" w:rsidRDefault="00B644EE" w:rsidP="009E2327">
      <w:pPr>
        <w:spacing w:line="240" w:lineRule="auto"/>
        <w:rPr>
          <w:rFonts w:ascii="Century Gothic" w:hAnsi="Century Gothic"/>
          <w:i/>
          <w:sz w:val="20"/>
          <w:szCs w:val="20"/>
        </w:rPr>
      </w:pPr>
    </w:p>
    <w:p w14:paraId="21B64866" w14:textId="08D5BEA1" w:rsidR="008B771C" w:rsidRPr="00A664BB" w:rsidRDefault="00A664BB" w:rsidP="00A664BB">
      <w:pPr>
        <w:keepNext/>
        <w:spacing w:line="240" w:lineRule="auto"/>
        <w:jc w:val="left"/>
        <w:rPr>
          <w:rFonts w:ascii="Century Gothic" w:hAnsi="Century Gothic" w:cs="Arial"/>
          <w:i/>
          <w:sz w:val="20"/>
          <w:szCs w:val="20"/>
        </w:rPr>
      </w:pPr>
      <w:bookmarkStart w:id="73" w:name="_Toc145219880"/>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9</w:t>
      </w:r>
      <w:r w:rsidRPr="00A664BB">
        <w:rPr>
          <w:rFonts w:ascii="Century Gothic" w:hAnsi="Century Gothic" w:cs="Arial"/>
          <w:i/>
          <w:sz w:val="20"/>
          <w:szCs w:val="20"/>
        </w:rPr>
        <w:fldChar w:fldCharType="end"/>
      </w:r>
      <w:r w:rsidR="008B771C" w:rsidRPr="00A664BB">
        <w:rPr>
          <w:rFonts w:ascii="Century Gothic" w:hAnsi="Century Gothic" w:cs="Arial"/>
          <w:i/>
          <w:sz w:val="20"/>
          <w:szCs w:val="20"/>
        </w:rPr>
        <w:t xml:space="preserve"> Akútne príjmy v pracovnej dobe a mimo pracovnej doby (okres Žilina, vzorka cca 30% celkového počtu príjmov)</w:t>
      </w:r>
      <w:bookmarkEnd w:id="73"/>
    </w:p>
    <w:p w14:paraId="587A31B2" w14:textId="58916C06" w:rsidR="00943E84" w:rsidRDefault="003D5DCC" w:rsidP="00B227E6">
      <w:pPr>
        <w:spacing w:line="240" w:lineRule="auto"/>
        <w:jc w:val="center"/>
        <w:rPr>
          <w:rFonts w:ascii="Century Gothic" w:hAnsi="Century Gothic" w:cstheme="minorHAnsi"/>
          <w:sz w:val="22"/>
          <w:szCs w:val="22"/>
        </w:rPr>
      </w:pPr>
      <w:r>
        <w:rPr>
          <w:noProof/>
        </w:rPr>
        <w:drawing>
          <wp:inline distT="0" distB="0" distL="0" distR="0" wp14:anchorId="5DEA14F8" wp14:editId="019C68B5">
            <wp:extent cx="4572000" cy="2743200"/>
            <wp:effectExtent l="0" t="0" r="0" b="0"/>
            <wp:docPr id="52" name="Graf 52">
              <a:extLst xmlns:a="http://schemas.openxmlformats.org/drawingml/2006/main">
                <a:ext uri="{FF2B5EF4-FFF2-40B4-BE49-F238E27FC236}">
                  <a16:creationId xmlns:a16="http://schemas.microsoft.com/office/drawing/2014/main" id="{3580F735-2EB9-EA2F-AA16-7F689FBE3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F05808A" w14:textId="5CE60D4B" w:rsidR="009E2327" w:rsidRDefault="009E2327" w:rsidP="009E2327">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0E924394" w14:textId="77777777" w:rsidR="009E2327" w:rsidRDefault="009E2327" w:rsidP="00943E84">
      <w:pPr>
        <w:spacing w:line="240" w:lineRule="auto"/>
        <w:rPr>
          <w:rFonts w:ascii="Century Gothic" w:hAnsi="Century Gothic" w:cstheme="minorHAnsi"/>
          <w:sz w:val="22"/>
          <w:szCs w:val="22"/>
        </w:rPr>
      </w:pPr>
    </w:p>
    <w:p w14:paraId="145D8373" w14:textId="2E584F4B" w:rsidR="00943E84" w:rsidRDefault="00943E84" w:rsidP="007F681B">
      <w:pPr>
        <w:pStyle w:val="Odsekzoznamu"/>
        <w:numPr>
          <w:ilvl w:val="0"/>
          <w:numId w:val="48"/>
        </w:numPr>
        <w:spacing w:line="240" w:lineRule="auto"/>
        <w:rPr>
          <w:rFonts w:ascii="Century Gothic" w:hAnsi="Century Gothic" w:cstheme="minorHAnsi"/>
          <w:sz w:val="22"/>
          <w:szCs w:val="22"/>
        </w:rPr>
      </w:pPr>
      <w:r>
        <w:rPr>
          <w:rFonts w:ascii="Century Gothic" w:hAnsi="Century Gothic" w:cstheme="minorHAnsi"/>
          <w:sz w:val="22"/>
          <w:szCs w:val="22"/>
        </w:rPr>
        <w:t>Nechirurgické odbory</w:t>
      </w:r>
    </w:p>
    <w:p w14:paraId="0CE6BA6E" w14:textId="77777777" w:rsidR="00943E84" w:rsidRDefault="00943E84" w:rsidP="00943E84">
      <w:pPr>
        <w:pStyle w:val="Odsekzoznamu"/>
        <w:spacing w:line="240" w:lineRule="auto"/>
        <w:ind w:left="1080"/>
        <w:rPr>
          <w:rFonts w:ascii="Century Gothic" w:hAnsi="Century Gothic" w:cstheme="minorHAnsi"/>
          <w:sz w:val="22"/>
          <w:szCs w:val="22"/>
        </w:rPr>
      </w:pPr>
    </w:p>
    <w:p w14:paraId="2DA682DA" w14:textId="77777777" w:rsidR="00B620DE" w:rsidRDefault="00B620DE" w:rsidP="00B620DE">
      <w:pPr>
        <w:spacing w:line="240" w:lineRule="auto"/>
        <w:rPr>
          <w:rFonts w:ascii="Century Gothic" w:hAnsi="Century Gothic" w:cstheme="minorHAnsi"/>
          <w:sz w:val="22"/>
          <w:szCs w:val="22"/>
        </w:rPr>
      </w:pPr>
      <w:r>
        <w:rPr>
          <w:rFonts w:ascii="Century Gothic" w:hAnsi="Century Gothic" w:cstheme="minorHAnsi"/>
          <w:sz w:val="22"/>
          <w:szCs w:val="22"/>
        </w:rPr>
        <w:t>V oblasti nechirurgických odborov je potrebné zachytiť  a popísať viaceré tendencie:</w:t>
      </w:r>
    </w:p>
    <w:p w14:paraId="2E1414F0" w14:textId="71D90BC1"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Zrušením dvoch súvisiacich oddelení (pľúcne a infekčné) nemocnica prechodne stratila týchto pacientov a/aj lekárov z týchto oddelení. Zo strednodobého hľadiska sa však pacienti týchto odborov do nemocnice vracajú, nakoľko došlo k podobným redukciám v okolitých nemocniciach a pacientov pľúcnych, neinfekčných a kožných nie je kde hospitalizovať.</w:t>
      </w:r>
    </w:p>
    <w:p w14:paraId="2EA4E2ED" w14:textId="77777777" w:rsidR="00943E84" w:rsidRDefault="00943E84" w:rsidP="00943E84">
      <w:pPr>
        <w:spacing w:line="240" w:lineRule="auto"/>
        <w:rPr>
          <w:rFonts w:ascii="Century Gothic" w:hAnsi="Century Gothic" w:cstheme="minorHAnsi"/>
          <w:sz w:val="22"/>
          <w:szCs w:val="22"/>
        </w:rPr>
      </w:pPr>
    </w:p>
    <w:p w14:paraId="719DE66B" w14:textId="570F3637" w:rsidR="00C839CF" w:rsidRDefault="00C839CF" w:rsidP="00C839CF">
      <w:pPr>
        <w:spacing w:line="240" w:lineRule="auto"/>
        <w:rPr>
          <w:rFonts w:ascii="Century Gothic" w:hAnsi="Century Gothic" w:cstheme="minorHAnsi"/>
          <w:sz w:val="22"/>
          <w:szCs w:val="22"/>
        </w:rPr>
      </w:pPr>
      <w:r>
        <w:rPr>
          <w:rFonts w:ascii="Century Gothic" w:hAnsi="Century Gothic" w:cstheme="minorHAnsi"/>
          <w:sz w:val="22"/>
          <w:szCs w:val="22"/>
        </w:rPr>
        <w:t>Najvypuklejšie je tento trend možno pozorovať na internom oddelení, kde sa počet hospitalizácií zvýšil medzi rokmi 2010 a 202</w:t>
      </w:r>
      <w:r w:rsidR="003D5DCC">
        <w:rPr>
          <w:rFonts w:ascii="Century Gothic" w:hAnsi="Century Gothic" w:cstheme="minorHAnsi"/>
          <w:sz w:val="22"/>
          <w:szCs w:val="22"/>
        </w:rPr>
        <w:t>2</w:t>
      </w:r>
      <w:r>
        <w:rPr>
          <w:rFonts w:ascii="Century Gothic" w:hAnsi="Century Gothic" w:cstheme="minorHAnsi"/>
          <w:sz w:val="22"/>
          <w:szCs w:val="22"/>
        </w:rPr>
        <w:t xml:space="preserve">  z 3700 na </w:t>
      </w:r>
      <w:r w:rsidR="003D5DCC">
        <w:rPr>
          <w:rFonts w:ascii="Century Gothic" w:hAnsi="Century Gothic" w:cstheme="minorHAnsi"/>
          <w:sz w:val="22"/>
          <w:szCs w:val="22"/>
        </w:rPr>
        <w:t>6600</w:t>
      </w:r>
      <w:r>
        <w:rPr>
          <w:rFonts w:ascii="Century Gothic" w:hAnsi="Century Gothic" w:cstheme="minorHAnsi"/>
          <w:sz w:val="22"/>
          <w:szCs w:val="22"/>
        </w:rPr>
        <w:t>, teda o </w:t>
      </w:r>
      <w:r w:rsidR="003D5DCC">
        <w:rPr>
          <w:rFonts w:ascii="Century Gothic" w:hAnsi="Century Gothic" w:cstheme="minorHAnsi"/>
          <w:sz w:val="22"/>
          <w:szCs w:val="22"/>
        </w:rPr>
        <w:t>78</w:t>
      </w:r>
      <w:r>
        <w:rPr>
          <w:rFonts w:ascii="Century Gothic" w:hAnsi="Century Gothic" w:cstheme="minorHAnsi"/>
          <w:sz w:val="22"/>
          <w:szCs w:val="22"/>
        </w:rPr>
        <w:t xml:space="preserve"> % pri </w:t>
      </w:r>
      <w:proofErr w:type="spellStart"/>
      <w:r>
        <w:rPr>
          <w:rFonts w:ascii="Century Gothic" w:hAnsi="Century Gothic" w:cstheme="minorHAnsi"/>
          <w:sz w:val="22"/>
          <w:szCs w:val="22"/>
        </w:rPr>
        <w:t>obložnosti</w:t>
      </w:r>
      <w:proofErr w:type="spellEnd"/>
      <w:r>
        <w:rPr>
          <w:rFonts w:ascii="Century Gothic" w:hAnsi="Century Gothic" w:cstheme="minorHAnsi"/>
          <w:sz w:val="22"/>
          <w:szCs w:val="22"/>
        </w:rPr>
        <w:t xml:space="preserve"> </w:t>
      </w:r>
      <w:r w:rsidR="003D5DCC">
        <w:rPr>
          <w:rFonts w:ascii="Century Gothic" w:hAnsi="Century Gothic" w:cstheme="minorHAnsi"/>
          <w:sz w:val="22"/>
          <w:szCs w:val="22"/>
        </w:rPr>
        <w:t>70</w:t>
      </w:r>
      <w:r>
        <w:rPr>
          <w:rFonts w:ascii="Century Gothic" w:hAnsi="Century Gothic" w:cstheme="minorHAnsi"/>
          <w:sz w:val="22"/>
          <w:szCs w:val="22"/>
        </w:rPr>
        <w:t xml:space="preserve"> – 100 % a poklese hospitalizačnej doby zo 7,2 na </w:t>
      </w:r>
      <w:r w:rsidR="008E13EA">
        <w:rPr>
          <w:rFonts w:ascii="Century Gothic" w:hAnsi="Century Gothic" w:cstheme="minorHAnsi"/>
          <w:sz w:val="22"/>
          <w:szCs w:val="22"/>
        </w:rPr>
        <w:t>5,7</w:t>
      </w:r>
      <w:r>
        <w:rPr>
          <w:rFonts w:ascii="Century Gothic" w:hAnsi="Century Gothic" w:cstheme="minorHAnsi"/>
          <w:sz w:val="22"/>
          <w:szCs w:val="22"/>
        </w:rPr>
        <w:t xml:space="preserve"> dňa. Nemocnica bola nútená zvýšiť kapacitu v roku </w:t>
      </w:r>
      <w:r w:rsidRPr="00585EA7">
        <w:rPr>
          <w:rFonts w:ascii="Century Gothic" w:hAnsi="Century Gothic" w:cstheme="minorHAnsi"/>
          <w:sz w:val="22"/>
          <w:szCs w:val="22"/>
        </w:rPr>
        <w:t>201</w:t>
      </w:r>
      <w:r>
        <w:rPr>
          <w:rFonts w:ascii="Century Gothic" w:hAnsi="Century Gothic" w:cstheme="minorHAnsi"/>
          <w:sz w:val="22"/>
          <w:szCs w:val="22"/>
        </w:rPr>
        <w:t>7</w:t>
      </w:r>
      <w:r w:rsidRPr="00585EA7">
        <w:rPr>
          <w:rFonts w:ascii="Century Gothic" w:hAnsi="Century Gothic" w:cstheme="minorHAnsi"/>
          <w:sz w:val="22"/>
          <w:szCs w:val="22"/>
        </w:rPr>
        <w:t xml:space="preserve"> z </w:t>
      </w:r>
      <w:r>
        <w:rPr>
          <w:rFonts w:ascii="Century Gothic" w:hAnsi="Century Gothic" w:cstheme="minorHAnsi"/>
          <w:sz w:val="22"/>
          <w:szCs w:val="22"/>
        </w:rPr>
        <w:t>96</w:t>
      </w:r>
      <w:r w:rsidRPr="00585EA7">
        <w:rPr>
          <w:rFonts w:ascii="Century Gothic" w:hAnsi="Century Gothic" w:cstheme="minorHAnsi"/>
          <w:sz w:val="22"/>
          <w:szCs w:val="22"/>
        </w:rPr>
        <w:t xml:space="preserve"> na 1</w:t>
      </w:r>
      <w:r>
        <w:rPr>
          <w:rFonts w:ascii="Century Gothic" w:hAnsi="Century Gothic" w:cstheme="minorHAnsi"/>
          <w:sz w:val="22"/>
          <w:szCs w:val="22"/>
        </w:rPr>
        <w:t>33</w:t>
      </w:r>
      <w:r w:rsidRPr="00585EA7">
        <w:rPr>
          <w:rFonts w:ascii="Century Gothic" w:hAnsi="Century Gothic" w:cstheme="minorHAnsi"/>
          <w:sz w:val="22"/>
          <w:szCs w:val="22"/>
        </w:rPr>
        <w:t xml:space="preserve"> lôžok</w:t>
      </w:r>
      <w:r w:rsidR="008E13EA">
        <w:rPr>
          <w:rFonts w:ascii="Century Gothic" w:hAnsi="Century Gothic" w:cstheme="minorHAnsi"/>
          <w:sz w:val="22"/>
          <w:szCs w:val="22"/>
        </w:rPr>
        <w:t>, v roku 2022 151 lôžok</w:t>
      </w:r>
      <w:r w:rsidRPr="00585EA7">
        <w:rPr>
          <w:rFonts w:ascii="Century Gothic" w:hAnsi="Century Gothic" w:cstheme="minorHAnsi"/>
          <w:sz w:val="22"/>
          <w:szCs w:val="22"/>
        </w:rPr>
        <w:t>.</w:t>
      </w:r>
      <w:r>
        <w:rPr>
          <w:rFonts w:ascii="Century Gothic" w:hAnsi="Century Gothic" w:cstheme="minorHAnsi"/>
          <w:sz w:val="22"/>
          <w:szCs w:val="22"/>
        </w:rPr>
        <w:t xml:space="preserve"> Napriek uvedenému ide len o kvantitatívne, nie o kvalitatívne riešenie problému. Samostatné špecializované lôžka pre kardiologických pacientov a infekčných pacientov stále chýbajú.</w:t>
      </w:r>
    </w:p>
    <w:p w14:paraId="12D533D9" w14:textId="77777777" w:rsidR="00943E84" w:rsidRDefault="00943E84" w:rsidP="00943E84">
      <w:pPr>
        <w:spacing w:line="240" w:lineRule="auto"/>
        <w:rPr>
          <w:rFonts w:ascii="Century Gothic" w:hAnsi="Century Gothic" w:cstheme="minorHAnsi"/>
          <w:sz w:val="22"/>
          <w:szCs w:val="22"/>
        </w:rPr>
      </w:pPr>
    </w:p>
    <w:p w14:paraId="244F6223" w14:textId="44FA9DDB"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t xml:space="preserve">Významný je počet rastu hospitalizovaných v neurológii, kde sú kapacitné možnosti nedostatočné a prejavuje sa tu regionálny nedostatok </w:t>
      </w:r>
      <w:r w:rsidR="008E13EA">
        <w:rPr>
          <w:rFonts w:ascii="Century Gothic" w:hAnsi="Century Gothic" w:cstheme="minorHAnsi"/>
          <w:sz w:val="22"/>
          <w:szCs w:val="22"/>
        </w:rPr>
        <w:t xml:space="preserve">zdravotnej starostlivosti </w:t>
      </w:r>
      <w:r>
        <w:rPr>
          <w:rFonts w:ascii="Century Gothic" w:hAnsi="Century Gothic" w:cstheme="minorHAnsi"/>
          <w:sz w:val="22"/>
          <w:szCs w:val="22"/>
        </w:rPr>
        <w:t>tohto typu</w:t>
      </w:r>
      <w:r w:rsidR="008E13EA">
        <w:rPr>
          <w:rFonts w:ascii="Century Gothic" w:hAnsi="Century Gothic" w:cstheme="minorHAnsi"/>
          <w:sz w:val="22"/>
          <w:szCs w:val="22"/>
        </w:rPr>
        <w:t>.</w:t>
      </w:r>
    </w:p>
    <w:p w14:paraId="625F395D" w14:textId="1B358EDD" w:rsidR="00943E84" w:rsidRDefault="00943E84" w:rsidP="00943E84">
      <w:pPr>
        <w:spacing w:line="240" w:lineRule="auto"/>
        <w:rPr>
          <w:rFonts w:ascii="Century Gothic" w:hAnsi="Century Gothic" w:cstheme="minorHAnsi"/>
          <w:sz w:val="22"/>
          <w:szCs w:val="22"/>
        </w:rPr>
      </w:pPr>
    </w:p>
    <w:p w14:paraId="1C203717" w14:textId="77777777" w:rsidR="008B771C" w:rsidRDefault="008B771C" w:rsidP="009E2327">
      <w:pPr>
        <w:spacing w:line="240" w:lineRule="auto"/>
        <w:rPr>
          <w:rFonts w:ascii="Century Gothic" w:hAnsi="Century Gothic"/>
          <w:i/>
          <w:sz w:val="20"/>
          <w:szCs w:val="20"/>
        </w:rPr>
      </w:pPr>
    </w:p>
    <w:p w14:paraId="500EF07E" w14:textId="77777777" w:rsidR="008B771C" w:rsidRDefault="008B771C" w:rsidP="009E2327">
      <w:pPr>
        <w:spacing w:line="240" w:lineRule="auto"/>
        <w:rPr>
          <w:rFonts w:ascii="Century Gothic" w:hAnsi="Century Gothic"/>
          <w:i/>
          <w:sz w:val="20"/>
          <w:szCs w:val="20"/>
        </w:rPr>
      </w:pPr>
    </w:p>
    <w:p w14:paraId="34DF6D0D" w14:textId="77777777" w:rsidR="008B771C" w:rsidRDefault="008B771C" w:rsidP="009E2327">
      <w:pPr>
        <w:spacing w:line="240" w:lineRule="auto"/>
        <w:rPr>
          <w:rFonts w:ascii="Century Gothic" w:hAnsi="Century Gothic"/>
          <w:i/>
          <w:sz w:val="20"/>
          <w:szCs w:val="20"/>
        </w:rPr>
      </w:pPr>
    </w:p>
    <w:p w14:paraId="62CFF260" w14:textId="77777777" w:rsidR="008B771C" w:rsidRDefault="008B771C" w:rsidP="009E2327">
      <w:pPr>
        <w:spacing w:line="240" w:lineRule="auto"/>
        <w:rPr>
          <w:rFonts w:ascii="Century Gothic" w:hAnsi="Century Gothic"/>
          <w:i/>
          <w:sz w:val="20"/>
          <w:szCs w:val="20"/>
        </w:rPr>
      </w:pPr>
    </w:p>
    <w:p w14:paraId="46F4D1BC" w14:textId="77777777" w:rsidR="008B771C" w:rsidRDefault="008B771C" w:rsidP="009E2327">
      <w:pPr>
        <w:spacing w:line="240" w:lineRule="auto"/>
        <w:rPr>
          <w:rFonts w:ascii="Century Gothic" w:hAnsi="Century Gothic"/>
          <w:i/>
          <w:sz w:val="20"/>
          <w:szCs w:val="20"/>
        </w:rPr>
      </w:pPr>
    </w:p>
    <w:p w14:paraId="050F8AD6" w14:textId="77777777" w:rsidR="008B771C" w:rsidRDefault="008B771C" w:rsidP="009E2327">
      <w:pPr>
        <w:spacing w:line="240" w:lineRule="auto"/>
        <w:rPr>
          <w:rFonts w:ascii="Century Gothic" w:hAnsi="Century Gothic"/>
          <w:i/>
          <w:sz w:val="20"/>
          <w:szCs w:val="20"/>
        </w:rPr>
      </w:pPr>
    </w:p>
    <w:p w14:paraId="6D9DE704" w14:textId="77777777" w:rsidR="008B771C" w:rsidRDefault="008B771C" w:rsidP="009E2327">
      <w:pPr>
        <w:spacing w:line="240" w:lineRule="auto"/>
        <w:rPr>
          <w:rFonts w:ascii="Century Gothic" w:hAnsi="Century Gothic"/>
          <w:i/>
          <w:sz w:val="20"/>
          <w:szCs w:val="20"/>
        </w:rPr>
      </w:pPr>
    </w:p>
    <w:p w14:paraId="13B843BD" w14:textId="77777777" w:rsidR="008B771C" w:rsidRDefault="008B771C" w:rsidP="009E2327">
      <w:pPr>
        <w:spacing w:line="240" w:lineRule="auto"/>
        <w:rPr>
          <w:rFonts w:ascii="Century Gothic" w:hAnsi="Century Gothic"/>
          <w:i/>
          <w:sz w:val="20"/>
          <w:szCs w:val="20"/>
        </w:rPr>
      </w:pPr>
    </w:p>
    <w:p w14:paraId="045F8146" w14:textId="77777777" w:rsidR="008B771C" w:rsidRDefault="008B771C" w:rsidP="009E2327">
      <w:pPr>
        <w:spacing w:line="240" w:lineRule="auto"/>
        <w:rPr>
          <w:rFonts w:ascii="Century Gothic" w:hAnsi="Century Gothic"/>
          <w:i/>
          <w:sz w:val="20"/>
          <w:szCs w:val="20"/>
        </w:rPr>
      </w:pPr>
    </w:p>
    <w:p w14:paraId="6E69D5E4" w14:textId="77777777" w:rsidR="008B771C" w:rsidRDefault="008B771C" w:rsidP="009E2327">
      <w:pPr>
        <w:spacing w:line="240" w:lineRule="auto"/>
        <w:rPr>
          <w:rFonts w:ascii="Century Gothic" w:hAnsi="Century Gothic"/>
          <w:i/>
          <w:sz w:val="20"/>
          <w:szCs w:val="20"/>
        </w:rPr>
      </w:pPr>
    </w:p>
    <w:p w14:paraId="1EF7C242" w14:textId="77777777" w:rsidR="008B771C" w:rsidRDefault="008B771C" w:rsidP="009E2327">
      <w:pPr>
        <w:spacing w:line="240" w:lineRule="auto"/>
        <w:rPr>
          <w:rFonts w:ascii="Century Gothic" w:hAnsi="Century Gothic"/>
          <w:i/>
          <w:sz w:val="20"/>
          <w:szCs w:val="20"/>
        </w:rPr>
      </w:pPr>
    </w:p>
    <w:p w14:paraId="45569C74" w14:textId="77777777" w:rsidR="008B771C" w:rsidRDefault="008B771C" w:rsidP="009E2327">
      <w:pPr>
        <w:spacing w:line="240" w:lineRule="auto"/>
        <w:rPr>
          <w:rFonts w:ascii="Century Gothic" w:hAnsi="Century Gothic"/>
          <w:i/>
          <w:sz w:val="20"/>
          <w:szCs w:val="20"/>
        </w:rPr>
      </w:pPr>
    </w:p>
    <w:p w14:paraId="70B6741F" w14:textId="6B504AAF" w:rsidR="009E2327" w:rsidRPr="00A664BB" w:rsidRDefault="00A664BB" w:rsidP="00A664BB">
      <w:pPr>
        <w:keepNext/>
        <w:spacing w:line="240" w:lineRule="auto"/>
        <w:jc w:val="left"/>
        <w:rPr>
          <w:rFonts w:ascii="Century Gothic" w:hAnsi="Century Gothic" w:cs="Arial"/>
          <w:i/>
          <w:sz w:val="20"/>
          <w:szCs w:val="20"/>
        </w:rPr>
      </w:pPr>
      <w:bookmarkStart w:id="74" w:name="_Toc145219881"/>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10</w:t>
      </w:r>
      <w:r w:rsidRPr="00A664BB">
        <w:rPr>
          <w:rFonts w:ascii="Century Gothic" w:hAnsi="Century Gothic" w:cs="Arial"/>
          <w:i/>
          <w:sz w:val="20"/>
          <w:szCs w:val="20"/>
        </w:rPr>
        <w:fldChar w:fldCharType="end"/>
      </w:r>
      <w:r w:rsidR="009E2327" w:rsidRPr="00A664BB">
        <w:rPr>
          <w:rFonts w:ascii="Century Gothic" w:hAnsi="Century Gothic" w:cs="Arial"/>
          <w:i/>
          <w:sz w:val="20"/>
          <w:szCs w:val="20"/>
        </w:rPr>
        <w:t xml:space="preserve"> Počet hospitalizácií – vybrané nechirurgické odbory</w:t>
      </w:r>
      <w:bookmarkEnd w:id="74"/>
    </w:p>
    <w:p w14:paraId="14748BE5" w14:textId="652CB1E1" w:rsidR="00943E84" w:rsidRDefault="003D5DCC" w:rsidP="00B227E6">
      <w:pPr>
        <w:spacing w:line="240" w:lineRule="auto"/>
        <w:jc w:val="center"/>
        <w:rPr>
          <w:rFonts w:ascii="Century Gothic" w:hAnsi="Century Gothic" w:cstheme="minorHAnsi"/>
          <w:sz w:val="22"/>
          <w:szCs w:val="22"/>
        </w:rPr>
      </w:pPr>
      <w:r>
        <w:rPr>
          <w:noProof/>
        </w:rPr>
        <w:drawing>
          <wp:inline distT="0" distB="0" distL="0" distR="0" wp14:anchorId="7EB1041D" wp14:editId="134AC8CC">
            <wp:extent cx="4532971" cy="2115944"/>
            <wp:effectExtent l="0" t="0" r="1270" b="0"/>
            <wp:docPr id="53" name="Graf 53">
              <a:extLst xmlns:a="http://schemas.openxmlformats.org/drawingml/2006/main">
                <a:ext uri="{FF2B5EF4-FFF2-40B4-BE49-F238E27FC236}">
                  <a16:creationId xmlns:a16="http://schemas.microsoft.com/office/drawing/2014/main" id="{996DCFFF-9071-63F5-FC73-B7AEB9ED0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988A5E8" w14:textId="0DA02EB6" w:rsidR="009E2327" w:rsidRDefault="009E2327" w:rsidP="009E2327">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74B5E841" w14:textId="77777777" w:rsidR="009E2327" w:rsidRDefault="009E2327" w:rsidP="00943E84">
      <w:pPr>
        <w:spacing w:line="240" w:lineRule="auto"/>
        <w:rPr>
          <w:rFonts w:ascii="Century Gothic" w:hAnsi="Century Gothic" w:cstheme="minorHAnsi"/>
          <w:sz w:val="22"/>
          <w:szCs w:val="22"/>
        </w:rPr>
      </w:pPr>
    </w:p>
    <w:p w14:paraId="38C903B0" w14:textId="77777777" w:rsidR="00CC01B2" w:rsidRDefault="00B620DE" w:rsidP="00B620DE">
      <w:pPr>
        <w:spacing w:line="240" w:lineRule="auto"/>
        <w:rPr>
          <w:rFonts w:ascii="Century Gothic" w:hAnsi="Century Gothic" w:cstheme="minorHAnsi"/>
          <w:sz w:val="22"/>
          <w:szCs w:val="22"/>
        </w:rPr>
      </w:pPr>
      <w:proofErr w:type="spellStart"/>
      <w:r>
        <w:rPr>
          <w:rFonts w:ascii="Century Gothic" w:hAnsi="Century Gothic" w:cstheme="minorHAnsi"/>
          <w:sz w:val="22"/>
          <w:szCs w:val="22"/>
        </w:rPr>
        <w:t>Hospitalizovanosť</w:t>
      </w:r>
      <w:proofErr w:type="spellEnd"/>
      <w:r>
        <w:rPr>
          <w:rFonts w:ascii="Century Gothic" w:hAnsi="Century Gothic" w:cstheme="minorHAnsi"/>
          <w:sz w:val="22"/>
          <w:szCs w:val="22"/>
        </w:rPr>
        <w:t xml:space="preserve"> na oddelení dlhodobo chorých je dlhodobo vysoká. Ide o oddelenie, ktoré je nevyhnutnou súčasťou každej akútnej nemocnice, pomáha zvyšovať kapacitnú priepustnosť akútnych oddelení. </w:t>
      </w:r>
      <w:r w:rsidR="00BD6467">
        <w:rPr>
          <w:rFonts w:ascii="Century Gothic" w:hAnsi="Century Gothic" w:cstheme="minorHAnsi"/>
          <w:sz w:val="22"/>
          <w:szCs w:val="22"/>
        </w:rPr>
        <w:t>V praxi ide o skorší odchod ťažších</w:t>
      </w:r>
      <w:r w:rsidR="00CC01B2">
        <w:rPr>
          <w:rFonts w:ascii="Century Gothic" w:hAnsi="Century Gothic" w:cstheme="minorHAnsi"/>
          <w:sz w:val="22"/>
          <w:szCs w:val="22"/>
        </w:rPr>
        <w:t>, nedoliečených pacientov, ktorí</w:t>
      </w:r>
      <w:r w:rsidR="00BD6467">
        <w:rPr>
          <w:rFonts w:ascii="Century Gothic" w:hAnsi="Century Gothic" w:cstheme="minorHAnsi"/>
          <w:sz w:val="22"/>
          <w:szCs w:val="22"/>
        </w:rPr>
        <w:t xml:space="preserve"> nemôžu byť prepustení domov, na takéto oddelenie v rámci nemocnice</w:t>
      </w:r>
      <w:r w:rsidR="00CC01B2">
        <w:rPr>
          <w:rFonts w:ascii="Century Gothic" w:hAnsi="Century Gothic" w:cstheme="minorHAnsi"/>
          <w:sz w:val="22"/>
          <w:szCs w:val="22"/>
        </w:rPr>
        <w:t>.</w:t>
      </w:r>
    </w:p>
    <w:p w14:paraId="35397335" w14:textId="62227F41" w:rsidR="00B620DE" w:rsidRDefault="00BD6467" w:rsidP="00B620DE">
      <w:pPr>
        <w:spacing w:line="240" w:lineRule="auto"/>
        <w:rPr>
          <w:rFonts w:ascii="Century Gothic" w:hAnsi="Century Gothic" w:cstheme="minorHAnsi"/>
          <w:sz w:val="22"/>
          <w:szCs w:val="22"/>
        </w:rPr>
      </w:pPr>
      <w:r>
        <w:rPr>
          <w:rFonts w:ascii="Century Gothic" w:hAnsi="Century Gothic" w:cstheme="minorHAnsi"/>
          <w:sz w:val="22"/>
          <w:szCs w:val="22"/>
        </w:rPr>
        <w:t>Tie nemocnice, ktoré takúto možnosť nemajú (UN</w:t>
      </w:r>
      <w:r w:rsidR="00CC01B2">
        <w:rPr>
          <w:rFonts w:ascii="Century Gothic" w:hAnsi="Century Gothic" w:cstheme="minorHAnsi"/>
          <w:sz w:val="22"/>
          <w:szCs w:val="22"/>
        </w:rPr>
        <w:t>M</w:t>
      </w:r>
      <w:r>
        <w:rPr>
          <w:rFonts w:ascii="Century Gothic" w:hAnsi="Century Gothic" w:cstheme="minorHAnsi"/>
          <w:sz w:val="22"/>
          <w:szCs w:val="22"/>
        </w:rPr>
        <w:t xml:space="preserve"> Martin) sú ohrozené predlžovaním </w:t>
      </w:r>
      <w:r w:rsidRPr="00724522">
        <w:rPr>
          <w:rFonts w:ascii="Century Gothic" w:hAnsi="Century Gothic" w:cstheme="minorHAnsi"/>
          <w:sz w:val="22"/>
          <w:szCs w:val="22"/>
        </w:rPr>
        <w:t xml:space="preserve">priemernej doby hospitalizácie na akútnych oddeleniach, čo znižuje ich efektivitu a predražuje prevádzku. Je samozrejmé, že následne možno pozorovať zníženie CMI </w:t>
      </w:r>
      <w:r w:rsidR="00CC01B2" w:rsidRPr="00724522">
        <w:rPr>
          <w:rFonts w:ascii="Century Gothic" w:hAnsi="Century Gothic" w:cstheme="minorHAnsi"/>
          <w:sz w:val="22"/>
          <w:szCs w:val="22"/>
        </w:rPr>
        <w:t>(</w:t>
      </w:r>
      <w:proofErr w:type="spellStart"/>
      <w:r w:rsidR="00724522" w:rsidRPr="00724522">
        <w:rPr>
          <w:rFonts w:ascii="Century Gothic" w:hAnsi="Century Gothic" w:cstheme="minorHAnsi"/>
          <w:sz w:val="22"/>
          <w:szCs w:val="22"/>
        </w:rPr>
        <w:t>Case</w:t>
      </w:r>
      <w:proofErr w:type="spellEnd"/>
      <w:r w:rsidR="00724522" w:rsidRPr="00724522">
        <w:rPr>
          <w:rFonts w:ascii="Century Gothic" w:hAnsi="Century Gothic" w:cstheme="minorHAnsi"/>
          <w:sz w:val="22"/>
          <w:szCs w:val="22"/>
        </w:rPr>
        <w:t xml:space="preserve"> mix index</w:t>
      </w:r>
      <w:r w:rsidR="00CC01B2" w:rsidRPr="00724522">
        <w:rPr>
          <w:rFonts w:ascii="Century Gothic" w:hAnsi="Century Gothic" w:cstheme="minorHAnsi"/>
          <w:sz w:val="22"/>
          <w:szCs w:val="22"/>
        </w:rPr>
        <w:t>) akútnych</w:t>
      </w:r>
      <w:r w:rsidRPr="00724522">
        <w:rPr>
          <w:rFonts w:ascii="Century Gothic" w:hAnsi="Century Gothic" w:cstheme="minorHAnsi"/>
          <w:sz w:val="22"/>
          <w:szCs w:val="22"/>
        </w:rPr>
        <w:t xml:space="preserve"> oddelení, lebo títo pacienti sú prepúšťan</w:t>
      </w:r>
      <w:r w:rsidR="00CC01B2" w:rsidRPr="00724522">
        <w:rPr>
          <w:rFonts w:ascii="Century Gothic" w:hAnsi="Century Gothic" w:cstheme="minorHAnsi"/>
          <w:sz w:val="22"/>
          <w:szCs w:val="22"/>
        </w:rPr>
        <w:t>í</w:t>
      </w:r>
      <w:r w:rsidRPr="00724522">
        <w:rPr>
          <w:rFonts w:ascii="Century Gothic" w:hAnsi="Century Gothic" w:cstheme="minorHAnsi"/>
          <w:sz w:val="22"/>
          <w:szCs w:val="22"/>
        </w:rPr>
        <w:t xml:space="preserve"> z doliečovacích oddelení  - to je ale skôr problém </w:t>
      </w:r>
      <w:proofErr w:type="spellStart"/>
      <w:r w:rsidRPr="00724522">
        <w:rPr>
          <w:rFonts w:ascii="Century Gothic" w:hAnsi="Century Gothic" w:cstheme="minorHAnsi"/>
          <w:sz w:val="22"/>
          <w:szCs w:val="22"/>
        </w:rPr>
        <w:t>vnútronemocn</w:t>
      </w:r>
      <w:r w:rsidR="0082792C" w:rsidRPr="00724522">
        <w:rPr>
          <w:rFonts w:ascii="Century Gothic" w:hAnsi="Century Gothic" w:cstheme="minorHAnsi"/>
          <w:sz w:val="22"/>
          <w:szCs w:val="22"/>
        </w:rPr>
        <w:t>i</w:t>
      </w:r>
      <w:r w:rsidRPr="00724522">
        <w:rPr>
          <w:rFonts w:ascii="Century Gothic" w:hAnsi="Century Gothic" w:cstheme="minorHAnsi"/>
          <w:sz w:val="22"/>
          <w:szCs w:val="22"/>
        </w:rPr>
        <w:t>čného</w:t>
      </w:r>
      <w:proofErr w:type="spellEnd"/>
      <w:r w:rsidRPr="00724522">
        <w:rPr>
          <w:rFonts w:ascii="Century Gothic" w:hAnsi="Century Gothic" w:cstheme="minorHAnsi"/>
          <w:sz w:val="22"/>
          <w:szCs w:val="22"/>
        </w:rPr>
        <w:t xml:space="preserve"> zúčtovani</w:t>
      </w:r>
      <w:r w:rsidR="00CC01B2" w:rsidRPr="00724522">
        <w:rPr>
          <w:rFonts w:ascii="Century Gothic" w:hAnsi="Century Gothic" w:cstheme="minorHAnsi"/>
          <w:sz w:val="22"/>
          <w:szCs w:val="22"/>
        </w:rPr>
        <w:t>a</w:t>
      </w:r>
      <w:r w:rsidRPr="00724522">
        <w:rPr>
          <w:rFonts w:ascii="Century Gothic" w:hAnsi="Century Gothic" w:cstheme="minorHAnsi"/>
          <w:sz w:val="22"/>
          <w:szCs w:val="22"/>
        </w:rPr>
        <w:t xml:space="preserve"> nákladov a výnosov. Práve vzhľadom</w:t>
      </w:r>
      <w:r>
        <w:rPr>
          <w:rFonts w:ascii="Century Gothic" w:hAnsi="Century Gothic" w:cstheme="minorHAnsi"/>
          <w:sz w:val="22"/>
          <w:szCs w:val="22"/>
        </w:rPr>
        <w:t xml:space="preserve"> na túto </w:t>
      </w:r>
      <w:r w:rsidR="00B620DE">
        <w:rPr>
          <w:rFonts w:ascii="Century Gothic" w:hAnsi="Century Gothic" w:cstheme="minorHAnsi"/>
          <w:sz w:val="22"/>
          <w:szCs w:val="22"/>
        </w:rPr>
        <w:t>skladb</w:t>
      </w:r>
      <w:r>
        <w:rPr>
          <w:rFonts w:ascii="Century Gothic" w:hAnsi="Century Gothic" w:cstheme="minorHAnsi"/>
          <w:sz w:val="22"/>
          <w:szCs w:val="22"/>
        </w:rPr>
        <w:t xml:space="preserve">u </w:t>
      </w:r>
      <w:r w:rsidR="00B620DE">
        <w:rPr>
          <w:rFonts w:ascii="Century Gothic" w:hAnsi="Century Gothic" w:cstheme="minorHAnsi"/>
          <w:sz w:val="22"/>
          <w:szCs w:val="22"/>
        </w:rPr>
        <w:t xml:space="preserve"> pacientov na tomto oddelení nemocnica reagovala v roku 2016 a 2019 založením samostatných oddelení </w:t>
      </w:r>
      <w:proofErr w:type="spellStart"/>
      <w:r w:rsidR="00CC01B2">
        <w:rPr>
          <w:rFonts w:ascii="Century Gothic" w:hAnsi="Century Gothic" w:cstheme="minorHAnsi"/>
          <w:sz w:val="22"/>
          <w:szCs w:val="22"/>
        </w:rPr>
        <w:t>fyziatrie</w:t>
      </w:r>
      <w:proofErr w:type="spellEnd"/>
      <w:r w:rsidR="00CC01B2">
        <w:rPr>
          <w:rFonts w:ascii="Century Gothic" w:hAnsi="Century Gothic" w:cstheme="minorHAnsi"/>
          <w:sz w:val="22"/>
          <w:szCs w:val="22"/>
        </w:rPr>
        <w:t xml:space="preserve">, balneológie a liečebnej rehabilitácie </w:t>
      </w:r>
      <w:r w:rsidR="00B620DE">
        <w:rPr>
          <w:rFonts w:ascii="Century Gothic" w:hAnsi="Century Gothic" w:cstheme="minorHAnsi"/>
          <w:sz w:val="22"/>
          <w:szCs w:val="22"/>
        </w:rPr>
        <w:t xml:space="preserve"> a ošetrovateľských lôžok – keďže išlo v zásade o </w:t>
      </w:r>
      <w:proofErr w:type="spellStart"/>
      <w:r w:rsidR="00B620DE">
        <w:rPr>
          <w:rFonts w:ascii="Century Gothic" w:hAnsi="Century Gothic" w:cstheme="minorHAnsi"/>
          <w:sz w:val="22"/>
          <w:szCs w:val="22"/>
        </w:rPr>
        <w:t>reprofilizáciu</w:t>
      </w:r>
      <w:proofErr w:type="spellEnd"/>
      <w:r w:rsidR="00B620DE">
        <w:rPr>
          <w:rFonts w:ascii="Century Gothic" w:hAnsi="Century Gothic" w:cstheme="minorHAnsi"/>
          <w:sz w:val="22"/>
          <w:szCs w:val="22"/>
        </w:rPr>
        <w:t xml:space="preserve"> existujúceho počtu, nedostatočná kapacita tohto typu doliečovacích postelí a postelí dlhodobej starostlivosti v rámci lôžkového fondu nemocnice stále pretrváva.</w:t>
      </w:r>
    </w:p>
    <w:p w14:paraId="0910E0C7" w14:textId="77777777" w:rsidR="00704FCC" w:rsidRDefault="00704FCC" w:rsidP="00943E84">
      <w:pPr>
        <w:spacing w:line="240" w:lineRule="auto"/>
        <w:rPr>
          <w:rFonts w:ascii="Century Gothic" w:hAnsi="Century Gothic" w:cstheme="minorHAnsi"/>
          <w:sz w:val="22"/>
          <w:szCs w:val="22"/>
        </w:rPr>
      </w:pPr>
    </w:p>
    <w:p w14:paraId="5E797087" w14:textId="24B3A015" w:rsidR="00B84F10" w:rsidRPr="00A664BB" w:rsidRDefault="00A664BB" w:rsidP="00A664BB">
      <w:pPr>
        <w:keepNext/>
        <w:spacing w:line="240" w:lineRule="auto"/>
        <w:jc w:val="left"/>
        <w:rPr>
          <w:rFonts w:ascii="Century Gothic" w:hAnsi="Century Gothic" w:cs="Arial"/>
          <w:i/>
          <w:sz w:val="20"/>
          <w:szCs w:val="20"/>
        </w:rPr>
      </w:pPr>
      <w:bookmarkStart w:id="75" w:name="_Toc145219882"/>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11</w:t>
      </w:r>
      <w:r w:rsidRPr="00A664BB">
        <w:rPr>
          <w:rFonts w:ascii="Century Gothic" w:hAnsi="Century Gothic" w:cs="Arial"/>
          <w:i/>
          <w:sz w:val="20"/>
          <w:szCs w:val="20"/>
        </w:rPr>
        <w:fldChar w:fldCharType="end"/>
      </w:r>
      <w:r w:rsidR="00B84F10" w:rsidRPr="00A664BB">
        <w:rPr>
          <w:rFonts w:ascii="Century Gothic" w:hAnsi="Century Gothic" w:cs="Arial"/>
          <w:i/>
          <w:sz w:val="20"/>
          <w:szCs w:val="20"/>
        </w:rPr>
        <w:t xml:space="preserve"> Dlhodobá (následná) starostlivosť</w:t>
      </w:r>
      <w:bookmarkEnd w:id="75"/>
    </w:p>
    <w:p w14:paraId="53FF1C3A" w14:textId="4921C123" w:rsidR="00943E84" w:rsidRDefault="008E13EA" w:rsidP="00B227E6">
      <w:pPr>
        <w:spacing w:line="240" w:lineRule="auto"/>
        <w:jc w:val="center"/>
        <w:rPr>
          <w:rFonts w:ascii="Century Gothic" w:hAnsi="Century Gothic" w:cstheme="minorHAnsi"/>
          <w:sz w:val="22"/>
          <w:szCs w:val="22"/>
        </w:rPr>
      </w:pPr>
      <w:r>
        <w:rPr>
          <w:noProof/>
        </w:rPr>
        <w:drawing>
          <wp:inline distT="0" distB="0" distL="0" distR="0" wp14:anchorId="2EFB3BB3" wp14:editId="1A571E56">
            <wp:extent cx="4532971" cy="2640051"/>
            <wp:effectExtent l="0" t="0" r="1270" b="8255"/>
            <wp:docPr id="55" name="Graf 55">
              <a:extLst xmlns:a="http://schemas.openxmlformats.org/drawingml/2006/main">
                <a:ext uri="{FF2B5EF4-FFF2-40B4-BE49-F238E27FC236}">
                  <a16:creationId xmlns:a16="http://schemas.microsoft.com/office/drawing/2014/main" id="{6B4C6668-BD20-15CA-4F17-18F296437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9285AF9" w14:textId="56830120"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7ACEFF04" w14:textId="3244EB98" w:rsidR="00F41314" w:rsidRDefault="00F41314" w:rsidP="00F41314">
      <w:pPr>
        <w:rPr>
          <w:lang w:eastAsia="cs-CZ"/>
        </w:rPr>
      </w:pPr>
    </w:p>
    <w:p w14:paraId="523E886A" w14:textId="4998E5D5" w:rsidR="00943E84" w:rsidRDefault="00943E84" w:rsidP="007F681B">
      <w:pPr>
        <w:pStyle w:val="Odsekzoznamu"/>
        <w:numPr>
          <w:ilvl w:val="0"/>
          <w:numId w:val="48"/>
        </w:numPr>
        <w:spacing w:line="240" w:lineRule="auto"/>
        <w:rPr>
          <w:rFonts w:ascii="Century Gothic" w:hAnsi="Century Gothic" w:cstheme="minorHAnsi"/>
          <w:sz w:val="22"/>
          <w:szCs w:val="22"/>
        </w:rPr>
      </w:pPr>
      <w:r>
        <w:rPr>
          <w:rFonts w:ascii="Century Gothic" w:hAnsi="Century Gothic" w:cstheme="minorHAnsi"/>
          <w:sz w:val="22"/>
          <w:szCs w:val="22"/>
        </w:rPr>
        <w:t>Chirurgické odbory</w:t>
      </w:r>
    </w:p>
    <w:p w14:paraId="440418CF" w14:textId="638489F3" w:rsidR="00943E84" w:rsidRDefault="00943E84" w:rsidP="00943E84">
      <w:pPr>
        <w:spacing w:line="240" w:lineRule="auto"/>
        <w:rPr>
          <w:rFonts w:ascii="Century Gothic" w:hAnsi="Century Gothic" w:cstheme="minorHAnsi"/>
          <w:sz w:val="22"/>
          <w:szCs w:val="22"/>
        </w:rPr>
      </w:pPr>
      <w:r>
        <w:rPr>
          <w:rFonts w:ascii="Century Gothic" w:hAnsi="Century Gothic" w:cstheme="minorHAnsi"/>
          <w:sz w:val="22"/>
          <w:szCs w:val="22"/>
        </w:rPr>
        <w:lastRenderedPageBreak/>
        <w:t>V chirurgických disciplínach akútneho typu a </w:t>
      </w:r>
      <w:proofErr w:type="spellStart"/>
      <w:r>
        <w:rPr>
          <w:rFonts w:ascii="Century Gothic" w:hAnsi="Century Gothic" w:cstheme="minorHAnsi"/>
          <w:sz w:val="22"/>
          <w:szCs w:val="22"/>
        </w:rPr>
        <w:t>semiakútneho</w:t>
      </w:r>
      <w:proofErr w:type="spellEnd"/>
      <w:r>
        <w:rPr>
          <w:rFonts w:ascii="Century Gothic" w:hAnsi="Century Gothic" w:cstheme="minorHAnsi"/>
          <w:sz w:val="22"/>
          <w:szCs w:val="22"/>
        </w:rPr>
        <w:t xml:space="preserve"> typu dochádza k navyšovaniu počtu hospitalizácií 2010/202</w:t>
      </w:r>
      <w:r w:rsidR="008E13EA">
        <w:rPr>
          <w:rFonts w:ascii="Century Gothic" w:hAnsi="Century Gothic" w:cstheme="minorHAnsi"/>
          <w:sz w:val="22"/>
          <w:szCs w:val="22"/>
        </w:rPr>
        <w:t>2</w:t>
      </w:r>
      <w:r>
        <w:rPr>
          <w:rFonts w:ascii="Century Gothic" w:hAnsi="Century Gothic" w:cstheme="minorHAnsi"/>
          <w:sz w:val="22"/>
          <w:szCs w:val="22"/>
        </w:rPr>
        <w:t xml:space="preserve"> (úrazová chirurgia</w:t>
      </w:r>
      <w:r w:rsidR="00835586">
        <w:rPr>
          <w:rFonts w:ascii="Century Gothic" w:hAnsi="Century Gothic" w:cstheme="minorHAnsi"/>
          <w:sz w:val="22"/>
          <w:szCs w:val="22"/>
        </w:rPr>
        <w:t>, ortopédia</w:t>
      </w:r>
      <w:r>
        <w:rPr>
          <w:rFonts w:ascii="Century Gothic" w:hAnsi="Century Gothic" w:cstheme="minorHAnsi"/>
          <w:sz w:val="22"/>
          <w:szCs w:val="22"/>
        </w:rPr>
        <w:t>) pri zachovaní, resp. poklese priemernej ošetrovacej doby.</w:t>
      </w:r>
    </w:p>
    <w:p w14:paraId="1D44E4FF" w14:textId="72C9179B" w:rsidR="00943E84" w:rsidRDefault="00943E84" w:rsidP="00943E84">
      <w:pPr>
        <w:spacing w:line="240" w:lineRule="auto"/>
        <w:rPr>
          <w:rFonts w:ascii="Century Gothic" w:hAnsi="Century Gothic" w:cstheme="minorHAnsi"/>
          <w:sz w:val="22"/>
          <w:szCs w:val="22"/>
        </w:rPr>
      </w:pPr>
    </w:p>
    <w:p w14:paraId="279B7991" w14:textId="0785CDF2" w:rsidR="00B84F10" w:rsidRPr="00A664BB" w:rsidRDefault="00A664BB" w:rsidP="00A664BB">
      <w:pPr>
        <w:keepNext/>
        <w:spacing w:line="240" w:lineRule="auto"/>
        <w:jc w:val="left"/>
        <w:rPr>
          <w:rFonts w:ascii="Century Gothic" w:hAnsi="Century Gothic" w:cs="Arial"/>
          <w:i/>
          <w:sz w:val="20"/>
          <w:szCs w:val="20"/>
        </w:rPr>
      </w:pPr>
      <w:bookmarkStart w:id="76" w:name="_Toc145219883"/>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12</w:t>
      </w:r>
      <w:r w:rsidRPr="00A664BB">
        <w:rPr>
          <w:rFonts w:ascii="Century Gothic" w:hAnsi="Century Gothic" w:cs="Arial"/>
          <w:i/>
          <w:sz w:val="20"/>
          <w:szCs w:val="20"/>
        </w:rPr>
        <w:fldChar w:fldCharType="end"/>
      </w:r>
      <w:r w:rsidR="00B84F10" w:rsidRPr="00A664BB">
        <w:rPr>
          <w:rFonts w:ascii="Century Gothic" w:hAnsi="Century Gothic" w:cs="Arial"/>
          <w:i/>
          <w:sz w:val="20"/>
          <w:szCs w:val="20"/>
        </w:rPr>
        <w:t xml:space="preserve"> Počet hospitalizácií – hlavné chirurgické odbory</w:t>
      </w:r>
      <w:bookmarkEnd w:id="76"/>
    </w:p>
    <w:p w14:paraId="6C388FEB" w14:textId="330BD353" w:rsidR="00943E84" w:rsidRDefault="008E13EA" w:rsidP="00062DC5">
      <w:pPr>
        <w:spacing w:line="240" w:lineRule="auto"/>
        <w:jc w:val="center"/>
        <w:rPr>
          <w:rFonts w:ascii="Century Gothic" w:hAnsi="Century Gothic" w:cstheme="minorHAnsi"/>
          <w:sz w:val="22"/>
          <w:szCs w:val="22"/>
        </w:rPr>
      </w:pPr>
      <w:r>
        <w:rPr>
          <w:noProof/>
        </w:rPr>
        <w:drawing>
          <wp:inline distT="0" distB="0" distL="0" distR="0" wp14:anchorId="67B6F350" wp14:editId="518FBC1F">
            <wp:extent cx="4527396" cy="2673505"/>
            <wp:effectExtent l="0" t="0" r="6985" b="0"/>
            <wp:docPr id="56" name="Graf 56">
              <a:extLst xmlns:a="http://schemas.openxmlformats.org/drawingml/2006/main">
                <a:ext uri="{FF2B5EF4-FFF2-40B4-BE49-F238E27FC236}">
                  <a16:creationId xmlns:a16="http://schemas.microsoft.com/office/drawing/2014/main" id="{5AA18D0D-8A5B-7000-8859-64599D19A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665366" w14:textId="77777777"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50F61897" w14:textId="3DB804B8" w:rsidR="00943E84" w:rsidRDefault="00943E84" w:rsidP="00943E84">
      <w:pPr>
        <w:spacing w:line="240" w:lineRule="auto"/>
        <w:rPr>
          <w:rFonts w:ascii="Century Gothic" w:hAnsi="Century Gothic" w:cstheme="minorHAnsi"/>
          <w:sz w:val="22"/>
          <w:szCs w:val="22"/>
        </w:rPr>
      </w:pPr>
    </w:p>
    <w:p w14:paraId="5799DEE2" w14:textId="55363FA5" w:rsidR="00B84F10" w:rsidRPr="00A664BB" w:rsidRDefault="00A664BB" w:rsidP="00A664BB">
      <w:pPr>
        <w:keepNext/>
        <w:spacing w:line="240" w:lineRule="auto"/>
        <w:jc w:val="left"/>
        <w:rPr>
          <w:rFonts w:ascii="Century Gothic" w:hAnsi="Century Gothic" w:cs="Arial"/>
          <w:i/>
          <w:sz w:val="20"/>
          <w:szCs w:val="20"/>
        </w:rPr>
      </w:pPr>
      <w:bookmarkStart w:id="77" w:name="_Toc145219884"/>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13</w:t>
      </w:r>
      <w:r w:rsidRPr="00A664BB">
        <w:rPr>
          <w:rFonts w:ascii="Century Gothic" w:hAnsi="Century Gothic" w:cs="Arial"/>
          <w:i/>
          <w:sz w:val="20"/>
          <w:szCs w:val="20"/>
        </w:rPr>
        <w:fldChar w:fldCharType="end"/>
      </w:r>
      <w:r w:rsidR="00B84F10" w:rsidRPr="00A664BB">
        <w:rPr>
          <w:rFonts w:ascii="Century Gothic" w:hAnsi="Century Gothic" w:cs="Arial"/>
          <w:i/>
          <w:sz w:val="20"/>
          <w:szCs w:val="20"/>
        </w:rPr>
        <w:t xml:space="preserve"> Priemerná ošetrovacia doba – chirurgické odbory</w:t>
      </w:r>
      <w:bookmarkEnd w:id="77"/>
    </w:p>
    <w:p w14:paraId="0C1A3A31" w14:textId="6B47A583" w:rsidR="00943E84" w:rsidRDefault="00835586" w:rsidP="00062DC5">
      <w:pPr>
        <w:spacing w:line="240" w:lineRule="auto"/>
        <w:jc w:val="center"/>
        <w:rPr>
          <w:rFonts w:ascii="Century Gothic" w:hAnsi="Century Gothic" w:cstheme="minorHAnsi"/>
          <w:sz w:val="22"/>
          <w:szCs w:val="22"/>
        </w:rPr>
      </w:pPr>
      <w:r>
        <w:rPr>
          <w:noProof/>
        </w:rPr>
        <w:drawing>
          <wp:inline distT="0" distB="0" distL="0" distR="0" wp14:anchorId="36A5805C" wp14:editId="2A14EB04">
            <wp:extent cx="4572000" cy="2743200"/>
            <wp:effectExtent l="0" t="0" r="0" b="0"/>
            <wp:docPr id="57" name="Graf 57">
              <a:extLst xmlns:a="http://schemas.openxmlformats.org/drawingml/2006/main">
                <a:ext uri="{FF2B5EF4-FFF2-40B4-BE49-F238E27FC236}">
                  <a16:creationId xmlns:a16="http://schemas.microsoft.com/office/drawing/2014/main" id="{456F60D1-B039-AF04-DAB1-1385F3336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1942836" w14:textId="77777777"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0E198292" w14:textId="77777777" w:rsidR="00943E84" w:rsidRDefault="00943E84" w:rsidP="00943E84">
      <w:pPr>
        <w:spacing w:line="240" w:lineRule="auto"/>
        <w:rPr>
          <w:rFonts w:ascii="Century Gothic" w:hAnsi="Century Gothic" w:cstheme="minorHAnsi"/>
          <w:sz w:val="22"/>
          <w:szCs w:val="22"/>
        </w:rPr>
      </w:pPr>
    </w:p>
    <w:p w14:paraId="65371B67" w14:textId="0F0FEE49" w:rsidR="00943E84" w:rsidRDefault="00943E84" w:rsidP="00B70514">
      <w:pPr>
        <w:spacing w:line="240" w:lineRule="auto"/>
        <w:rPr>
          <w:rFonts w:ascii="Century Gothic" w:hAnsi="Century Gothic" w:cstheme="minorHAnsi"/>
          <w:sz w:val="22"/>
          <w:szCs w:val="22"/>
        </w:rPr>
      </w:pPr>
      <w:r>
        <w:rPr>
          <w:rFonts w:ascii="Century Gothic" w:hAnsi="Century Gothic" w:cstheme="minorHAnsi"/>
          <w:sz w:val="22"/>
          <w:szCs w:val="22"/>
        </w:rPr>
        <w:t xml:space="preserve">Treba zdôrazniť, že pri ošetrovacej dobe 5 dní je pacient v nemocnici vlastne </w:t>
      </w:r>
      <w:r w:rsidR="00835586">
        <w:rPr>
          <w:rFonts w:ascii="Century Gothic" w:hAnsi="Century Gothic" w:cstheme="minorHAnsi"/>
          <w:sz w:val="22"/>
          <w:szCs w:val="22"/>
        </w:rPr>
        <w:t>5,5-</w:t>
      </w:r>
      <w:r>
        <w:rPr>
          <w:rFonts w:ascii="Century Gothic" w:hAnsi="Century Gothic" w:cstheme="minorHAnsi"/>
          <w:sz w:val="22"/>
          <w:szCs w:val="22"/>
        </w:rPr>
        <w:t xml:space="preserve">6 dní, lebo deň prepustenia sa nezapočítava. Tým je </w:t>
      </w:r>
      <w:proofErr w:type="spellStart"/>
      <w:r>
        <w:rPr>
          <w:rFonts w:ascii="Century Gothic" w:hAnsi="Century Gothic" w:cstheme="minorHAnsi"/>
          <w:sz w:val="22"/>
          <w:szCs w:val="22"/>
        </w:rPr>
        <w:t>obložnosť</w:t>
      </w:r>
      <w:proofErr w:type="spellEnd"/>
      <w:r>
        <w:rPr>
          <w:rFonts w:ascii="Century Gothic" w:hAnsi="Century Gothic" w:cstheme="minorHAnsi"/>
          <w:sz w:val="22"/>
          <w:szCs w:val="22"/>
        </w:rPr>
        <w:t xml:space="preserve"> 80 %+ vlastne 100 % </w:t>
      </w:r>
      <w:proofErr w:type="spellStart"/>
      <w:r>
        <w:rPr>
          <w:rFonts w:ascii="Century Gothic" w:hAnsi="Century Gothic" w:cstheme="minorHAnsi"/>
          <w:sz w:val="22"/>
          <w:szCs w:val="22"/>
        </w:rPr>
        <w:t>obložnosťou</w:t>
      </w:r>
      <w:proofErr w:type="spellEnd"/>
      <w:r>
        <w:rPr>
          <w:rFonts w:ascii="Century Gothic" w:hAnsi="Century Gothic" w:cstheme="minorHAnsi"/>
          <w:sz w:val="22"/>
          <w:szCs w:val="22"/>
        </w:rPr>
        <w:t>, čo pri chirurgických disciplínach v súvislosti s potrebou prevádzkovej čistoty a iných súvisiacich procesoch je hraničné pre komfort a bezpečnosť pacienta.</w:t>
      </w:r>
    </w:p>
    <w:p w14:paraId="0E2321B4" w14:textId="77777777" w:rsidR="00943E84" w:rsidRDefault="00943E84" w:rsidP="00B70514">
      <w:pPr>
        <w:spacing w:line="240" w:lineRule="auto"/>
        <w:rPr>
          <w:rFonts w:ascii="Century Gothic" w:hAnsi="Century Gothic" w:cstheme="minorHAnsi"/>
          <w:sz w:val="22"/>
          <w:szCs w:val="22"/>
        </w:rPr>
      </w:pPr>
    </w:p>
    <w:p w14:paraId="213AFCA6" w14:textId="7CB675FD"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Zásadným kritériom pre chirurgické odbory je operačná liečba. Celkový počet operácií rastie pomerne zásadným spôsobom. Medziročný počet operácií rastie v rozmedzí 2-7 %, pričom rozdiel medzi rokom 2010 a 2019 je 44,9 %. Rok 2022</w:t>
      </w:r>
      <w:r w:rsidR="00835586">
        <w:rPr>
          <w:rFonts w:ascii="Century Gothic" w:hAnsi="Century Gothic" w:cstheme="minorHAnsi"/>
          <w:sz w:val="22"/>
          <w:szCs w:val="22"/>
        </w:rPr>
        <w:t xml:space="preserve"> čiastočne </w:t>
      </w:r>
      <w:r>
        <w:rPr>
          <w:rFonts w:ascii="Century Gothic" w:hAnsi="Century Gothic" w:cstheme="minorHAnsi"/>
          <w:sz w:val="22"/>
          <w:szCs w:val="22"/>
        </w:rPr>
        <w:t xml:space="preserve"> potvrdzuje trend z predchádzajúcich (pred</w:t>
      </w:r>
      <w:r w:rsidR="00CC01B2">
        <w:rPr>
          <w:rFonts w:ascii="Century Gothic" w:hAnsi="Century Gothic" w:cstheme="minorHAnsi"/>
          <w:sz w:val="22"/>
          <w:szCs w:val="22"/>
        </w:rPr>
        <w:t xml:space="preserve"> </w:t>
      </w:r>
      <w:proofErr w:type="spellStart"/>
      <w:r>
        <w:rPr>
          <w:rFonts w:ascii="Century Gothic" w:hAnsi="Century Gothic" w:cstheme="minorHAnsi"/>
          <w:sz w:val="22"/>
          <w:szCs w:val="22"/>
        </w:rPr>
        <w:t>COVIDových</w:t>
      </w:r>
      <w:proofErr w:type="spellEnd"/>
      <w:r>
        <w:rPr>
          <w:rFonts w:ascii="Century Gothic" w:hAnsi="Century Gothic" w:cstheme="minorHAnsi"/>
          <w:sz w:val="22"/>
          <w:szCs w:val="22"/>
        </w:rPr>
        <w:t>) období.</w:t>
      </w:r>
    </w:p>
    <w:p w14:paraId="040F9A3E" w14:textId="20E290CD" w:rsidR="00943E84" w:rsidRDefault="00943E84" w:rsidP="00943E84">
      <w:pPr>
        <w:spacing w:line="240" w:lineRule="auto"/>
        <w:rPr>
          <w:rFonts w:ascii="Century Gothic" w:hAnsi="Century Gothic" w:cstheme="minorHAnsi"/>
          <w:sz w:val="22"/>
          <w:szCs w:val="22"/>
        </w:rPr>
      </w:pPr>
    </w:p>
    <w:p w14:paraId="32F121AE" w14:textId="58404838" w:rsidR="0082792C" w:rsidRPr="00A664BB" w:rsidRDefault="00A664BB" w:rsidP="00A664BB">
      <w:pPr>
        <w:keepNext/>
        <w:spacing w:line="240" w:lineRule="auto"/>
        <w:jc w:val="left"/>
        <w:rPr>
          <w:rFonts w:ascii="Century Gothic" w:hAnsi="Century Gothic" w:cs="Arial"/>
          <w:i/>
          <w:sz w:val="20"/>
          <w:szCs w:val="20"/>
        </w:rPr>
      </w:pPr>
      <w:bookmarkStart w:id="78" w:name="_Toc145219885"/>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14</w:t>
      </w:r>
      <w:r w:rsidRPr="00A664BB">
        <w:rPr>
          <w:rFonts w:ascii="Century Gothic" w:hAnsi="Century Gothic" w:cs="Arial"/>
          <w:i/>
          <w:sz w:val="20"/>
          <w:szCs w:val="20"/>
        </w:rPr>
        <w:fldChar w:fldCharType="end"/>
      </w:r>
      <w:r w:rsidR="0082792C" w:rsidRPr="00A664BB">
        <w:rPr>
          <w:rFonts w:ascii="Century Gothic" w:hAnsi="Century Gothic" w:cs="Arial"/>
          <w:i/>
          <w:sz w:val="20"/>
          <w:szCs w:val="20"/>
        </w:rPr>
        <w:t xml:space="preserve"> Počet </w:t>
      </w:r>
      <w:r w:rsidR="004E231E" w:rsidRPr="00A664BB">
        <w:rPr>
          <w:rFonts w:ascii="Century Gothic" w:hAnsi="Century Gothic" w:cs="Arial"/>
          <w:i/>
          <w:sz w:val="20"/>
          <w:szCs w:val="20"/>
        </w:rPr>
        <w:t>operácií</w:t>
      </w:r>
      <w:r w:rsidR="00CC01B2">
        <w:rPr>
          <w:rFonts w:ascii="Century Gothic" w:hAnsi="Century Gothic" w:cs="Arial"/>
          <w:i/>
          <w:sz w:val="20"/>
          <w:szCs w:val="20"/>
        </w:rPr>
        <w:t xml:space="preserve"> v </w:t>
      </w:r>
      <w:proofErr w:type="spellStart"/>
      <w:r w:rsidR="00CC01B2">
        <w:rPr>
          <w:rFonts w:ascii="Century Gothic" w:hAnsi="Century Gothic" w:cs="Arial"/>
          <w:i/>
          <w:sz w:val="20"/>
          <w:szCs w:val="20"/>
        </w:rPr>
        <w:t>FNsP</w:t>
      </w:r>
      <w:proofErr w:type="spellEnd"/>
      <w:r w:rsidR="00CC01B2">
        <w:rPr>
          <w:rFonts w:ascii="Century Gothic" w:hAnsi="Century Gothic" w:cs="Arial"/>
          <w:i/>
          <w:sz w:val="20"/>
          <w:szCs w:val="20"/>
        </w:rPr>
        <w:t xml:space="preserve"> </w:t>
      </w:r>
      <w:r w:rsidR="004E231E">
        <w:rPr>
          <w:rFonts w:ascii="Century Gothic" w:hAnsi="Century Gothic" w:cs="Arial"/>
          <w:i/>
          <w:sz w:val="20"/>
          <w:szCs w:val="20"/>
        </w:rPr>
        <w:t>Žilina</w:t>
      </w:r>
      <w:bookmarkEnd w:id="78"/>
    </w:p>
    <w:p w14:paraId="23680D56" w14:textId="49E2151F" w:rsidR="00F41314" w:rsidRDefault="00835586" w:rsidP="00062DC5">
      <w:pPr>
        <w:spacing w:line="240" w:lineRule="auto"/>
        <w:jc w:val="center"/>
        <w:rPr>
          <w:rFonts w:ascii="Century Gothic" w:hAnsi="Century Gothic" w:cstheme="minorHAnsi"/>
          <w:sz w:val="22"/>
          <w:szCs w:val="22"/>
        </w:rPr>
      </w:pPr>
      <w:r>
        <w:rPr>
          <w:noProof/>
        </w:rPr>
        <w:drawing>
          <wp:inline distT="0" distB="0" distL="0" distR="0" wp14:anchorId="01513336" wp14:editId="27A5DDA2">
            <wp:extent cx="4572000" cy="2343150"/>
            <wp:effectExtent l="0" t="0" r="0" b="0"/>
            <wp:docPr id="58" name="Graf 58">
              <a:extLst xmlns:a="http://schemas.openxmlformats.org/drawingml/2006/main">
                <a:ext uri="{FF2B5EF4-FFF2-40B4-BE49-F238E27FC236}">
                  <a16:creationId xmlns:a16="http://schemas.microsoft.com/office/drawing/2014/main" id="{EC5C5C67-AED7-C035-B3B4-3BC9D52B7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9D46B84" w14:textId="772304D8" w:rsidR="00F41314" w:rsidRPr="006B1505" w:rsidRDefault="00F41314" w:rsidP="00F4131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r>
        <w:rPr>
          <w:rFonts w:ascii="Century Gothic" w:hAnsi="Century Gothic" w:cstheme="minorHAnsi"/>
          <w:b w:val="0"/>
          <w:i/>
          <w:sz w:val="18"/>
          <w:szCs w:val="18"/>
        </w:rPr>
        <w:t xml:space="preserve">, </w:t>
      </w:r>
      <w:r w:rsidR="0082792C">
        <w:rPr>
          <w:rFonts w:ascii="Century Gothic" w:hAnsi="Century Gothic" w:cstheme="minorHAnsi"/>
          <w:b w:val="0"/>
          <w:i/>
          <w:sz w:val="18"/>
          <w:szCs w:val="18"/>
        </w:rPr>
        <w:t>vlastné spracovanie</w:t>
      </w:r>
    </w:p>
    <w:p w14:paraId="152D878A" w14:textId="77777777" w:rsidR="00F41314" w:rsidRDefault="00F41314" w:rsidP="00F41314">
      <w:pPr>
        <w:spacing w:line="240" w:lineRule="auto"/>
        <w:rPr>
          <w:rFonts w:ascii="Century Gothic" w:hAnsi="Century Gothic" w:cstheme="minorHAnsi"/>
          <w:sz w:val="22"/>
          <w:szCs w:val="22"/>
        </w:rPr>
      </w:pPr>
    </w:p>
    <w:p w14:paraId="20D489D1" w14:textId="77777777"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V hlavných operačných odboroch  tento trend demonštruje nasledovný graf:</w:t>
      </w:r>
    </w:p>
    <w:p w14:paraId="2ED9C4F1" w14:textId="77777777" w:rsidR="00F41314" w:rsidRDefault="00F41314" w:rsidP="00943E84">
      <w:pPr>
        <w:spacing w:line="240" w:lineRule="auto"/>
        <w:rPr>
          <w:rFonts w:ascii="Century Gothic" w:hAnsi="Century Gothic" w:cstheme="minorHAnsi"/>
          <w:sz w:val="22"/>
          <w:szCs w:val="22"/>
        </w:rPr>
      </w:pPr>
    </w:p>
    <w:p w14:paraId="747846F7" w14:textId="5C42E0E0" w:rsidR="00B84F10" w:rsidRPr="00A664BB" w:rsidRDefault="00A664BB" w:rsidP="00A664BB">
      <w:pPr>
        <w:keepNext/>
        <w:spacing w:line="240" w:lineRule="auto"/>
        <w:jc w:val="left"/>
        <w:rPr>
          <w:rFonts w:ascii="Century Gothic" w:hAnsi="Century Gothic" w:cs="Arial"/>
          <w:i/>
          <w:sz w:val="20"/>
          <w:szCs w:val="20"/>
        </w:rPr>
      </w:pPr>
      <w:bookmarkStart w:id="79" w:name="_Toc145219886"/>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15</w:t>
      </w:r>
      <w:r w:rsidRPr="00A664BB">
        <w:rPr>
          <w:rFonts w:ascii="Century Gothic" w:hAnsi="Century Gothic" w:cs="Arial"/>
          <w:i/>
          <w:sz w:val="20"/>
          <w:szCs w:val="20"/>
        </w:rPr>
        <w:fldChar w:fldCharType="end"/>
      </w:r>
      <w:r w:rsidR="00B84F10" w:rsidRPr="00A664BB">
        <w:rPr>
          <w:rFonts w:ascii="Century Gothic" w:hAnsi="Century Gothic" w:cs="Arial"/>
          <w:i/>
          <w:sz w:val="20"/>
          <w:szCs w:val="20"/>
        </w:rPr>
        <w:t xml:space="preserve"> Nárasty počtu operácií</w:t>
      </w:r>
      <w:bookmarkEnd w:id="79"/>
    </w:p>
    <w:p w14:paraId="023170EC" w14:textId="5D8CDA94" w:rsidR="00943E84" w:rsidRDefault="00835586" w:rsidP="00062DC5">
      <w:pPr>
        <w:spacing w:line="240" w:lineRule="auto"/>
        <w:jc w:val="center"/>
        <w:rPr>
          <w:rFonts w:ascii="Century Gothic" w:hAnsi="Century Gothic" w:cstheme="minorHAnsi"/>
          <w:sz w:val="22"/>
          <w:szCs w:val="22"/>
        </w:rPr>
      </w:pPr>
      <w:r>
        <w:rPr>
          <w:noProof/>
        </w:rPr>
        <w:drawing>
          <wp:inline distT="0" distB="0" distL="0" distR="0" wp14:anchorId="7FAA4E82" wp14:editId="7BD8B912">
            <wp:extent cx="4572000" cy="2743200"/>
            <wp:effectExtent l="0" t="0" r="0" b="0"/>
            <wp:docPr id="59" name="Graf 59">
              <a:extLst xmlns:a="http://schemas.openxmlformats.org/drawingml/2006/main">
                <a:ext uri="{FF2B5EF4-FFF2-40B4-BE49-F238E27FC236}">
                  <a16:creationId xmlns:a16="http://schemas.microsoft.com/office/drawing/2014/main" id="{4BCFD0BA-517C-B018-6B73-87C6A67B8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DB77D1D" w14:textId="77777777"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3DC5BE83" w14:textId="77777777" w:rsidR="00943E84" w:rsidRDefault="00943E84" w:rsidP="00943E84">
      <w:pPr>
        <w:spacing w:line="240" w:lineRule="auto"/>
        <w:rPr>
          <w:rFonts w:ascii="Century Gothic" w:hAnsi="Century Gothic" w:cstheme="minorHAnsi"/>
          <w:sz w:val="22"/>
          <w:szCs w:val="22"/>
        </w:rPr>
      </w:pPr>
    </w:p>
    <w:p w14:paraId="29950A86" w14:textId="4D0F4D66" w:rsidR="00477448" w:rsidRDefault="00943E84" w:rsidP="00477448">
      <w:pPr>
        <w:spacing w:line="240" w:lineRule="auto"/>
        <w:rPr>
          <w:rFonts w:ascii="Century Gothic" w:hAnsi="Century Gothic" w:cstheme="minorHAnsi"/>
          <w:sz w:val="22"/>
          <w:szCs w:val="22"/>
        </w:rPr>
      </w:pPr>
      <w:r>
        <w:rPr>
          <w:rFonts w:ascii="Century Gothic" w:hAnsi="Century Gothic" w:cstheme="minorHAnsi"/>
          <w:sz w:val="22"/>
          <w:szCs w:val="22"/>
        </w:rPr>
        <w:t xml:space="preserve">Uvedené počty operačných výkonov každodenne narážajú na kapacitnú priepustnosť operačných sál ako aj dodržanie hygienických štandardov pri ich obsluhe. </w:t>
      </w:r>
      <w:r w:rsidR="00477448">
        <w:rPr>
          <w:rFonts w:ascii="Century Gothic" w:hAnsi="Century Gothic" w:cstheme="minorHAnsi"/>
          <w:sz w:val="22"/>
          <w:szCs w:val="22"/>
        </w:rPr>
        <w:t>Veľmi často sa operácie prekladajú pre nedostatok času v pracovnej dobe alebo sa vykonávajú po pracovnej dobe v rámci ÚPS. Viaceré procesy (príprava pa</w:t>
      </w:r>
      <w:r w:rsidR="004E231E">
        <w:rPr>
          <w:rFonts w:ascii="Century Gothic" w:hAnsi="Century Gothic" w:cstheme="minorHAnsi"/>
          <w:sz w:val="22"/>
          <w:szCs w:val="22"/>
        </w:rPr>
        <w:t>cientov, obsluha operačných sál</w:t>
      </w:r>
      <w:r w:rsidR="00477448">
        <w:rPr>
          <w:rFonts w:ascii="Century Gothic" w:hAnsi="Century Gothic" w:cstheme="minorHAnsi"/>
          <w:sz w:val="22"/>
          <w:szCs w:val="22"/>
        </w:rPr>
        <w:t>, personálne obsadenie v dennej, ale najmä nočnej zmene) sa pri tomto usporiadaní jednotlivých operačných traktov predlžujú a predražujú.</w:t>
      </w:r>
    </w:p>
    <w:p w14:paraId="516E30C2" w14:textId="6339CF9A" w:rsidR="00F41314" w:rsidRDefault="00F41314" w:rsidP="00477448">
      <w:pPr>
        <w:spacing w:line="240" w:lineRule="auto"/>
        <w:rPr>
          <w:rFonts w:ascii="Century Gothic" w:hAnsi="Century Gothic" w:cstheme="minorHAnsi"/>
          <w:sz w:val="22"/>
          <w:szCs w:val="22"/>
        </w:rPr>
      </w:pPr>
    </w:p>
    <w:p w14:paraId="2E02426C" w14:textId="6F71ED21" w:rsidR="00F41314" w:rsidRDefault="00F41314" w:rsidP="00F41314">
      <w:pPr>
        <w:spacing w:line="240" w:lineRule="auto"/>
        <w:rPr>
          <w:rFonts w:ascii="Century Gothic" w:hAnsi="Century Gothic" w:cstheme="minorHAnsi"/>
          <w:sz w:val="22"/>
          <w:szCs w:val="22"/>
        </w:rPr>
      </w:pPr>
      <w:r w:rsidRPr="00BD6467">
        <w:rPr>
          <w:rFonts w:ascii="Century Gothic" w:hAnsi="Century Gothic" w:cstheme="minorHAnsi"/>
          <w:b/>
          <w:bCs/>
          <w:i/>
          <w:iCs/>
          <w:sz w:val="22"/>
          <w:szCs w:val="22"/>
        </w:rPr>
        <w:t xml:space="preserve">Pri poskytovaní neodkladnej chirurgickej zdravotnej starostlivosti je </w:t>
      </w:r>
      <w:proofErr w:type="spellStart"/>
      <w:r w:rsidRPr="00BD6467">
        <w:rPr>
          <w:rFonts w:ascii="Century Gothic" w:hAnsi="Century Gothic" w:cstheme="minorHAnsi"/>
          <w:b/>
          <w:bCs/>
          <w:i/>
          <w:iCs/>
          <w:sz w:val="22"/>
          <w:szCs w:val="22"/>
        </w:rPr>
        <w:t>FNsP</w:t>
      </w:r>
      <w:proofErr w:type="spellEnd"/>
      <w:r w:rsidRPr="00BD6467">
        <w:rPr>
          <w:rFonts w:ascii="Century Gothic" w:hAnsi="Century Gothic" w:cstheme="minorHAnsi"/>
          <w:b/>
          <w:bCs/>
          <w:i/>
          <w:iCs/>
          <w:sz w:val="22"/>
          <w:szCs w:val="22"/>
        </w:rPr>
        <w:t xml:space="preserve"> Žilina dlhodobo najzaťaženejšou nemocnicou v ŽSK</w:t>
      </w:r>
      <w:r>
        <w:rPr>
          <w:rFonts w:ascii="Century Gothic" w:hAnsi="Century Gothic" w:cstheme="minorHAnsi"/>
          <w:sz w:val="22"/>
          <w:szCs w:val="22"/>
        </w:rPr>
        <w:t xml:space="preserve">. Ako ukazuje graf nižšie </w:t>
      </w:r>
      <w:proofErr w:type="spellStart"/>
      <w:r>
        <w:rPr>
          <w:rFonts w:ascii="Century Gothic" w:hAnsi="Century Gothic" w:cstheme="minorHAnsi"/>
          <w:sz w:val="22"/>
          <w:szCs w:val="22"/>
        </w:rPr>
        <w:t>operovanosť</w:t>
      </w:r>
      <w:proofErr w:type="spellEnd"/>
      <w:r>
        <w:rPr>
          <w:rFonts w:ascii="Century Gothic" w:hAnsi="Century Gothic" w:cstheme="minorHAnsi"/>
          <w:sz w:val="22"/>
          <w:szCs w:val="22"/>
        </w:rPr>
        <w:t xml:space="preserve"> akútnych brušných, hrudných a cievnych príhod a úrazov tvorí významnú časť operatívy. Z predpokladaných rámcov sa vymyká NsP Čadca, kde sú úrazy v princípe operované ako akútne stavy, pričom trend vo </w:t>
      </w: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Žilina je iný – operácie kostného systému sú odložené, okrem tých, ktoré odklad neznesú.</w:t>
      </w:r>
    </w:p>
    <w:p w14:paraId="2727B8F3" w14:textId="7DD51A0B" w:rsidR="00741646" w:rsidRPr="00A664BB" w:rsidRDefault="00A664BB" w:rsidP="00A664BB">
      <w:pPr>
        <w:keepNext/>
        <w:spacing w:line="240" w:lineRule="auto"/>
        <w:jc w:val="left"/>
        <w:rPr>
          <w:rFonts w:ascii="Century Gothic" w:hAnsi="Century Gothic" w:cs="Arial"/>
          <w:i/>
          <w:sz w:val="20"/>
          <w:szCs w:val="20"/>
        </w:rPr>
      </w:pPr>
      <w:bookmarkStart w:id="80" w:name="_Toc145219887"/>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16</w:t>
      </w:r>
      <w:r w:rsidRPr="00A664BB">
        <w:rPr>
          <w:rFonts w:ascii="Century Gothic" w:hAnsi="Century Gothic" w:cs="Arial"/>
          <w:i/>
          <w:sz w:val="20"/>
          <w:szCs w:val="20"/>
        </w:rPr>
        <w:fldChar w:fldCharType="end"/>
      </w:r>
      <w:r w:rsidR="00741646" w:rsidRPr="00A664BB">
        <w:rPr>
          <w:rFonts w:ascii="Century Gothic" w:hAnsi="Century Gothic" w:cs="Arial"/>
          <w:i/>
          <w:sz w:val="20"/>
          <w:szCs w:val="20"/>
        </w:rPr>
        <w:t xml:space="preserve"> Akútne operácie pre náhle brušné, cievne, hrudné príhody a úrazy</w:t>
      </w:r>
      <w:bookmarkEnd w:id="80"/>
      <w:r w:rsidR="00741646" w:rsidRPr="00A664BB">
        <w:rPr>
          <w:rFonts w:ascii="Century Gothic" w:hAnsi="Century Gothic" w:cs="Arial"/>
          <w:i/>
          <w:sz w:val="20"/>
          <w:szCs w:val="20"/>
        </w:rPr>
        <w:t xml:space="preserve"> </w:t>
      </w:r>
    </w:p>
    <w:p w14:paraId="7D7BF75D" w14:textId="2744E552" w:rsidR="00724522" w:rsidRDefault="00724522" w:rsidP="00062DC5">
      <w:pPr>
        <w:spacing w:line="240" w:lineRule="auto"/>
        <w:jc w:val="center"/>
        <w:rPr>
          <w:rFonts w:ascii="Century Gothic" w:hAnsi="Century Gothic" w:cstheme="minorHAnsi"/>
          <w:sz w:val="22"/>
          <w:szCs w:val="22"/>
        </w:rPr>
      </w:pPr>
      <w:r>
        <w:rPr>
          <w:noProof/>
        </w:rPr>
        <w:drawing>
          <wp:inline distT="0" distB="0" distL="0" distR="0" wp14:anchorId="191E51EF" wp14:editId="3503BF2D">
            <wp:extent cx="5760720" cy="2604135"/>
            <wp:effectExtent l="0" t="0" r="0" b="5715"/>
            <wp:docPr id="15" name="Graf 15">
              <a:extLst xmlns:a="http://schemas.openxmlformats.org/drawingml/2006/main">
                <a:ext uri="{FF2B5EF4-FFF2-40B4-BE49-F238E27FC236}">
                  <a16:creationId xmlns:a16="http://schemas.microsoft.com/office/drawing/2014/main" id="{1CAC4C1D-76A5-A014-4A2B-5BBC838298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9370545" w14:textId="42EF3E77" w:rsidR="003C1E89" w:rsidRDefault="003C1E89" w:rsidP="003C1E89">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5E8A7B2A" w14:textId="77777777" w:rsidR="00B644EE" w:rsidRDefault="00B644EE" w:rsidP="00F41314">
      <w:pPr>
        <w:spacing w:line="240" w:lineRule="auto"/>
        <w:rPr>
          <w:rFonts w:ascii="Century Gothic" w:hAnsi="Century Gothic" w:cstheme="minorHAnsi"/>
          <w:b/>
          <w:color w:val="FF0000"/>
        </w:rPr>
      </w:pPr>
    </w:p>
    <w:p w14:paraId="7E3A1E87" w14:textId="77777777" w:rsidR="00F41314" w:rsidRPr="00BD6467" w:rsidRDefault="00F41314" w:rsidP="00F41314">
      <w:pPr>
        <w:spacing w:line="240" w:lineRule="auto"/>
        <w:rPr>
          <w:rFonts w:ascii="Century Gothic" w:hAnsi="Century Gothic" w:cstheme="minorHAnsi"/>
          <w:b/>
          <w:bCs/>
          <w:sz w:val="22"/>
          <w:szCs w:val="22"/>
        </w:rPr>
      </w:pPr>
      <w:r w:rsidRPr="00BD6467">
        <w:rPr>
          <w:rFonts w:ascii="Century Gothic" w:hAnsi="Century Gothic" w:cstheme="minorHAnsi"/>
          <w:b/>
          <w:bCs/>
          <w:sz w:val="22"/>
          <w:szCs w:val="22"/>
        </w:rPr>
        <w:t>Jednodňová zdravotná starostlivosť/jednodňová chirurgia</w:t>
      </w:r>
    </w:p>
    <w:p w14:paraId="16B21CE7" w14:textId="77777777" w:rsidR="00F41314" w:rsidRDefault="00F41314" w:rsidP="00F41314">
      <w:pPr>
        <w:spacing w:line="240" w:lineRule="auto"/>
        <w:rPr>
          <w:rFonts w:ascii="Century Gothic" w:hAnsi="Century Gothic" w:cstheme="minorHAnsi"/>
          <w:sz w:val="22"/>
          <w:szCs w:val="22"/>
        </w:rPr>
      </w:pPr>
    </w:p>
    <w:p w14:paraId="4A0B8722" w14:textId="1000D2D0"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 xml:space="preserve">Jednodňová chirurgia je v súlade so všeobecným trendom poskytovaná v rámci </w:t>
      </w: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Žilina poskytovaná dlhodobejšie. Postupný tlak zdravotných poisťovní prináša zásadnejší nárast výkonov cca</w:t>
      </w:r>
      <w:r w:rsidR="00CC01B2">
        <w:rPr>
          <w:rFonts w:ascii="Century Gothic" w:hAnsi="Century Gothic" w:cstheme="minorHAnsi"/>
          <w:sz w:val="22"/>
          <w:szCs w:val="22"/>
        </w:rPr>
        <w:t>.</w:t>
      </w:r>
      <w:r>
        <w:rPr>
          <w:rFonts w:ascii="Century Gothic" w:hAnsi="Century Gothic" w:cstheme="minorHAnsi"/>
          <w:sz w:val="22"/>
          <w:szCs w:val="22"/>
        </w:rPr>
        <w:t xml:space="preserve"> od roku od roku 2016. </w:t>
      </w:r>
    </w:p>
    <w:p w14:paraId="374C0C8D" w14:textId="01CE7621"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Poskytovanie jednodňovej chirurgie sa deje tzv. zmiešanou formou, tzn. pacienti sú priebežne prijímaný na jednotlivé oddelenia, operovaní na tých istých operačných sálach a následne prepúšťan</w:t>
      </w:r>
      <w:r w:rsidR="00CC01B2">
        <w:rPr>
          <w:rFonts w:ascii="Century Gothic" w:hAnsi="Century Gothic" w:cstheme="minorHAnsi"/>
          <w:sz w:val="22"/>
          <w:szCs w:val="22"/>
        </w:rPr>
        <w:t>í</w:t>
      </w:r>
      <w:r>
        <w:rPr>
          <w:rFonts w:ascii="Century Gothic" w:hAnsi="Century Gothic" w:cstheme="minorHAnsi"/>
          <w:sz w:val="22"/>
          <w:szCs w:val="22"/>
        </w:rPr>
        <w:t xml:space="preserve"> domov v rámci jedného dňa. Takisto personál, starajúci sa o týchto pacientov je zhodný s personálom na oddelení.</w:t>
      </w:r>
    </w:p>
    <w:p w14:paraId="7B8A57F5" w14:textId="77777777" w:rsidR="00F41314" w:rsidRDefault="00F41314" w:rsidP="00F41314">
      <w:pPr>
        <w:spacing w:line="240" w:lineRule="auto"/>
        <w:rPr>
          <w:rFonts w:ascii="Century Gothic" w:hAnsi="Century Gothic" w:cstheme="minorHAnsi"/>
          <w:sz w:val="22"/>
          <w:szCs w:val="22"/>
        </w:rPr>
      </w:pPr>
    </w:p>
    <w:p w14:paraId="055D50F0" w14:textId="4B968B4C"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 xml:space="preserve">Počty takto operovaných a manažovaných pacientov priebežne rástli v rokoch 2016-2019 a rovnaký trend sa predpokladá aj v nasledovných obdobiach. Roky 2020 a 2021 ako </w:t>
      </w:r>
      <w:proofErr w:type="spellStart"/>
      <w:r>
        <w:rPr>
          <w:rFonts w:ascii="Century Gothic" w:hAnsi="Century Gothic" w:cstheme="minorHAnsi"/>
          <w:sz w:val="22"/>
          <w:szCs w:val="22"/>
        </w:rPr>
        <w:t>COVIDové</w:t>
      </w:r>
      <w:proofErr w:type="spellEnd"/>
      <w:r>
        <w:rPr>
          <w:rFonts w:ascii="Century Gothic" w:hAnsi="Century Gothic" w:cstheme="minorHAnsi"/>
          <w:sz w:val="22"/>
          <w:szCs w:val="22"/>
        </w:rPr>
        <w:t xml:space="preserve"> roky tento trend pribrzdili. V roku 202</w:t>
      </w:r>
      <w:r w:rsidR="00835586">
        <w:rPr>
          <w:rFonts w:ascii="Century Gothic" w:hAnsi="Century Gothic" w:cstheme="minorHAnsi"/>
          <w:sz w:val="22"/>
          <w:szCs w:val="22"/>
        </w:rPr>
        <w:t xml:space="preserve">2 </w:t>
      </w:r>
      <w:r>
        <w:rPr>
          <w:rFonts w:ascii="Century Gothic" w:hAnsi="Century Gothic" w:cstheme="minorHAnsi"/>
          <w:sz w:val="22"/>
          <w:szCs w:val="22"/>
        </w:rPr>
        <w:t xml:space="preserve">bolo až </w:t>
      </w:r>
      <w:r w:rsidR="00835586">
        <w:rPr>
          <w:rFonts w:ascii="Century Gothic" w:hAnsi="Century Gothic" w:cstheme="minorHAnsi"/>
          <w:sz w:val="22"/>
          <w:szCs w:val="22"/>
        </w:rPr>
        <w:t>49</w:t>
      </w:r>
      <w:r>
        <w:rPr>
          <w:rFonts w:ascii="Century Gothic" w:hAnsi="Century Gothic" w:cstheme="minorHAnsi"/>
          <w:sz w:val="22"/>
          <w:szCs w:val="22"/>
        </w:rPr>
        <w:t xml:space="preserve">% </w:t>
      </w:r>
      <w:r w:rsidR="00BD6467">
        <w:rPr>
          <w:rFonts w:ascii="Century Gothic" w:hAnsi="Century Gothic" w:cstheme="minorHAnsi"/>
          <w:sz w:val="22"/>
          <w:szCs w:val="22"/>
        </w:rPr>
        <w:t xml:space="preserve">všetkých operovaných </w:t>
      </w:r>
      <w:r>
        <w:rPr>
          <w:rFonts w:ascii="Century Gothic" w:hAnsi="Century Gothic" w:cstheme="minorHAnsi"/>
          <w:sz w:val="22"/>
          <w:szCs w:val="22"/>
        </w:rPr>
        <w:t>pacientov operovaných jednodňovou formou.</w:t>
      </w:r>
    </w:p>
    <w:p w14:paraId="67F6AF46" w14:textId="77777777" w:rsidR="00F41314" w:rsidRDefault="00F41314" w:rsidP="00F41314">
      <w:pPr>
        <w:spacing w:line="240" w:lineRule="auto"/>
        <w:rPr>
          <w:rFonts w:ascii="Century Gothic" w:hAnsi="Century Gothic" w:cstheme="minorHAnsi"/>
          <w:sz w:val="22"/>
          <w:szCs w:val="22"/>
        </w:rPr>
      </w:pPr>
    </w:p>
    <w:p w14:paraId="2C5B7594" w14:textId="320A710A" w:rsidR="00DA24D6" w:rsidRPr="00A664BB" w:rsidRDefault="00A664BB" w:rsidP="00A664BB">
      <w:pPr>
        <w:keepNext/>
        <w:spacing w:line="240" w:lineRule="auto"/>
        <w:jc w:val="left"/>
        <w:rPr>
          <w:rFonts w:ascii="Century Gothic" w:hAnsi="Century Gothic" w:cs="Arial"/>
          <w:i/>
          <w:sz w:val="20"/>
          <w:szCs w:val="20"/>
        </w:rPr>
      </w:pPr>
      <w:bookmarkStart w:id="81" w:name="_Toc145219888"/>
      <w:r w:rsidRPr="00A664BB">
        <w:rPr>
          <w:rFonts w:ascii="Century Gothic" w:hAnsi="Century Gothic" w:cs="Arial"/>
          <w:i/>
          <w:sz w:val="20"/>
          <w:szCs w:val="20"/>
        </w:rPr>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17</w:t>
      </w:r>
      <w:r w:rsidRPr="00A664BB">
        <w:rPr>
          <w:rFonts w:ascii="Century Gothic" w:hAnsi="Century Gothic" w:cs="Arial"/>
          <w:i/>
          <w:sz w:val="20"/>
          <w:szCs w:val="20"/>
        </w:rPr>
        <w:fldChar w:fldCharType="end"/>
      </w:r>
      <w:r w:rsidR="00DA24D6" w:rsidRPr="00A664BB">
        <w:rPr>
          <w:rFonts w:ascii="Century Gothic" w:hAnsi="Century Gothic" w:cs="Arial"/>
          <w:i/>
          <w:sz w:val="20"/>
          <w:szCs w:val="20"/>
        </w:rPr>
        <w:t xml:space="preserve"> Počet výkonov jednodňovej chirurgie</w:t>
      </w:r>
      <w:r w:rsidR="003C1E89" w:rsidRPr="00A664BB">
        <w:rPr>
          <w:rFonts w:ascii="Century Gothic" w:hAnsi="Century Gothic" w:cs="Arial"/>
          <w:i/>
          <w:sz w:val="20"/>
          <w:szCs w:val="20"/>
        </w:rPr>
        <w:t xml:space="preserve"> vo </w:t>
      </w:r>
      <w:proofErr w:type="spellStart"/>
      <w:r w:rsidR="003C1E89" w:rsidRPr="00A664BB">
        <w:rPr>
          <w:rFonts w:ascii="Century Gothic" w:hAnsi="Century Gothic" w:cs="Arial"/>
          <w:i/>
          <w:sz w:val="20"/>
          <w:szCs w:val="20"/>
        </w:rPr>
        <w:t>FNsP</w:t>
      </w:r>
      <w:proofErr w:type="spellEnd"/>
      <w:r w:rsidR="003C1E89" w:rsidRPr="00A664BB">
        <w:rPr>
          <w:rFonts w:ascii="Century Gothic" w:hAnsi="Century Gothic" w:cs="Arial"/>
          <w:i/>
          <w:sz w:val="20"/>
          <w:szCs w:val="20"/>
        </w:rPr>
        <w:t xml:space="preserve"> </w:t>
      </w:r>
      <w:r w:rsidRPr="00A664BB">
        <w:rPr>
          <w:rFonts w:ascii="Century Gothic" w:hAnsi="Century Gothic" w:cs="Arial"/>
          <w:i/>
          <w:sz w:val="20"/>
          <w:szCs w:val="20"/>
        </w:rPr>
        <w:t>Žilina</w:t>
      </w:r>
      <w:r w:rsidR="00DA24D6" w:rsidRPr="00A664BB">
        <w:rPr>
          <w:rFonts w:ascii="Century Gothic" w:hAnsi="Century Gothic" w:cs="Arial"/>
          <w:i/>
          <w:sz w:val="20"/>
          <w:szCs w:val="20"/>
        </w:rPr>
        <w:t xml:space="preserve"> 2016-2022</w:t>
      </w:r>
      <w:bookmarkEnd w:id="81"/>
    </w:p>
    <w:p w14:paraId="03C3AB00" w14:textId="284E149A" w:rsidR="00DA24D6" w:rsidRPr="00DA24D6" w:rsidRDefault="00CD183A" w:rsidP="00DA24D6">
      <w:pPr>
        <w:rPr>
          <w:rFonts w:ascii="Century Gothic" w:hAnsi="Century Gothic" w:cstheme="minorHAnsi"/>
          <w:sz w:val="22"/>
          <w:szCs w:val="22"/>
        </w:rPr>
      </w:pPr>
      <w:r>
        <w:rPr>
          <w:noProof/>
        </w:rPr>
        <w:drawing>
          <wp:anchor distT="0" distB="0" distL="114300" distR="114300" simplePos="0" relativeHeight="251659264" behindDoc="0" locked="0" layoutInCell="1" allowOverlap="1" wp14:anchorId="3A091938" wp14:editId="2834F70D">
            <wp:simplePos x="0" y="0"/>
            <wp:positionH relativeFrom="column">
              <wp:posOffset>422910</wp:posOffset>
            </wp:positionH>
            <wp:positionV relativeFrom="paragraph">
              <wp:posOffset>14169</wp:posOffset>
            </wp:positionV>
            <wp:extent cx="4606413" cy="2816328"/>
            <wp:effectExtent l="0" t="0" r="3810" b="3175"/>
            <wp:wrapSquare wrapText="bothSides"/>
            <wp:docPr id="60" name="Graf 60">
              <a:extLst xmlns:a="http://schemas.openxmlformats.org/drawingml/2006/main">
                <a:ext uri="{FF2B5EF4-FFF2-40B4-BE49-F238E27FC236}">
                  <a16:creationId xmlns:a16="http://schemas.microsoft.com/office/drawing/2014/main" id="{6F7C753C-AF2C-D20A-A4F2-2085BD2E1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14:paraId="6117A3B0" w14:textId="28833118" w:rsidR="00DA24D6" w:rsidRDefault="00DA24D6" w:rsidP="00F41314">
      <w:pPr>
        <w:spacing w:line="240" w:lineRule="auto"/>
        <w:rPr>
          <w:rFonts w:ascii="Century Gothic" w:hAnsi="Century Gothic" w:cstheme="minorHAnsi"/>
          <w:sz w:val="22"/>
          <w:szCs w:val="22"/>
        </w:rPr>
      </w:pPr>
    </w:p>
    <w:p w14:paraId="4BFF2F73" w14:textId="7A95DB90" w:rsidR="00DA24D6" w:rsidRDefault="00DA24D6" w:rsidP="00F41314">
      <w:pPr>
        <w:spacing w:line="240" w:lineRule="auto"/>
        <w:rPr>
          <w:rFonts w:ascii="Century Gothic" w:hAnsi="Century Gothic" w:cstheme="minorHAnsi"/>
          <w:sz w:val="22"/>
          <w:szCs w:val="22"/>
        </w:rPr>
      </w:pPr>
    </w:p>
    <w:p w14:paraId="48F64C80" w14:textId="16F2D776" w:rsidR="00F41314" w:rsidRPr="00DA24D6" w:rsidRDefault="00DA24D6" w:rsidP="00DA24D6">
      <w:pPr>
        <w:spacing w:line="240" w:lineRule="auto"/>
        <w:rPr>
          <w:rFonts w:ascii="Century Gothic" w:hAnsi="Century Gothic" w:cstheme="minorHAnsi"/>
          <w:i/>
          <w:sz w:val="18"/>
          <w:szCs w:val="18"/>
        </w:rPr>
      </w:pPr>
      <w:r>
        <w:rPr>
          <w:rFonts w:ascii="Century Gothic" w:hAnsi="Century Gothic" w:cstheme="minorHAnsi"/>
          <w:sz w:val="22"/>
          <w:szCs w:val="22"/>
        </w:rPr>
        <w:br w:type="textWrapping" w:clear="all"/>
      </w:r>
      <w:r w:rsidR="00F41314" w:rsidRPr="00DA24D6">
        <w:rPr>
          <w:rFonts w:ascii="Century Gothic" w:hAnsi="Century Gothic" w:cstheme="minorHAnsi"/>
          <w:i/>
          <w:sz w:val="18"/>
          <w:szCs w:val="18"/>
        </w:rPr>
        <w:t xml:space="preserve">Zdroj: Zdroj: Fakultná nemocnica s poliklinikou Žilina, </w:t>
      </w:r>
      <w:r w:rsidRPr="00DA24D6">
        <w:rPr>
          <w:rFonts w:ascii="Century Gothic" w:hAnsi="Century Gothic" w:cstheme="minorHAnsi"/>
          <w:i/>
          <w:sz w:val="18"/>
          <w:szCs w:val="18"/>
        </w:rPr>
        <w:t>vlastné spracovanie</w:t>
      </w:r>
    </w:p>
    <w:p w14:paraId="43C64C78" w14:textId="55D4699A" w:rsidR="00DA24D6" w:rsidRPr="00A664BB" w:rsidRDefault="00A664BB" w:rsidP="00A664BB">
      <w:pPr>
        <w:keepNext/>
        <w:spacing w:line="240" w:lineRule="auto"/>
        <w:jc w:val="left"/>
        <w:rPr>
          <w:rFonts w:ascii="Century Gothic" w:hAnsi="Century Gothic" w:cs="Arial"/>
          <w:i/>
          <w:sz w:val="20"/>
          <w:szCs w:val="20"/>
        </w:rPr>
      </w:pPr>
      <w:bookmarkStart w:id="82" w:name="_Toc145219889"/>
      <w:r w:rsidRPr="00A664BB">
        <w:rPr>
          <w:rFonts w:ascii="Century Gothic" w:hAnsi="Century Gothic" w:cs="Arial"/>
          <w:i/>
          <w:sz w:val="20"/>
          <w:szCs w:val="20"/>
        </w:rPr>
        <w:lastRenderedPageBreak/>
        <w:t xml:space="preserve">Graf </w:t>
      </w:r>
      <w:r w:rsidRPr="00A664BB">
        <w:rPr>
          <w:rFonts w:ascii="Century Gothic" w:hAnsi="Century Gothic" w:cs="Arial"/>
          <w:i/>
          <w:sz w:val="20"/>
          <w:szCs w:val="20"/>
        </w:rPr>
        <w:fldChar w:fldCharType="begin"/>
      </w:r>
      <w:r w:rsidRPr="00A664BB">
        <w:rPr>
          <w:rFonts w:ascii="Century Gothic" w:hAnsi="Century Gothic" w:cs="Arial"/>
          <w:i/>
          <w:sz w:val="20"/>
          <w:szCs w:val="20"/>
        </w:rPr>
        <w:instrText xml:space="preserve"> SEQ Graf \* ARABIC </w:instrText>
      </w:r>
      <w:r w:rsidRPr="00A664BB">
        <w:rPr>
          <w:rFonts w:ascii="Century Gothic" w:hAnsi="Century Gothic" w:cs="Arial"/>
          <w:i/>
          <w:sz w:val="20"/>
          <w:szCs w:val="20"/>
        </w:rPr>
        <w:fldChar w:fldCharType="separate"/>
      </w:r>
      <w:r w:rsidR="007D6A44">
        <w:rPr>
          <w:rFonts w:ascii="Century Gothic" w:hAnsi="Century Gothic" w:cs="Arial"/>
          <w:i/>
          <w:noProof/>
          <w:sz w:val="20"/>
          <w:szCs w:val="20"/>
        </w:rPr>
        <w:t>18</w:t>
      </w:r>
      <w:r w:rsidRPr="00A664BB">
        <w:rPr>
          <w:rFonts w:ascii="Century Gothic" w:hAnsi="Century Gothic" w:cs="Arial"/>
          <w:i/>
          <w:sz w:val="20"/>
          <w:szCs w:val="20"/>
        </w:rPr>
        <w:fldChar w:fldCharType="end"/>
      </w:r>
      <w:r w:rsidR="00DA24D6" w:rsidRPr="00A664BB">
        <w:rPr>
          <w:rFonts w:ascii="Century Gothic" w:hAnsi="Century Gothic" w:cs="Arial"/>
          <w:i/>
          <w:sz w:val="20"/>
          <w:szCs w:val="20"/>
        </w:rPr>
        <w:t xml:space="preserve"> Počet výkonov jednodňovej chirurgie 2010-202</w:t>
      </w:r>
      <w:r w:rsidR="00E70B7A">
        <w:rPr>
          <w:rFonts w:ascii="Century Gothic" w:hAnsi="Century Gothic" w:cs="Arial"/>
          <w:i/>
          <w:sz w:val="20"/>
          <w:szCs w:val="20"/>
        </w:rPr>
        <w:t>2</w:t>
      </w:r>
      <w:bookmarkEnd w:id="82"/>
    </w:p>
    <w:p w14:paraId="0ED027B3" w14:textId="261F75F4" w:rsidR="00DE15FC" w:rsidRDefault="00DE15FC" w:rsidP="00CD183A">
      <w:pPr>
        <w:spacing w:line="240" w:lineRule="auto"/>
        <w:jc w:val="center"/>
        <w:rPr>
          <w:rFonts w:ascii="Century Gothic" w:hAnsi="Century Gothic" w:cstheme="minorHAnsi"/>
          <w:sz w:val="22"/>
          <w:szCs w:val="22"/>
        </w:rPr>
      </w:pPr>
      <w:r>
        <w:rPr>
          <w:noProof/>
        </w:rPr>
        <w:drawing>
          <wp:inline distT="0" distB="0" distL="0" distR="0" wp14:anchorId="1FFCD262" wp14:editId="1508F240">
            <wp:extent cx="4838700" cy="2733675"/>
            <wp:effectExtent l="0" t="0" r="0" b="0"/>
            <wp:docPr id="11" name="Graf 11">
              <a:extLst xmlns:a="http://schemas.openxmlformats.org/drawingml/2006/main">
                <a:ext uri="{FF2B5EF4-FFF2-40B4-BE49-F238E27FC236}">
                  <a16:creationId xmlns:a16="http://schemas.microsoft.com/office/drawing/2014/main" id="{D4F1BD47-E0A7-367B-97B3-C45591B0D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A28E3ED" w14:textId="0C23A20B" w:rsidR="00F41314" w:rsidRDefault="00F41314" w:rsidP="00F4131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Pr>
          <w:rFonts w:ascii="Century Gothic" w:hAnsi="Century Gothic" w:cstheme="minorHAnsi"/>
          <w:b w:val="0"/>
          <w:i/>
          <w:sz w:val="18"/>
          <w:szCs w:val="18"/>
        </w:rPr>
        <w:t xml:space="preserve">NCZI, </w:t>
      </w:r>
      <w:r w:rsidR="00DA24D6">
        <w:rPr>
          <w:rFonts w:ascii="Century Gothic" w:hAnsi="Century Gothic" w:cstheme="minorHAnsi"/>
          <w:b w:val="0"/>
          <w:i/>
          <w:sz w:val="18"/>
          <w:szCs w:val="18"/>
        </w:rPr>
        <w:t>vlastné spracovanie</w:t>
      </w:r>
    </w:p>
    <w:p w14:paraId="4AB2360D" w14:textId="77777777" w:rsidR="006D242B" w:rsidRPr="00681336" w:rsidRDefault="006D242B" w:rsidP="00681336">
      <w:pPr>
        <w:rPr>
          <w:lang w:eastAsia="cs-CZ"/>
        </w:rPr>
      </w:pPr>
    </w:p>
    <w:p w14:paraId="30019EC3" w14:textId="0662FA6B"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 xml:space="preserve">Význam tejto formy zdravotnej starostlivosti potvrdzujú aj trendy v jednotlivých chirurgických disciplínach, nakoľko podiel takto operovaných pacientov sa priebežne zvyšuje. Samozrejme, ovplyvnenie </w:t>
      </w:r>
      <w:proofErr w:type="spellStart"/>
      <w:r>
        <w:rPr>
          <w:rFonts w:ascii="Century Gothic" w:hAnsi="Century Gothic" w:cstheme="minorHAnsi"/>
          <w:sz w:val="22"/>
          <w:szCs w:val="22"/>
        </w:rPr>
        <w:t>COVIDom</w:t>
      </w:r>
      <w:proofErr w:type="spellEnd"/>
      <w:r>
        <w:rPr>
          <w:rFonts w:ascii="Century Gothic" w:hAnsi="Century Gothic" w:cstheme="minorHAnsi"/>
          <w:sz w:val="22"/>
          <w:szCs w:val="22"/>
        </w:rPr>
        <w:t xml:space="preserve"> je zrejmé, kedy ľahší pacienti zostávali neoperovaní a tak sa % jednodňovej starostlivosti dočasne zmenšilo. Tradičnými „jednodňovými</w:t>
      </w:r>
      <w:r w:rsidR="00CC01B2">
        <w:rPr>
          <w:rFonts w:ascii="Century Gothic" w:hAnsi="Century Gothic" w:cstheme="minorHAnsi"/>
          <w:sz w:val="22"/>
          <w:szCs w:val="22"/>
        </w:rPr>
        <w:t>“</w:t>
      </w:r>
      <w:r>
        <w:rPr>
          <w:rFonts w:ascii="Century Gothic" w:hAnsi="Century Gothic" w:cstheme="minorHAnsi"/>
          <w:sz w:val="22"/>
          <w:szCs w:val="22"/>
        </w:rPr>
        <w:t xml:space="preserve"> odbormi sú očné, ORL a </w:t>
      </w:r>
      <w:proofErr w:type="spellStart"/>
      <w:r>
        <w:rPr>
          <w:rFonts w:ascii="Century Gothic" w:hAnsi="Century Gothic" w:cstheme="minorHAnsi"/>
          <w:sz w:val="22"/>
          <w:szCs w:val="22"/>
        </w:rPr>
        <w:t>endoskopická</w:t>
      </w:r>
      <w:proofErr w:type="spellEnd"/>
      <w:r>
        <w:rPr>
          <w:rFonts w:ascii="Century Gothic" w:hAnsi="Century Gothic" w:cstheme="minorHAnsi"/>
          <w:sz w:val="22"/>
          <w:szCs w:val="22"/>
        </w:rPr>
        <w:t xml:space="preserve"> starostlivosť, najmenej vhodnými sú ortopédia, úrazová chirurgia a neurochirurgia – </w:t>
      </w:r>
      <w:r w:rsidR="00CC01B2">
        <w:rPr>
          <w:rFonts w:ascii="Century Gothic" w:hAnsi="Century Gothic" w:cstheme="minorHAnsi"/>
          <w:sz w:val="22"/>
          <w:szCs w:val="22"/>
        </w:rPr>
        <w:t>viď.</w:t>
      </w:r>
      <w:r>
        <w:rPr>
          <w:rFonts w:ascii="Century Gothic" w:hAnsi="Century Gothic" w:cstheme="minorHAnsi"/>
          <w:sz w:val="22"/>
          <w:szCs w:val="22"/>
        </w:rPr>
        <w:t xml:space="preserve"> tabuľka.</w:t>
      </w:r>
    </w:p>
    <w:p w14:paraId="49346306" w14:textId="77777777" w:rsidR="00F41314" w:rsidRDefault="00F41314" w:rsidP="00F41314">
      <w:pPr>
        <w:spacing w:line="240" w:lineRule="auto"/>
        <w:rPr>
          <w:rFonts w:ascii="Century Gothic" w:hAnsi="Century Gothic" w:cstheme="minorHAnsi"/>
          <w:sz w:val="22"/>
          <w:szCs w:val="22"/>
        </w:rPr>
      </w:pPr>
    </w:p>
    <w:p w14:paraId="79C7C241" w14:textId="16A3A9FA" w:rsidR="00F41314" w:rsidRPr="00610835" w:rsidRDefault="00DA24D6" w:rsidP="00DA24D6">
      <w:pPr>
        <w:keepNext/>
        <w:spacing w:line="240" w:lineRule="auto"/>
        <w:rPr>
          <w:rFonts w:ascii="Century Gothic" w:hAnsi="Century Gothic"/>
          <w:i/>
          <w:sz w:val="20"/>
          <w:szCs w:val="20"/>
        </w:rPr>
      </w:pPr>
      <w:bookmarkStart w:id="83" w:name="_Toc145219919"/>
      <w:r w:rsidRPr="00DA24D6">
        <w:rPr>
          <w:rFonts w:ascii="Century Gothic" w:hAnsi="Century Gothic"/>
          <w:i/>
          <w:sz w:val="20"/>
          <w:szCs w:val="20"/>
        </w:rPr>
        <w:t xml:space="preserve">Tabuľka </w:t>
      </w:r>
      <w:r w:rsidRPr="00DA24D6">
        <w:rPr>
          <w:rFonts w:ascii="Century Gothic" w:hAnsi="Century Gothic"/>
          <w:i/>
          <w:sz w:val="20"/>
          <w:szCs w:val="20"/>
        </w:rPr>
        <w:fldChar w:fldCharType="begin"/>
      </w:r>
      <w:r w:rsidRPr="00DA24D6">
        <w:rPr>
          <w:rFonts w:ascii="Century Gothic" w:hAnsi="Century Gothic"/>
          <w:i/>
          <w:sz w:val="20"/>
          <w:szCs w:val="20"/>
        </w:rPr>
        <w:instrText xml:space="preserve"> SEQ Tabuľka \* ARABIC </w:instrText>
      </w:r>
      <w:r w:rsidRPr="00DA24D6">
        <w:rPr>
          <w:rFonts w:ascii="Century Gothic" w:hAnsi="Century Gothic"/>
          <w:i/>
          <w:sz w:val="20"/>
          <w:szCs w:val="20"/>
        </w:rPr>
        <w:fldChar w:fldCharType="separate"/>
      </w:r>
      <w:r w:rsidR="007D6A44">
        <w:rPr>
          <w:rFonts w:ascii="Century Gothic" w:hAnsi="Century Gothic"/>
          <w:i/>
          <w:noProof/>
          <w:sz w:val="20"/>
          <w:szCs w:val="20"/>
        </w:rPr>
        <w:t>18</w:t>
      </w:r>
      <w:r w:rsidRPr="00DA24D6">
        <w:rPr>
          <w:rFonts w:ascii="Century Gothic" w:hAnsi="Century Gothic"/>
          <w:i/>
          <w:sz w:val="20"/>
          <w:szCs w:val="20"/>
        </w:rPr>
        <w:fldChar w:fldCharType="end"/>
      </w:r>
      <w:r w:rsidR="00F41314" w:rsidRPr="00610835">
        <w:rPr>
          <w:rFonts w:ascii="Century Gothic" w:hAnsi="Century Gothic"/>
          <w:i/>
          <w:sz w:val="20"/>
          <w:szCs w:val="20"/>
        </w:rPr>
        <w:t xml:space="preserve"> Podiel pacientov(%) operovaných formou JCH </w:t>
      </w:r>
      <w:r w:rsidR="00F41314" w:rsidRPr="00294252">
        <w:rPr>
          <w:rFonts w:ascii="Century Gothic" w:hAnsi="Century Gothic"/>
          <w:i/>
          <w:sz w:val="20"/>
          <w:szCs w:val="20"/>
        </w:rPr>
        <w:t>2016-202</w:t>
      </w:r>
      <w:r w:rsidR="00E70B7A">
        <w:rPr>
          <w:rFonts w:ascii="Century Gothic" w:hAnsi="Century Gothic"/>
          <w:i/>
          <w:sz w:val="20"/>
          <w:szCs w:val="20"/>
        </w:rPr>
        <w:t>2</w:t>
      </w:r>
      <w:bookmarkEnd w:id="83"/>
    </w:p>
    <w:tbl>
      <w:tblPr>
        <w:tblW w:w="9072" w:type="dxa"/>
        <w:jc w:val="center"/>
        <w:tblCellMar>
          <w:left w:w="70" w:type="dxa"/>
          <w:right w:w="70" w:type="dxa"/>
        </w:tblCellMar>
        <w:tblLook w:val="04A0" w:firstRow="1" w:lastRow="0" w:firstColumn="1" w:lastColumn="0" w:noHBand="0" w:noVBand="1"/>
      </w:tblPr>
      <w:tblGrid>
        <w:gridCol w:w="1840"/>
        <w:gridCol w:w="1120"/>
        <w:gridCol w:w="1120"/>
        <w:gridCol w:w="1120"/>
        <w:gridCol w:w="1120"/>
        <w:gridCol w:w="1120"/>
        <w:gridCol w:w="1120"/>
        <w:gridCol w:w="512"/>
      </w:tblGrid>
      <w:tr w:rsidR="007C25F5" w:rsidRPr="00DB08CD" w14:paraId="51A2FF26" w14:textId="7EF8B0E4" w:rsidTr="007C25F5">
        <w:trPr>
          <w:trHeight w:val="300"/>
          <w:jc w:val="center"/>
        </w:trPr>
        <w:tc>
          <w:tcPr>
            <w:tcW w:w="1840" w:type="dxa"/>
            <w:shd w:val="clear" w:color="auto" w:fill="595959" w:themeFill="text1" w:themeFillTint="A6"/>
            <w:noWrap/>
            <w:vAlign w:val="bottom"/>
            <w:hideMark/>
          </w:tcPr>
          <w:p w14:paraId="7F743916" w14:textId="77777777" w:rsidR="007C25F5" w:rsidRPr="00DB08CD" w:rsidRDefault="007C25F5" w:rsidP="002968D3">
            <w:pPr>
              <w:spacing w:line="240" w:lineRule="auto"/>
              <w:jc w:val="left"/>
              <w:rPr>
                <w:rFonts w:ascii="Arial Narrow" w:hAnsi="Arial Narrow" w:cs="Calibri"/>
                <w:color w:val="FFFFFF" w:themeColor="background1"/>
                <w:sz w:val="20"/>
                <w:szCs w:val="20"/>
              </w:rPr>
            </w:pPr>
            <w:r w:rsidRPr="00DB08CD">
              <w:rPr>
                <w:rFonts w:ascii="Arial Narrow" w:hAnsi="Arial Narrow" w:cs="Calibri"/>
                <w:color w:val="FFFFFF" w:themeColor="background1"/>
                <w:sz w:val="20"/>
                <w:szCs w:val="20"/>
              </w:rPr>
              <w:t> </w:t>
            </w:r>
          </w:p>
        </w:tc>
        <w:tc>
          <w:tcPr>
            <w:tcW w:w="1120" w:type="dxa"/>
            <w:shd w:val="clear" w:color="auto" w:fill="595959" w:themeFill="text1" w:themeFillTint="A6"/>
            <w:noWrap/>
            <w:vAlign w:val="center"/>
            <w:hideMark/>
          </w:tcPr>
          <w:p w14:paraId="28BEFC67" w14:textId="77777777" w:rsidR="007C25F5" w:rsidRPr="00DB08CD" w:rsidRDefault="007C25F5" w:rsidP="007B16E4">
            <w:pPr>
              <w:spacing w:line="240" w:lineRule="auto"/>
              <w:jc w:val="center"/>
              <w:rPr>
                <w:rFonts w:ascii="Arial Narrow" w:hAnsi="Arial Narrow" w:cs="Calibri"/>
                <w:b/>
                <w:bCs/>
                <w:color w:val="FFFFFF" w:themeColor="background1"/>
                <w:sz w:val="20"/>
                <w:szCs w:val="20"/>
              </w:rPr>
            </w:pPr>
            <w:r w:rsidRPr="00DB08CD">
              <w:rPr>
                <w:rFonts w:ascii="Arial Narrow" w:hAnsi="Arial Narrow" w:cs="Calibri"/>
                <w:b/>
                <w:bCs/>
                <w:color w:val="FFFFFF" w:themeColor="background1"/>
                <w:sz w:val="20"/>
                <w:szCs w:val="20"/>
              </w:rPr>
              <w:t>2 016</w:t>
            </w:r>
          </w:p>
        </w:tc>
        <w:tc>
          <w:tcPr>
            <w:tcW w:w="1120" w:type="dxa"/>
            <w:shd w:val="clear" w:color="auto" w:fill="595959" w:themeFill="text1" w:themeFillTint="A6"/>
            <w:noWrap/>
            <w:vAlign w:val="center"/>
            <w:hideMark/>
          </w:tcPr>
          <w:p w14:paraId="41E5B530" w14:textId="77777777" w:rsidR="007C25F5" w:rsidRPr="00DB08CD" w:rsidRDefault="007C25F5" w:rsidP="007B16E4">
            <w:pPr>
              <w:spacing w:line="240" w:lineRule="auto"/>
              <w:jc w:val="center"/>
              <w:rPr>
                <w:rFonts w:ascii="Arial Narrow" w:hAnsi="Arial Narrow" w:cs="Calibri"/>
                <w:b/>
                <w:bCs/>
                <w:color w:val="FFFFFF" w:themeColor="background1"/>
                <w:sz w:val="20"/>
                <w:szCs w:val="20"/>
              </w:rPr>
            </w:pPr>
            <w:r w:rsidRPr="00DB08CD">
              <w:rPr>
                <w:rFonts w:ascii="Arial Narrow" w:hAnsi="Arial Narrow" w:cs="Calibri"/>
                <w:b/>
                <w:bCs/>
                <w:color w:val="FFFFFF" w:themeColor="background1"/>
                <w:sz w:val="20"/>
                <w:szCs w:val="20"/>
              </w:rPr>
              <w:t>2 017</w:t>
            </w:r>
          </w:p>
        </w:tc>
        <w:tc>
          <w:tcPr>
            <w:tcW w:w="1120" w:type="dxa"/>
            <w:shd w:val="clear" w:color="auto" w:fill="595959" w:themeFill="text1" w:themeFillTint="A6"/>
            <w:noWrap/>
            <w:vAlign w:val="center"/>
            <w:hideMark/>
          </w:tcPr>
          <w:p w14:paraId="2464CE00" w14:textId="77777777" w:rsidR="007C25F5" w:rsidRPr="00DB08CD" w:rsidRDefault="007C25F5" w:rsidP="007B16E4">
            <w:pPr>
              <w:spacing w:line="240" w:lineRule="auto"/>
              <w:jc w:val="center"/>
              <w:rPr>
                <w:rFonts w:ascii="Arial Narrow" w:hAnsi="Arial Narrow" w:cs="Calibri"/>
                <w:b/>
                <w:bCs/>
                <w:color w:val="FFFFFF" w:themeColor="background1"/>
                <w:sz w:val="20"/>
                <w:szCs w:val="20"/>
              </w:rPr>
            </w:pPr>
            <w:r w:rsidRPr="00DB08CD">
              <w:rPr>
                <w:rFonts w:ascii="Arial Narrow" w:hAnsi="Arial Narrow" w:cs="Calibri"/>
                <w:b/>
                <w:bCs/>
                <w:color w:val="FFFFFF" w:themeColor="background1"/>
                <w:sz w:val="20"/>
                <w:szCs w:val="20"/>
              </w:rPr>
              <w:t>2 018</w:t>
            </w:r>
          </w:p>
        </w:tc>
        <w:tc>
          <w:tcPr>
            <w:tcW w:w="1120" w:type="dxa"/>
            <w:shd w:val="clear" w:color="auto" w:fill="595959" w:themeFill="text1" w:themeFillTint="A6"/>
            <w:noWrap/>
            <w:vAlign w:val="center"/>
            <w:hideMark/>
          </w:tcPr>
          <w:p w14:paraId="4A3FAE7D" w14:textId="77777777" w:rsidR="007C25F5" w:rsidRPr="00DB08CD" w:rsidRDefault="007C25F5" w:rsidP="007B16E4">
            <w:pPr>
              <w:spacing w:line="240" w:lineRule="auto"/>
              <w:jc w:val="center"/>
              <w:rPr>
                <w:rFonts w:ascii="Arial Narrow" w:hAnsi="Arial Narrow" w:cs="Calibri"/>
                <w:b/>
                <w:bCs/>
                <w:color w:val="FFFFFF" w:themeColor="background1"/>
                <w:sz w:val="20"/>
                <w:szCs w:val="20"/>
              </w:rPr>
            </w:pPr>
            <w:r w:rsidRPr="00DB08CD">
              <w:rPr>
                <w:rFonts w:ascii="Arial Narrow" w:hAnsi="Arial Narrow" w:cs="Calibri"/>
                <w:b/>
                <w:bCs/>
                <w:color w:val="FFFFFF" w:themeColor="background1"/>
                <w:sz w:val="20"/>
                <w:szCs w:val="20"/>
              </w:rPr>
              <w:t>2 019</w:t>
            </w:r>
          </w:p>
        </w:tc>
        <w:tc>
          <w:tcPr>
            <w:tcW w:w="1120" w:type="dxa"/>
            <w:shd w:val="clear" w:color="auto" w:fill="595959" w:themeFill="text1" w:themeFillTint="A6"/>
            <w:noWrap/>
            <w:vAlign w:val="center"/>
            <w:hideMark/>
          </w:tcPr>
          <w:p w14:paraId="0815DF1C" w14:textId="77777777" w:rsidR="007C25F5" w:rsidRPr="00DB08CD" w:rsidRDefault="007C25F5" w:rsidP="007B16E4">
            <w:pPr>
              <w:spacing w:line="240" w:lineRule="auto"/>
              <w:jc w:val="center"/>
              <w:rPr>
                <w:rFonts w:ascii="Arial Narrow" w:hAnsi="Arial Narrow" w:cs="Calibri"/>
                <w:b/>
                <w:bCs/>
                <w:color w:val="FFFFFF" w:themeColor="background1"/>
                <w:sz w:val="20"/>
                <w:szCs w:val="20"/>
              </w:rPr>
            </w:pPr>
            <w:r w:rsidRPr="00DB08CD">
              <w:rPr>
                <w:rFonts w:ascii="Arial Narrow" w:hAnsi="Arial Narrow" w:cs="Calibri"/>
                <w:b/>
                <w:bCs/>
                <w:color w:val="FFFFFF" w:themeColor="background1"/>
                <w:sz w:val="20"/>
                <w:szCs w:val="20"/>
              </w:rPr>
              <w:t>2 020</w:t>
            </w:r>
          </w:p>
        </w:tc>
        <w:tc>
          <w:tcPr>
            <w:tcW w:w="1120" w:type="dxa"/>
            <w:shd w:val="clear" w:color="auto" w:fill="595959" w:themeFill="text1" w:themeFillTint="A6"/>
            <w:noWrap/>
            <w:vAlign w:val="center"/>
            <w:hideMark/>
          </w:tcPr>
          <w:p w14:paraId="4A1CE5A6" w14:textId="77777777" w:rsidR="007C25F5" w:rsidRPr="00DB08CD" w:rsidRDefault="007C25F5" w:rsidP="007B16E4">
            <w:pPr>
              <w:spacing w:line="240" w:lineRule="auto"/>
              <w:jc w:val="center"/>
              <w:rPr>
                <w:rFonts w:ascii="Arial Narrow" w:hAnsi="Arial Narrow" w:cs="Calibri"/>
                <w:b/>
                <w:bCs/>
                <w:color w:val="FFFFFF" w:themeColor="background1"/>
                <w:sz w:val="20"/>
                <w:szCs w:val="20"/>
              </w:rPr>
            </w:pPr>
            <w:r w:rsidRPr="00DB08CD">
              <w:rPr>
                <w:rFonts w:ascii="Arial Narrow" w:hAnsi="Arial Narrow" w:cs="Calibri"/>
                <w:b/>
                <w:bCs/>
                <w:color w:val="FFFFFF" w:themeColor="background1"/>
                <w:sz w:val="20"/>
                <w:szCs w:val="20"/>
              </w:rPr>
              <w:t>2 021</w:t>
            </w:r>
          </w:p>
        </w:tc>
        <w:tc>
          <w:tcPr>
            <w:tcW w:w="512" w:type="dxa"/>
            <w:shd w:val="clear" w:color="auto" w:fill="595959" w:themeFill="text1" w:themeFillTint="A6"/>
            <w:vAlign w:val="center"/>
          </w:tcPr>
          <w:p w14:paraId="25A70527" w14:textId="62F25D64" w:rsidR="007C25F5" w:rsidRPr="00DB08CD" w:rsidRDefault="007C25F5" w:rsidP="007B16E4">
            <w:pPr>
              <w:spacing w:line="240" w:lineRule="auto"/>
              <w:jc w:val="cente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2022</w:t>
            </w:r>
          </w:p>
        </w:tc>
      </w:tr>
      <w:tr w:rsidR="007C25F5" w:rsidRPr="00DB08CD" w14:paraId="5FA88AB6" w14:textId="137D796B" w:rsidTr="007C25F5">
        <w:trPr>
          <w:trHeight w:val="300"/>
          <w:jc w:val="center"/>
        </w:trPr>
        <w:tc>
          <w:tcPr>
            <w:tcW w:w="1840" w:type="dxa"/>
            <w:shd w:val="clear" w:color="auto" w:fill="auto"/>
            <w:noWrap/>
            <w:vAlign w:val="bottom"/>
            <w:hideMark/>
          </w:tcPr>
          <w:p w14:paraId="75233995" w14:textId="77777777" w:rsidR="007C25F5" w:rsidRPr="00DB08CD" w:rsidRDefault="007C25F5" w:rsidP="002968D3">
            <w:pPr>
              <w:spacing w:line="240" w:lineRule="auto"/>
              <w:jc w:val="left"/>
              <w:rPr>
                <w:rFonts w:ascii="Arial Narrow" w:hAnsi="Arial Narrow" w:cs="Calibri"/>
                <w:b/>
                <w:bCs/>
                <w:color w:val="000000"/>
                <w:sz w:val="20"/>
                <w:szCs w:val="20"/>
              </w:rPr>
            </w:pPr>
            <w:r w:rsidRPr="00DB08CD">
              <w:rPr>
                <w:rFonts w:ascii="Arial Narrow" w:hAnsi="Arial Narrow" w:cs="Calibri"/>
                <w:b/>
                <w:bCs/>
                <w:color w:val="000000"/>
                <w:sz w:val="20"/>
                <w:szCs w:val="20"/>
              </w:rPr>
              <w:t>Gynekológia</w:t>
            </w:r>
          </w:p>
        </w:tc>
        <w:tc>
          <w:tcPr>
            <w:tcW w:w="1120" w:type="dxa"/>
            <w:shd w:val="clear" w:color="auto" w:fill="auto"/>
            <w:noWrap/>
            <w:vAlign w:val="center"/>
            <w:hideMark/>
          </w:tcPr>
          <w:p w14:paraId="6364EEBB"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40,7</w:t>
            </w:r>
          </w:p>
        </w:tc>
        <w:tc>
          <w:tcPr>
            <w:tcW w:w="1120" w:type="dxa"/>
            <w:shd w:val="clear" w:color="auto" w:fill="auto"/>
            <w:noWrap/>
            <w:vAlign w:val="center"/>
            <w:hideMark/>
          </w:tcPr>
          <w:p w14:paraId="32276176"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45,1</w:t>
            </w:r>
          </w:p>
        </w:tc>
        <w:tc>
          <w:tcPr>
            <w:tcW w:w="1120" w:type="dxa"/>
            <w:shd w:val="clear" w:color="auto" w:fill="auto"/>
            <w:noWrap/>
            <w:vAlign w:val="center"/>
            <w:hideMark/>
          </w:tcPr>
          <w:p w14:paraId="2BD2CA6E"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54,4</w:t>
            </w:r>
          </w:p>
        </w:tc>
        <w:tc>
          <w:tcPr>
            <w:tcW w:w="1120" w:type="dxa"/>
            <w:shd w:val="clear" w:color="auto" w:fill="auto"/>
            <w:noWrap/>
            <w:vAlign w:val="center"/>
            <w:hideMark/>
          </w:tcPr>
          <w:p w14:paraId="50AC9A47"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50,3</w:t>
            </w:r>
          </w:p>
        </w:tc>
        <w:tc>
          <w:tcPr>
            <w:tcW w:w="1120" w:type="dxa"/>
            <w:shd w:val="clear" w:color="auto" w:fill="auto"/>
            <w:noWrap/>
            <w:vAlign w:val="center"/>
            <w:hideMark/>
          </w:tcPr>
          <w:p w14:paraId="08A7781A"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47,7</w:t>
            </w:r>
          </w:p>
        </w:tc>
        <w:tc>
          <w:tcPr>
            <w:tcW w:w="1120" w:type="dxa"/>
            <w:shd w:val="clear" w:color="auto" w:fill="auto"/>
            <w:noWrap/>
            <w:vAlign w:val="center"/>
            <w:hideMark/>
          </w:tcPr>
          <w:p w14:paraId="1BB73CEA"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47,6</w:t>
            </w:r>
          </w:p>
        </w:tc>
        <w:tc>
          <w:tcPr>
            <w:tcW w:w="512" w:type="dxa"/>
            <w:vAlign w:val="center"/>
          </w:tcPr>
          <w:p w14:paraId="4FA7C5F4" w14:textId="5160C598"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46,5</w:t>
            </w:r>
          </w:p>
        </w:tc>
      </w:tr>
      <w:tr w:rsidR="007C25F5" w:rsidRPr="00DB08CD" w14:paraId="1F4ECF21" w14:textId="7261F170" w:rsidTr="007C25F5">
        <w:trPr>
          <w:trHeight w:val="300"/>
          <w:jc w:val="center"/>
        </w:trPr>
        <w:tc>
          <w:tcPr>
            <w:tcW w:w="1840" w:type="dxa"/>
            <w:shd w:val="clear" w:color="auto" w:fill="auto"/>
            <w:noWrap/>
            <w:vAlign w:val="bottom"/>
            <w:hideMark/>
          </w:tcPr>
          <w:p w14:paraId="5FDE60AD" w14:textId="77777777" w:rsidR="007C25F5" w:rsidRPr="00DB08CD" w:rsidRDefault="007C25F5" w:rsidP="002968D3">
            <w:pPr>
              <w:spacing w:line="240" w:lineRule="auto"/>
              <w:jc w:val="left"/>
              <w:rPr>
                <w:rFonts w:ascii="Arial Narrow" w:hAnsi="Arial Narrow" w:cs="Calibri"/>
                <w:b/>
                <w:bCs/>
                <w:color w:val="000000"/>
                <w:sz w:val="20"/>
                <w:szCs w:val="20"/>
              </w:rPr>
            </w:pPr>
            <w:r w:rsidRPr="00DB08CD">
              <w:rPr>
                <w:rFonts w:ascii="Arial Narrow" w:hAnsi="Arial Narrow" w:cs="Calibri"/>
                <w:b/>
                <w:bCs/>
                <w:color w:val="000000"/>
                <w:sz w:val="20"/>
                <w:szCs w:val="20"/>
              </w:rPr>
              <w:t>Chirurgia</w:t>
            </w:r>
          </w:p>
        </w:tc>
        <w:tc>
          <w:tcPr>
            <w:tcW w:w="1120" w:type="dxa"/>
            <w:shd w:val="clear" w:color="auto" w:fill="auto"/>
            <w:noWrap/>
            <w:vAlign w:val="center"/>
            <w:hideMark/>
          </w:tcPr>
          <w:p w14:paraId="712FB0A6"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9,3</w:t>
            </w:r>
          </w:p>
        </w:tc>
        <w:tc>
          <w:tcPr>
            <w:tcW w:w="1120" w:type="dxa"/>
            <w:shd w:val="clear" w:color="auto" w:fill="auto"/>
            <w:noWrap/>
            <w:vAlign w:val="center"/>
            <w:hideMark/>
          </w:tcPr>
          <w:p w14:paraId="4D98CE69"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20,6</w:t>
            </w:r>
          </w:p>
        </w:tc>
        <w:tc>
          <w:tcPr>
            <w:tcW w:w="1120" w:type="dxa"/>
            <w:shd w:val="clear" w:color="auto" w:fill="auto"/>
            <w:noWrap/>
            <w:vAlign w:val="center"/>
            <w:hideMark/>
          </w:tcPr>
          <w:p w14:paraId="7A336097"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25,8</w:t>
            </w:r>
          </w:p>
        </w:tc>
        <w:tc>
          <w:tcPr>
            <w:tcW w:w="1120" w:type="dxa"/>
            <w:shd w:val="clear" w:color="auto" w:fill="auto"/>
            <w:noWrap/>
            <w:vAlign w:val="center"/>
            <w:hideMark/>
          </w:tcPr>
          <w:p w14:paraId="200D87E1"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24,9</w:t>
            </w:r>
          </w:p>
        </w:tc>
        <w:tc>
          <w:tcPr>
            <w:tcW w:w="1120" w:type="dxa"/>
            <w:shd w:val="clear" w:color="auto" w:fill="auto"/>
            <w:noWrap/>
            <w:vAlign w:val="center"/>
            <w:hideMark/>
          </w:tcPr>
          <w:p w14:paraId="42228281"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32,8</w:t>
            </w:r>
          </w:p>
        </w:tc>
        <w:tc>
          <w:tcPr>
            <w:tcW w:w="1120" w:type="dxa"/>
            <w:shd w:val="clear" w:color="auto" w:fill="auto"/>
            <w:noWrap/>
            <w:vAlign w:val="center"/>
            <w:hideMark/>
          </w:tcPr>
          <w:p w14:paraId="40F55871"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31,1</w:t>
            </w:r>
          </w:p>
        </w:tc>
        <w:tc>
          <w:tcPr>
            <w:tcW w:w="512" w:type="dxa"/>
            <w:vAlign w:val="center"/>
          </w:tcPr>
          <w:p w14:paraId="327840B0" w14:textId="3A8ECE84"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17,4</w:t>
            </w:r>
          </w:p>
        </w:tc>
      </w:tr>
      <w:tr w:rsidR="007C25F5" w:rsidRPr="00DB08CD" w14:paraId="5189018D" w14:textId="4A566219" w:rsidTr="007C25F5">
        <w:trPr>
          <w:trHeight w:val="300"/>
          <w:jc w:val="center"/>
        </w:trPr>
        <w:tc>
          <w:tcPr>
            <w:tcW w:w="1840" w:type="dxa"/>
            <w:shd w:val="clear" w:color="auto" w:fill="auto"/>
            <w:noWrap/>
            <w:vAlign w:val="bottom"/>
            <w:hideMark/>
          </w:tcPr>
          <w:p w14:paraId="2D6CE3EE" w14:textId="77777777" w:rsidR="007C25F5" w:rsidRPr="00DB08CD" w:rsidRDefault="007C25F5" w:rsidP="002968D3">
            <w:pPr>
              <w:spacing w:line="240" w:lineRule="auto"/>
              <w:jc w:val="left"/>
              <w:rPr>
                <w:rFonts w:ascii="Arial Narrow" w:hAnsi="Arial Narrow" w:cs="Calibri"/>
                <w:b/>
                <w:bCs/>
                <w:color w:val="000000"/>
                <w:sz w:val="20"/>
                <w:szCs w:val="20"/>
              </w:rPr>
            </w:pPr>
            <w:r w:rsidRPr="00DB08CD">
              <w:rPr>
                <w:rFonts w:ascii="Arial Narrow" w:hAnsi="Arial Narrow" w:cs="Calibri"/>
                <w:b/>
                <w:bCs/>
                <w:color w:val="000000"/>
                <w:sz w:val="20"/>
                <w:szCs w:val="20"/>
              </w:rPr>
              <w:t>Ortopédia</w:t>
            </w:r>
          </w:p>
        </w:tc>
        <w:tc>
          <w:tcPr>
            <w:tcW w:w="1120" w:type="dxa"/>
            <w:shd w:val="clear" w:color="auto" w:fill="auto"/>
            <w:noWrap/>
            <w:vAlign w:val="center"/>
            <w:hideMark/>
          </w:tcPr>
          <w:p w14:paraId="4570EB1E"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0,6</w:t>
            </w:r>
          </w:p>
        </w:tc>
        <w:tc>
          <w:tcPr>
            <w:tcW w:w="1120" w:type="dxa"/>
            <w:shd w:val="clear" w:color="auto" w:fill="auto"/>
            <w:noWrap/>
            <w:vAlign w:val="center"/>
            <w:hideMark/>
          </w:tcPr>
          <w:p w14:paraId="17F8A695"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0,4</w:t>
            </w:r>
          </w:p>
        </w:tc>
        <w:tc>
          <w:tcPr>
            <w:tcW w:w="1120" w:type="dxa"/>
            <w:shd w:val="clear" w:color="auto" w:fill="auto"/>
            <w:noWrap/>
            <w:vAlign w:val="center"/>
            <w:hideMark/>
          </w:tcPr>
          <w:p w14:paraId="391B5CF3"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0,9</w:t>
            </w:r>
          </w:p>
        </w:tc>
        <w:tc>
          <w:tcPr>
            <w:tcW w:w="1120" w:type="dxa"/>
            <w:shd w:val="clear" w:color="auto" w:fill="auto"/>
            <w:noWrap/>
            <w:vAlign w:val="center"/>
            <w:hideMark/>
          </w:tcPr>
          <w:p w14:paraId="69C9A04E"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1,7</w:t>
            </w:r>
          </w:p>
        </w:tc>
        <w:tc>
          <w:tcPr>
            <w:tcW w:w="1120" w:type="dxa"/>
            <w:shd w:val="clear" w:color="auto" w:fill="auto"/>
            <w:noWrap/>
            <w:vAlign w:val="center"/>
            <w:hideMark/>
          </w:tcPr>
          <w:p w14:paraId="7717BBDB"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2,1</w:t>
            </w:r>
          </w:p>
        </w:tc>
        <w:tc>
          <w:tcPr>
            <w:tcW w:w="1120" w:type="dxa"/>
            <w:shd w:val="clear" w:color="auto" w:fill="auto"/>
            <w:noWrap/>
            <w:vAlign w:val="center"/>
            <w:hideMark/>
          </w:tcPr>
          <w:p w14:paraId="648EB37F"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0,4</w:t>
            </w:r>
          </w:p>
        </w:tc>
        <w:tc>
          <w:tcPr>
            <w:tcW w:w="512" w:type="dxa"/>
            <w:vAlign w:val="center"/>
          </w:tcPr>
          <w:p w14:paraId="6EFE41D4" w14:textId="1906B342"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10,6</w:t>
            </w:r>
          </w:p>
        </w:tc>
      </w:tr>
      <w:tr w:rsidR="007C25F5" w:rsidRPr="00DB08CD" w14:paraId="35AB8736" w14:textId="2B305FAC" w:rsidTr="007C25F5">
        <w:trPr>
          <w:trHeight w:val="300"/>
          <w:jc w:val="center"/>
        </w:trPr>
        <w:tc>
          <w:tcPr>
            <w:tcW w:w="1840" w:type="dxa"/>
            <w:shd w:val="clear" w:color="auto" w:fill="auto"/>
            <w:noWrap/>
            <w:vAlign w:val="bottom"/>
            <w:hideMark/>
          </w:tcPr>
          <w:p w14:paraId="100D6614" w14:textId="77777777" w:rsidR="007C25F5" w:rsidRPr="00DB08CD" w:rsidRDefault="007C25F5" w:rsidP="002968D3">
            <w:pPr>
              <w:spacing w:line="240" w:lineRule="auto"/>
              <w:jc w:val="left"/>
              <w:rPr>
                <w:rFonts w:ascii="Arial Narrow" w:hAnsi="Arial Narrow" w:cs="Calibri"/>
                <w:b/>
                <w:bCs/>
                <w:color w:val="000000"/>
                <w:sz w:val="20"/>
                <w:szCs w:val="20"/>
              </w:rPr>
            </w:pPr>
            <w:r w:rsidRPr="00DB08CD">
              <w:rPr>
                <w:rFonts w:ascii="Arial Narrow" w:hAnsi="Arial Narrow" w:cs="Calibri"/>
                <w:b/>
                <w:bCs/>
                <w:color w:val="000000"/>
                <w:sz w:val="20"/>
                <w:szCs w:val="20"/>
              </w:rPr>
              <w:t>Urológia</w:t>
            </w:r>
          </w:p>
        </w:tc>
        <w:tc>
          <w:tcPr>
            <w:tcW w:w="1120" w:type="dxa"/>
            <w:shd w:val="clear" w:color="auto" w:fill="auto"/>
            <w:noWrap/>
            <w:vAlign w:val="center"/>
            <w:hideMark/>
          </w:tcPr>
          <w:p w14:paraId="6D11B74C"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42,2</w:t>
            </w:r>
          </w:p>
        </w:tc>
        <w:tc>
          <w:tcPr>
            <w:tcW w:w="1120" w:type="dxa"/>
            <w:shd w:val="clear" w:color="auto" w:fill="auto"/>
            <w:noWrap/>
            <w:vAlign w:val="center"/>
            <w:hideMark/>
          </w:tcPr>
          <w:p w14:paraId="5BB1DAFD"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45,5</w:t>
            </w:r>
          </w:p>
        </w:tc>
        <w:tc>
          <w:tcPr>
            <w:tcW w:w="1120" w:type="dxa"/>
            <w:shd w:val="clear" w:color="auto" w:fill="auto"/>
            <w:noWrap/>
            <w:vAlign w:val="center"/>
            <w:hideMark/>
          </w:tcPr>
          <w:p w14:paraId="512B09D4"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45,5</w:t>
            </w:r>
          </w:p>
        </w:tc>
        <w:tc>
          <w:tcPr>
            <w:tcW w:w="1120" w:type="dxa"/>
            <w:shd w:val="clear" w:color="auto" w:fill="auto"/>
            <w:noWrap/>
            <w:vAlign w:val="center"/>
            <w:hideMark/>
          </w:tcPr>
          <w:p w14:paraId="7B24F5C2"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47,7</w:t>
            </w:r>
          </w:p>
        </w:tc>
        <w:tc>
          <w:tcPr>
            <w:tcW w:w="1120" w:type="dxa"/>
            <w:shd w:val="clear" w:color="auto" w:fill="auto"/>
            <w:noWrap/>
            <w:vAlign w:val="center"/>
            <w:hideMark/>
          </w:tcPr>
          <w:p w14:paraId="53F51B52"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56,7</w:t>
            </w:r>
          </w:p>
        </w:tc>
        <w:tc>
          <w:tcPr>
            <w:tcW w:w="1120" w:type="dxa"/>
            <w:shd w:val="clear" w:color="auto" w:fill="auto"/>
            <w:noWrap/>
            <w:vAlign w:val="center"/>
            <w:hideMark/>
          </w:tcPr>
          <w:p w14:paraId="7D25FEC3"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66,6</w:t>
            </w:r>
          </w:p>
        </w:tc>
        <w:tc>
          <w:tcPr>
            <w:tcW w:w="512" w:type="dxa"/>
            <w:vAlign w:val="center"/>
          </w:tcPr>
          <w:p w14:paraId="79D3147C" w14:textId="68960DE3"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59,1</w:t>
            </w:r>
          </w:p>
        </w:tc>
      </w:tr>
      <w:tr w:rsidR="007C25F5" w:rsidRPr="00DB08CD" w14:paraId="417D8A1F" w14:textId="31C5D26F" w:rsidTr="007C25F5">
        <w:trPr>
          <w:trHeight w:val="300"/>
          <w:jc w:val="center"/>
        </w:trPr>
        <w:tc>
          <w:tcPr>
            <w:tcW w:w="1840" w:type="dxa"/>
            <w:shd w:val="clear" w:color="auto" w:fill="auto"/>
            <w:noWrap/>
            <w:vAlign w:val="bottom"/>
            <w:hideMark/>
          </w:tcPr>
          <w:p w14:paraId="106EEC93" w14:textId="77777777" w:rsidR="007C25F5" w:rsidRPr="00DB08CD" w:rsidRDefault="007C25F5" w:rsidP="002968D3">
            <w:pPr>
              <w:spacing w:line="240" w:lineRule="auto"/>
              <w:jc w:val="left"/>
              <w:rPr>
                <w:rFonts w:ascii="Arial Narrow" w:hAnsi="Arial Narrow" w:cs="Calibri"/>
                <w:b/>
                <w:bCs/>
                <w:color w:val="000000"/>
                <w:sz w:val="20"/>
                <w:szCs w:val="20"/>
              </w:rPr>
            </w:pPr>
            <w:r w:rsidRPr="00DB08CD">
              <w:rPr>
                <w:rFonts w:ascii="Arial Narrow" w:hAnsi="Arial Narrow" w:cs="Calibri"/>
                <w:b/>
                <w:bCs/>
                <w:color w:val="000000"/>
                <w:sz w:val="20"/>
                <w:szCs w:val="20"/>
              </w:rPr>
              <w:t>Úrazová chirurgia</w:t>
            </w:r>
          </w:p>
        </w:tc>
        <w:tc>
          <w:tcPr>
            <w:tcW w:w="1120" w:type="dxa"/>
            <w:shd w:val="clear" w:color="auto" w:fill="auto"/>
            <w:noWrap/>
            <w:vAlign w:val="center"/>
            <w:hideMark/>
          </w:tcPr>
          <w:p w14:paraId="0A768199"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10,4</w:t>
            </w:r>
          </w:p>
        </w:tc>
        <w:tc>
          <w:tcPr>
            <w:tcW w:w="1120" w:type="dxa"/>
            <w:shd w:val="clear" w:color="auto" w:fill="auto"/>
            <w:noWrap/>
            <w:vAlign w:val="center"/>
            <w:hideMark/>
          </w:tcPr>
          <w:p w14:paraId="7F5674EA"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10,6</w:t>
            </w:r>
          </w:p>
        </w:tc>
        <w:tc>
          <w:tcPr>
            <w:tcW w:w="1120" w:type="dxa"/>
            <w:shd w:val="clear" w:color="auto" w:fill="auto"/>
            <w:noWrap/>
            <w:vAlign w:val="center"/>
            <w:hideMark/>
          </w:tcPr>
          <w:p w14:paraId="32D026E6"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11,6</w:t>
            </w:r>
          </w:p>
        </w:tc>
        <w:tc>
          <w:tcPr>
            <w:tcW w:w="1120" w:type="dxa"/>
            <w:shd w:val="clear" w:color="auto" w:fill="auto"/>
            <w:noWrap/>
            <w:vAlign w:val="center"/>
            <w:hideMark/>
          </w:tcPr>
          <w:p w14:paraId="767122FD"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13,0</w:t>
            </w:r>
          </w:p>
        </w:tc>
        <w:tc>
          <w:tcPr>
            <w:tcW w:w="1120" w:type="dxa"/>
            <w:shd w:val="clear" w:color="auto" w:fill="auto"/>
            <w:noWrap/>
            <w:vAlign w:val="center"/>
            <w:hideMark/>
          </w:tcPr>
          <w:p w14:paraId="6D583127"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14,9</w:t>
            </w:r>
          </w:p>
        </w:tc>
        <w:tc>
          <w:tcPr>
            <w:tcW w:w="1120" w:type="dxa"/>
            <w:shd w:val="clear" w:color="auto" w:fill="auto"/>
            <w:noWrap/>
            <w:vAlign w:val="center"/>
            <w:hideMark/>
          </w:tcPr>
          <w:p w14:paraId="6B629F13"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18,0</w:t>
            </w:r>
          </w:p>
        </w:tc>
        <w:tc>
          <w:tcPr>
            <w:tcW w:w="512" w:type="dxa"/>
            <w:vAlign w:val="center"/>
          </w:tcPr>
          <w:p w14:paraId="0D26A9B2" w14:textId="283D6DCC"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16,0</w:t>
            </w:r>
          </w:p>
        </w:tc>
      </w:tr>
      <w:tr w:rsidR="007C25F5" w:rsidRPr="00DB08CD" w14:paraId="181BF6DA" w14:textId="1F48BC13" w:rsidTr="007C25F5">
        <w:trPr>
          <w:trHeight w:val="300"/>
          <w:jc w:val="center"/>
        </w:trPr>
        <w:tc>
          <w:tcPr>
            <w:tcW w:w="1840" w:type="dxa"/>
            <w:shd w:val="clear" w:color="auto" w:fill="auto"/>
            <w:noWrap/>
            <w:vAlign w:val="bottom"/>
            <w:hideMark/>
          </w:tcPr>
          <w:p w14:paraId="0828A899" w14:textId="77777777" w:rsidR="007C25F5" w:rsidRPr="00DB08CD" w:rsidRDefault="007C25F5" w:rsidP="002968D3">
            <w:pPr>
              <w:spacing w:line="240" w:lineRule="auto"/>
              <w:jc w:val="left"/>
              <w:rPr>
                <w:rFonts w:ascii="Arial Narrow" w:hAnsi="Arial Narrow" w:cs="Calibri"/>
                <w:b/>
                <w:bCs/>
                <w:color w:val="000000"/>
                <w:sz w:val="20"/>
                <w:szCs w:val="20"/>
              </w:rPr>
            </w:pPr>
            <w:r w:rsidRPr="00DB08CD">
              <w:rPr>
                <w:rFonts w:ascii="Arial Narrow" w:hAnsi="Arial Narrow" w:cs="Calibri"/>
                <w:b/>
                <w:bCs/>
                <w:color w:val="000000"/>
                <w:sz w:val="20"/>
                <w:szCs w:val="20"/>
              </w:rPr>
              <w:t>ORL</w:t>
            </w:r>
          </w:p>
        </w:tc>
        <w:tc>
          <w:tcPr>
            <w:tcW w:w="1120" w:type="dxa"/>
            <w:shd w:val="clear" w:color="auto" w:fill="auto"/>
            <w:noWrap/>
            <w:vAlign w:val="center"/>
            <w:hideMark/>
          </w:tcPr>
          <w:p w14:paraId="1AD8A730"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75,1</w:t>
            </w:r>
          </w:p>
        </w:tc>
        <w:tc>
          <w:tcPr>
            <w:tcW w:w="1120" w:type="dxa"/>
            <w:shd w:val="clear" w:color="auto" w:fill="auto"/>
            <w:noWrap/>
            <w:vAlign w:val="center"/>
            <w:hideMark/>
          </w:tcPr>
          <w:p w14:paraId="0492995C"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74,7</w:t>
            </w:r>
          </w:p>
        </w:tc>
        <w:tc>
          <w:tcPr>
            <w:tcW w:w="1120" w:type="dxa"/>
            <w:shd w:val="clear" w:color="auto" w:fill="auto"/>
            <w:noWrap/>
            <w:vAlign w:val="center"/>
            <w:hideMark/>
          </w:tcPr>
          <w:p w14:paraId="07120563"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78,0</w:t>
            </w:r>
          </w:p>
        </w:tc>
        <w:tc>
          <w:tcPr>
            <w:tcW w:w="1120" w:type="dxa"/>
            <w:shd w:val="clear" w:color="auto" w:fill="auto"/>
            <w:noWrap/>
            <w:vAlign w:val="center"/>
            <w:hideMark/>
          </w:tcPr>
          <w:p w14:paraId="59656BD3"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65,9</w:t>
            </w:r>
          </w:p>
        </w:tc>
        <w:tc>
          <w:tcPr>
            <w:tcW w:w="1120" w:type="dxa"/>
            <w:shd w:val="clear" w:color="auto" w:fill="auto"/>
            <w:noWrap/>
            <w:vAlign w:val="center"/>
            <w:hideMark/>
          </w:tcPr>
          <w:p w14:paraId="22E654B9"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86,1</w:t>
            </w:r>
          </w:p>
        </w:tc>
        <w:tc>
          <w:tcPr>
            <w:tcW w:w="1120" w:type="dxa"/>
            <w:shd w:val="clear" w:color="auto" w:fill="auto"/>
            <w:noWrap/>
            <w:vAlign w:val="center"/>
            <w:hideMark/>
          </w:tcPr>
          <w:p w14:paraId="794CF33A"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79,7</w:t>
            </w:r>
          </w:p>
        </w:tc>
        <w:tc>
          <w:tcPr>
            <w:tcW w:w="512" w:type="dxa"/>
            <w:vAlign w:val="center"/>
          </w:tcPr>
          <w:p w14:paraId="4463F766" w14:textId="4C54202D"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80,2</w:t>
            </w:r>
          </w:p>
        </w:tc>
      </w:tr>
      <w:tr w:rsidR="007C25F5" w:rsidRPr="00DB08CD" w14:paraId="2C8DEA4A" w14:textId="4A16DD5E" w:rsidTr="007C25F5">
        <w:trPr>
          <w:trHeight w:val="300"/>
          <w:jc w:val="center"/>
        </w:trPr>
        <w:tc>
          <w:tcPr>
            <w:tcW w:w="1840" w:type="dxa"/>
            <w:shd w:val="clear" w:color="auto" w:fill="auto"/>
            <w:noWrap/>
            <w:vAlign w:val="bottom"/>
            <w:hideMark/>
          </w:tcPr>
          <w:p w14:paraId="03D9C990" w14:textId="77777777" w:rsidR="007C25F5" w:rsidRPr="00DB08CD" w:rsidRDefault="007C25F5" w:rsidP="002968D3">
            <w:pPr>
              <w:spacing w:line="240" w:lineRule="auto"/>
              <w:jc w:val="left"/>
              <w:rPr>
                <w:rFonts w:ascii="Arial Narrow" w:hAnsi="Arial Narrow" w:cs="Calibri"/>
                <w:b/>
                <w:bCs/>
                <w:color w:val="000000"/>
                <w:sz w:val="20"/>
                <w:szCs w:val="20"/>
              </w:rPr>
            </w:pPr>
            <w:proofErr w:type="spellStart"/>
            <w:r w:rsidRPr="00DB08CD">
              <w:rPr>
                <w:rFonts w:ascii="Arial Narrow" w:hAnsi="Arial Narrow" w:cs="Calibri"/>
                <w:b/>
                <w:bCs/>
                <w:color w:val="000000"/>
                <w:sz w:val="20"/>
                <w:szCs w:val="20"/>
              </w:rPr>
              <w:t>Oftalmológia</w:t>
            </w:r>
            <w:proofErr w:type="spellEnd"/>
          </w:p>
        </w:tc>
        <w:tc>
          <w:tcPr>
            <w:tcW w:w="1120" w:type="dxa"/>
            <w:shd w:val="clear" w:color="auto" w:fill="auto"/>
            <w:noWrap/>
            <w:vAlign w:val="center"/>
            <w:hideMark/>
          </w:tcPr>
          <w:p w14:paraId="55164DE9"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95,8</w:t>
            </w:r>
          </w:p>
        </w:tc>
        <w:tc>
          <w:tcPr>
            <w:tcW w:w="1120" w:type="dxa"/>
            <w:shd w:val="clear" w:color="auto" w:fill="auto"/>
            <w:noWrap/>
            <w:vAlign w:val="center"/>
            <w:hideMark/>
          </w:tcPr>
          <w:p w14:paraId="53B7D11D"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94,6</w:t>
            </w:r>
          </w:p>
        </w:tc>
        <w:tc>
          <w:tcPr>
            <w:tcW w:w="1120" w:type="dxa"/>
            <w:shd w:val="clear" w:color="auto" w:fill="auto"/>
            <w:noWrap/>
            <w:vAlign w:val="center"/>
            <w:hideMark/>
          </w:tcPr>
          <w:p w14:paraId="4DDE2DD6"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96,8</w:t>
            </w:r>
          </w:p>
        </w:tc>
        <w:tc>
          <w:tcPr>
            <w:tcW w:w="1120" w:type="dxa"/>
            <w:shd w:val="clear" w:color="auto" w:fill="auto"/>
            <w:noWrap/>
            <w:vAlign w:val="center"/>
            <w:hideMark/>
          </w:tcPr>
          <w:p w14:paraId="5F913E96"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95,3</w:t>
            </w:r>
          </w:p>
        </w:tc>
        <w:tc>
          <w:tcPr>
            <w:tcW w:w="1120" w:type="dxa"/>
            <w:shd w:val="clear" w:color="auto" w:fill="auto"/>
            <w:noWrap/>
            <w:vAlign w:val="center"/>
            <w:hideMark/>
          </w:tcPr>
          <w:p w14:paraId="621AE425"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96,3</w:t>
            </w:r>
          </w:p>
        </w:tc>
        <w:tc>
          <w:tcPr>
            <w:tcW w:w="1120" w:type="dxa"/>
            <w:shd w:val="clear" w:color="auto" w:fill="auto"/>
            <w:noWrap/>
            <w:vAlign w:val="center"/>
            <w:hideMark/>
          </w:tcPr>
          <w:p w14:paraId="3CAF4F9C"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95,8</w:t>
            </w:r>
          </w:p>
        </w:tc>
        <w:tc>
          <w:tcPr>
            <w:tcW w:w="512" w:type="dxa"/>
            <w:vAlign w:val="center"/>
          </w:tcPr>
          <w:p w14:paraId="6A374CC4" w14:textId="7588E51E" w:rsidR="007C25F5" w:rsidRPr="00DB08CD" w:rsidRDefault="007C25F5"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91,2</w:t>
            </w:r>
          </w:p>
        </w:tc>
      </w:tr>
      <w:tr w:rsidR="007C25F5" w:rsidRPr="00DB08CD" w14:paraId="2E75FA48" w14:textId="4900B612" w:rsidTr="007C25F5">
        <w:trPr>
          <w:trHeight w:val="300"/>
          <w:jc w:val="center"/>
        </w:trPr>
        <w:tc>
          <w:tcPr>
            <w:tcW w:w="1840" w:type="dxa"/>
            <w:shd w:val="clear" w:color="auto" w:fill="auto"/>
            <w:noWrap/>
            <w:vAlign w:val="bottom"/>
            <w:hideMark/>
          </w:tcPr>
          <w:p w14:paraId="30699D25" w14:textId="77777777" w:rsidR="007C25F5" w:rsidRPr="00DB08CD" w:rsidRDefault="007C25F5" w:rsidP="002968D3">
            <w:pPr>
              <w:spacing w:line="240" w:lineRule="auto"/>
              <w:jc w:val="left"/>
              <w:rPr>
                <w:rFonts w:ascii="Arial Narrow" w:hAnsi="Arial Narrow" w:cs="Calibri"/>
                <w:b/>
                <w:bCs/>
                <w:color w:val="000000"/>
                <w:sz w:val="20"/>
                <w:szCs w:val="20"/>
              </w:rPr>
            </w:pPr>
            <w:proofErr w:type="spellStart"/>
            <w:r w:rsidRPr="00DB08CD">
              <w:rPr>
                <w:rFonts w:ascii="Arial Narrow" w:hAnsi="Arial Narrow" w:cs="Calibri"/>
                <w:b/>
                <w:bCs/>
                <w:color w:val="000000"/>
                <w:sz w:val="20"/>
                <w:szCs w:val="20"/>
              </w:rPr>
              <w:t>Gastroenterológia</w:t>
            </w:r>
            <w:proofErr w:type="spellEnd"/>
          </w:p>
        </w:tc>
        <w:tc>
          <w:tcPr>
            <w:tcW w:w="1120" w:type="dxa"/>
            <w:shd w:val="clear" w:color="auto" w:fill="auto"/>
            <w:noWrap/>
            <w:vAlign w:val="center"/>
            <w:hideMark/>
          </w:tcPr>
          <w:p w14:paraId="5EBE6510"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0,0</w:t>
            </w:r>
          </w:p>
        </w:tc>
        <w:tc>
          <w:tcPr>
            <w:tcW w:w="1120" w:type="dxa"/>
            <w:shd w:val="clear" w:color="auto" w:fill="auto"/>
            <w:noWrap/>
            <w:vAlign w:val="center"/>
            <w:hideMark/>
          </w:tcPr>
          <w:p w14:paraId="493801BC"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0,0</w:t>
            </w:r>
          </w:p>
        </w:tc>
        <w:tc>
          <w:tcPr>
            <w:tcW w:w="1120" w:type="dxa"/>
            <w:shd w:val="clear" w:color="auto" w:fill="auto"/>
            <w:noWrap/>
            <w:vAlign w:val="center"/>
            <w:hideMark/>
          </w:tcPr>
          <w:p w14:paraId="04A76ADC"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100,0</w:t>
            </w:r>
          </w:p>
        </w:tc>
        <w:tc>
          <w:tcPr>
            <w:tcW w:w="1120" w:type="dxa"/>
            <w:shd w:val="clear" w:color="auto" w:fill="auto"/>
            <w:noWrap/>
            <w:vAlign w:val="center"/>
            <w:hideMark/>
          </w:tcPr>
          <w:p w14:paraId="25BB1A11"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100,0</w:t>
            </w:r>
          </w:p>
        </w:tc>
        <w:tc>
          <w:tcPr>
            <w:tcW w:w="1120" w:type="dxa"/>
            <w:shd w:val="clear" w:color="auto" w:fill="auto"/>
            <w:noWrap/>
            <w:vAlign w:val="center"/>
            <w:hideMark/>
          </w:tcPr>
          <w:p w14:paraId="15E3D518"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100,0</w:t>
            </w:r>
          </w:p>
        </w:tc>
        <w:tc>
          <w:tcPr>
            <w:tcW w:w="1120" w:type="dxa"/>
            <w:shd w:val="clear" w:color="auto" w:fill="auto"/>
            <w:noWrap/>
            <w:vAlign w:val="center"/>
            <w:hideMark/>
          </w:tcPr>
          <w:p w14:paraId="6072C82B" w14:textId="77777777" w:rsidR="007C25F5" w:rsidRPr="00DB08CD" w:rsidRDefault="007C25F5" w:rsidP="007B16E4">
            <w:pPr>
              <w:spacing w:line="240" w:lineRule="auto"/>
              <w:jc w:val="center"/>
              <w:rPr>
                <w:rFonts w:ascii="Arial Narrow" w:hAnsi="Arial Narrow" w:cs="Calibri"/>
                <w:color w:val="000000"/>
                <w:sz w:val="20"/>
                <w:szCs w:val="20"/>
              </w:rPr>
            </w:pPr>
            <w:r w:rsidRPr="00DB08CD">
              <w:rPr>
                <w:rFonts w:ascii="Arial Narrow" w:hAnsi="Arial Narrow" w:cs="Calibri"/>
                <w:color w:val="000000"/>
                <w:sz w:val="20"/>
                <w:szCs w:val="20"/>
              </w:rPr>
              <w:t>100,0</w:t>
            </w:r>
          </w:p>
        </w:tc>
        <w:tc>
          <w:tcPr>
            <w:tcW w:w="512" w:type="dxa"/>
            <w:vAlign w:val="center"/>
          </w:tcPr>
          <w:p w14:paraId="3B55B9AA" w14:textId="0263796A" w:rsidR="007C25F5" w:rsidRPr="00DB08CD" w:rsidRDefault="00E70B7A" w:rsidP="007B16E4">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71,1</w:t>
            </w:r>
          </w:p>
        </w:tc>
      </w:tr>
    </w:tbl>
    <w:p w14:paraId="16E3C013" w14:textId="282633B0" w:rsidR="00AD60F4" w:rsidRDefault="00AD60F4" w:rsidP="00AD60F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r w:rsidR="00E70B7A">
        <w:rPr>
          <w:rFonts w:ascii="Century Gothic" w:hAnsi="Century Gothic" w:cstheme="minorHAnsi"/>
          <w:b w:val="0"/>
          <w:i/>
          <w:sz w:val="18"/>
          <w:szCs w:val="18"/>
        </w:rPr>
        <w:t>, vlastné spracovanie</w:t>
      </w:r>
    </w:p>
    <w:p w14:paraId="1B3B6825" w14:textId="77777777" w:rsidR="006D242B" w:rsidRDefault="006D242B" w:rsidP="00F41314">
      <w:pPr>
        <w:spacing w:line="240" w:lineRule="auto"/>
        <w:rPr>
          <w:rFonts w:ascii="Century Gothic" w:hAnsi="Century Gothic" w:cstheme="minorHAnsi"/>
          <w:sz w:val="22"/>
          <w:szCs w:val="22"/>
        </w:rPr>
      </w:pPr>
    </w:p>
    <w:p w14:paraId="67300D46" w14:textId="0DCB77AB"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Vo vz</w:t>
      </w:r>
      <w:r w:rsidR="00CC01B2">
        <w:rPr>
          <w:rFonts w:ascii="Century Gothic" w:hAnsi="Century Gothic" w:cstheme="minorHAnsi"/>
          <w:sz w:val="22"/>
          <w:szCs w:val="22"/>
        </w:rPr>
        <w:t>ťahu k regionálnemu poskytovaniu</w:t>
      </w:r>
      <w:r>
        <w:rPr>
          <w:rFonts w:ascii="Century Gothic" w:hAnsi="Century Gothic" w:cstheme="minorHAnsi"/>
          <w:sz w:val="22"/>
          <w:szCs w:val="22"/>
        </w:rPr>
        <w:t xml:space="preserve"> jednodňovej chirurgie je </w:t>
      </w: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Žilina lídrom v tomto segmente. Najmä z pohľadu nemocníc vyššieho typu je počet a podiel takto ošetrených pacientov významne vyšší. </w:t>
      </w:r>
    </w:p>
    <w:p w14:paraId="397A312A" w14:textId="77777777" w:rsidR="00F41314" w:rsidRDefault="00F41314" w:rsidP="00F41314">
      <w:pPr>
        <w:spacing w:line="240" w:lineRule="auto"/>
        <w:rPr>
          <w:rFonts w:ascii="Century Gothic" w:hAnsi="Century Gothic" w:cstheme="minorHAnsi"/>
          <w:sz w:val="22"/>
          <w:szCs w:val="22"/>
        </w:rPr>
      </w:pPr>
    </w:p>
    <w:p w14:paraId="05569383" w14:textId="79A62B42" w:rsidR="00DA24D6" w:rsidRPr="0053721C" w:rsidRDefault="0053721C" w:rsidP="0053721C">
      <w:pPr>
        <w:keepNext/>
        <w:spacing w:line="240" w:lineRule="auto"/>
        <w:jc w:val="left"/>
        <w:rPr>
          <w:rFonts w:ascii="Century Gothic" w:hAnsi="Century Gothic" w:cs="Arial"/>
          <w:i/>
          <w:sz w:val="20"/>
          <w:szCs w:val="20"/>
        </w:rPr>
      </w:pPr>
      <w:bookmarkStart w:id="84" w:name="_Toc145219890"/>
      <w:r w:rsidRPr="0053721C">
        <w:rPr>
          <w:rFonts w:ascii="Century Gothic" w:hAnsi="Century Gothic" w:cs="Arial"/>
          <w:i/>
          <w:sz w:val="20"/>
          <w:szCs w:val="20"/>
        </w:rPr>
        <w:lastRenderedPageBreak/>
        <w:t xml:space="preserve">Graf </w:t>
      </w:r>
      <w:r w:rsidRPr="0053721C">
        <w:rPr>
          <w:rFonts w:ascii="Century Gothic" w:hAnsi="Century Gothic" w:cs="Arial"/>
          <w:i/>
          <w:sz w:val="20"/>
          <w:szCs w:val="20"/>
        </w:rPr>
        <w:fldChar w:fldCharType="begin"/>
      </w:r>
      <w:r w:rsidRPr="0053721C">
        <w:rPr>
          <w:rFonts w:ascii="Century Gothic" w:hAnsi="Century Gothic" w:cs="Arial"/>
          <w:i/>
          <w:sz w:val="20"/>
          <w:szCs w:val="20"/>
        </w:rPr>
        <w:instrText xml:space="preserve"> SEQ Graf \* ARABIC </w:instrText>
      </w:r>
      <w:r w:rsidRPr="0053721C">
        <w:rPr>
          <w:rFonts w:ascii="Century Gothic" w:hAnsi="Century Gothic" w:cs="Arial"/>
          <w:i/>
          <w:sz w:val="20"/>
          <w:szCs w:val="20"/>
        </w:rPr>
        <w:fldChar w:fldCharType="separate"/>
      </w:r>
      <w:r w:rsidR="007D6A44">
        <w:rPr>
          <w:rFonts w:ascii="Century Gothic" w:hAnsi="Century Gothic" w:cs="Arial"/>
          <w:i/>
          <w:noProof/>
          <w:sz w:val="20"/>
          <w:szCs w:val="20"/>
        </w:rPr>
        <w:t>19</w:t>
      </w:r>
      <w:r w:rsidRPr="0053721C">
        <w:rPr>
          <w:rFonts w:ascii="Century Gothic" w:hAnsi="Century Gothic" w:cs="Arial"/>
          <w:i/>
          <w:sz w:val="20"/>
          <w:szCs w:val="20"/>
        </w:rPr>
        <w:fldChar w:fldCharType="end"/>
      </w:r>
      <w:r w:rsidR="00DA24D6" w:rsidRPr="0053721C">
        <w:rPr>
          <w:rFonts w:ascii="Century Gothic" w:hAnsi="Century Gothic" w:cs="Arial"/>
          <w:i/>
          <w:sz w:val="20"/>
          <w:szCs w:val="20"/>
        </w:rPr>
        <w:t xml:space="preserve"> Poskytovanie JCH v rámci ŽSK a okresu Považská Bystrica v roku 2021</w:t>
      </w:r>
      <w:bookmarkEnd w:id="84"/>
    </w:p>
    <w:p w14:paraId="6B6EFDEF" w14:textId="62C5A6A9" w:rsidR="00233707" w:rsidRDefault="00233707" w:rsidP="005C3589">
      <w:pPr>
        <w:spacing w:line="240" w:lineRule="auto"/>
        <w:jc w:val="center"/>
        <w:rPr>
          <w:rFonts w:ascii="Century Gothic" w:hAnsi="Century Gothic" w:cstheme="minorHAnsi"/>
          <w:sz w:val="22"/>
          <w:szCs w:val="22"/>
        </w:rPr>
      </w:pPr>
      <w:r>
        <w:rPr>
          <w:noProof/>
        </w:rPr>
        <w:drawing>
          <wp:inline distT="0" distB="0" distL="0" distR="0" wp14:anchorId="53977C0F" wp14:editId="501CE120">
            <wp:extent cx="4714504" cy="2790702"/>
            <wp:effectExtent l="0" t="0" r="0" b="0"/>
            <wp:docPr id="16" name="Graf 16">
              <a:extLst xmlns:a="http://schemas.openxmlformats.org/drawingml/2006/main">
                <a:ext uri="{FF2B5EF4-FFF2-40B4-BE49-F238E27FC236}">
                  <a16:creationId xmlns:a16="http://schemas.microsoft.com/office/drawing/2014/main" id="{EAA2A935-E593-546B-305C-8623C0C53F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78AD05" w14:textId="6B94A36B" w:rsidR="00F41314" w:rsidRPr="00B620DE" w:rsidRDefault="00F41314" w:rsidP="00F41314">
      <w:pPr>
        <w:spacing w:line="240" w:lineRule="auto"/>
        <w:rPr>
          <w:rFonts w:ascii="Century Gothic" w:hAnsi="Century Gothic" w:cstheme="minorHAnsi"/>
          <w:i/>
          <w:sz w:val="18"/>
          <w:szCs w:val="18"/>
        </w:rPr>
      </w:pPr>
      <w:proofErr w:type="spellStart"/>
      <w:r w:rsidRPr="00B620DE">
        <w:rPr>
          <w:rFonts w:ascii="Century Gothic" w:hAnsi="Century Gothic" w:cstheme="minorHAnsi"/>
          <w:i/>
          <w:sz w:val="18"/>
          <w:szCs w:val="18"/>
        </w:rPr>
        <w:t>Pozn</w:t>
      </w:r>
      <w:proofErr w:type="spellEnd"/>
      <w:r w:rsidRPr="00B620DE">
        <w:rPr>
          <w:rFonts w:ascii="Century Gothic" w:hAnsi="Century Gothic" w:cstheme="minorHAnsi"/>
          <w:i/>
          <w:sz w:val="18"/>
          <w:szCs w:val="18"/>
        </w:rPr>
        <w:t xml:space="preserve">: ostatní spolu = ambulantní poskytovatelia </w:t>
      </w:r>
      <w:r w:rsidR="00CC01B2">
        <w:rPr>
          <w:rFonts w:ascii="Century Gothic" w:hAnsi="Century Gothic" w:cstheme="minorHAnsi"/>
          <w:i/>
          <w:sz w:val="18"/>
          <w:szCs w:val="18"/>
        </w:rPr>
        <w:t>jednodňovej zdravotnej starostlivosti</w:t>
      </w:r>
      <w:r w:rsidR="00DB08CD">
        <w:rPr>
          <w:rFonts w:ascii="Century Gothic" w:hAnsi="Century Gothic" w:cstheme="minorHAnsi"/>
          <w:i/>
          <w:sz w:val="18"/>
          <w:szCs w:val="18"/>
        </w:rPr>
        <w:t xml:space="preserve"> </w:t>
      </w:r>
    </w:p>
    <w:p w14:paraId="72926CCF" w14:textId="33DED8D3" w:rsidR="00F41314" w:rsidRPr="00B620DE" w:rsidRDefault="00F41314" w:rsidP="00F41314">
      <w:pPr>
        <w:spacing w:line="240" w:lineRule="auto"/>
        <w:rPr>
          <w:rFonts w:ascii="Century Gothic" w:hAnsi="Century Gothic" w:cstheme="minorHAnsi"/>
          <w:i/>
          <w:sz w:val="18"/>
          <w:szCs w:val="18"/>
        </w:rPr>
      </w:pPr>
      <w:r w:rsidRPr="00B620DE">
        <w:rPr>
          <w:rFonts w:ascii="Century Gothic" w:hAnsi="Century Gothic" w:cstheme="minorHAnsi"/>
          <w:i/>
          <w:sz w:val="18"/>
          <w:szCs w:val="18"/>
        </w:rPr>
        <w:t xml:space="preserve">Zdroj: NCZI, </w:t>
      </w:r>
      <w:r w:rsidR="00233707">
        <w:rPr>
          <w:rFonts w:ascii="Century Gothic" w:hAnsi="Century Gothic" w:cstheme="minorHAnsi"/>
          <w:i/>
          <w:sz w:val="18"/>
          <w:szCs w:val="18"/>
        </w:rPr>
        <w:t>vlastné spracovanie</w:t>
      </w:r>
    </w:p>
    <w:p w14:paraId="766532CA" w14:textId="77777777" w:rsidR="00F41314" w:rsidRDefault="00F41314" w:rsidP="00F41314">
      <w:pPr>
        <w:spacing w:line="240" w:lineRule="auto"/>
        <w:rPr>
          <w:rFonts w:ascii="Century Gothic" w:hAnsi="Century Gothic" w:cstheme="minorHAnsi"/>
          <w:sz w:val="22"/>
          <w:szCs w:val="22"/>
        </w:rPr>
      </w:pPr>
    </w:p>
    <w:p w14:paraId="235A574F" w14:textId="77777777"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Pôrodníctvo</w:t>
      </w:r>
    </w:p>
    <w:p w14:paraId="5BD44924" w14:textId="77777777" w:rsidR="00F41314" w:rsidRDefault="00F41314" w:rsidP="00F41314">
      <w:pPr>
        <w:spacing w:line="240" w:lineRule="auto"/>
        <w:rPr>
          <w:rFonts w:ascii="Century Gothic" w:hAnsi="Century Gothic" w:cstheme="minorHAnsi"/>
          <w:sz w:val="22"/>
          <w:szCs w:val="22"/>
        </w:rPr>
      </w:pPr>
    </w:p>
    <w:p w14:paraId="7A06C2F1" w14:textId="0E6C6453"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 xml:space="preserve">Kým samotná gynekologická diagnostika a liečba je, ako sme ukázali vyššie, </w:t>
      </w:r>
      <w:r w:rsidR="00416B1C">
        <w:rPr>
          <w:rFonts w:ascii="Century Gothic" w:hAnsi="Century Gothic" w:cstheme="minorHAnsi"/>
          <w:sz w:val="22"/>
          <w:szCs w:val="22"/>
        </w:rPr>
        <w:t xml:space="preserve">je </w:t>
      </w:r>
      <w:r>
        <w:rPr>
          <w:rFonts w:ascii="Century Gothic" w:hAnsi="Century Gothic" w:cstheme="minorHAnsi"/>
          <w:sz w:val="22"/>
          <w:szCs w:val="22"/>
        </w:rPr>
        <w:t>čím ďalej doménou jednodňovej zdravotnej starostlivosti, tak starostlivosť o matku a novorodenca si zasluhuje samostatný komentár.</w:t>
      </w:r>
    </w:p>
    <w:p w14:paraId="707181B9" w14:textId="0F39897B" w:rsidR="00F41314" w:rsidRDefault="00F41314" w:rsidP="00F41314">
      <w:pPr>
        <w:spacing w:line="240" w:lineRule="auto"/>
        <w:rPr>
          <w:rFonts w:ascii="Century Gothic" w:hAnsi="Century Gothic" w:cs="Arial"/>
          <w:sz w:val="22"/>
          <w:szCs w:val="22"/>
        </w:rPr>
      </w:pP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Žilina má nezastupiteľné postavenie v rámci regiónu v oblasti pôrodníctva. Je to dané geografickou dostupnosťou (ako sme ukázali vyššie) ako aj </w:t>
      </w:r>
      <w:proofErr w:type="spellStart"/>
      <w:r>
        <w:rPr>
          <w:rFonts w:ascii="Century Gothic" w:hAnsi="Century Gothic" w:cstheme="minorHAnsi"/>
          <w:sz w:val="22"/>
          <w:szCs w:val="22"/>
        </w:rPr>
        <w:t>postnatálnou</w:t>
      </w:r>
      <w:proofErr w:type="spellEnd"/>
      <w:r>
        <w:rPr>
          <w:rFonts w:ascii="Century Gothic" w:hAnsi="Century Gothic" w:cstheme="minorHAnsi"/>
          <w:sz w:val="22"/>
          <w:szCs w:val="22"/>
        </w:rPr>
        <w:t xml:space="preserve"> starostlivosťou o patologického novorodenca. V rámci koncepcie </w:t>
      </w:r>
      <w:proofErr w:type="spellStart"/>
      <w:r>
        <w:rPr>
          <w:rFonts w:ascii="Century Gothic" w:hAnsi="Century Gothic" w:cstheme="minorHAnsi"/>
          <w:sz w:val="22"/>
          <w:szCs w:val="22"/>
        </w:rPr>
        <w:t>neonatológie</w:t>
      </w:r>
      <w:proofErr w:type="spellEnd"/>
      <w:r>
        <w:rPr>
          <w:rFonts w:ascii="Century Gothic" w:hAnsi="Century Gothic" w:cstheme="minorHAnsi"/>
          <w:sz w:val="22"/>
          <w:szCs w:val="22"/>
        </w:rPr>
        <w:t xml:space="preserve"> je nemocnica zaradená do II. najvyššieho stupňa starostlivosti – tzn. okrem oddelenia pre fyziologických a patologických novorodencov má zriadenú JRSN </w:t>
      </w:r>
      <w:r w:rsidRPr="00E5663A">
        <w:rPr>
          <w:rFonts w:ascii="Century Gothic" w:hAnsi="Century Gothic" w:cstheme="minorHAnsi"/>
          <w:sz w:val="22"/>
          <w:szCs w:val="22"/>
        </w:rPr>
        <w:t>(</w:t>
      </w:r>
      <w:r w:rsidR="00416B1C">
        <w:rPr>
          <w:rFonts w:ascii="Century Gothic" w:hAnsi="Century Gothic" w:cstheme="minorHAnsi"/>
          <w:sz w:val="22"/>
          <w:szCs w:val="22"/>
        </w:rPr>
        <w:t>j</w:t>
      </w:r>
      <w:r w:rsidRPr="00E5663A">
        <w:rPr>
          <w:rFonts w:ascii="Century Gothic" w:hAnsi="Century Gothic" w:cs="Arial"/>
          <w:sz w:val="22"/>
          <w:szCs w:val="22"/>
        </w:rPr>
        <w:t>ednotka resuscitačnej starostlivosti o novorodencov – po starom JIRS)</w:t>
      </w:r>
      <w:r>
        <w:rPr>
          <w:rFonts w:ascii="Century Gothic" w:hAnsi="Century Gothic" w:cs="Arial"/>
          <w:sz w:val="22"/>
          <w:szCs w:val="22"/>
        </w:rPr>
        <w:t xml:space="preserve">. Vyťaženosť pôrodnice aj </w:t>
      </w:r>
      <w:proofErr w:type="spellStart"/>
      <w:r>
        <w:rPr>
          <w:rFonts w:ascii="Century Gothic" w:hAnsi="Century Gothic" w:cs="Arial"/>
          <w:sz w:val="22"/>
          <w:szCs w:val="22"/>
        </w:rPr>
        <w:t>neonatológie</w:t>
      </w:r>
      <w:proofErr w:type="spellEnd"/>
      <w:r>
        <w:rPr>
          <w:rFonts w:ascii="Century Gothic" w:hAnsi="Century Gothic" w:cs="Arial"/>
          <w:sz w:val="22"/>
          <w:szCs w:val="22"/>
        </w:rPr>
        <w:t xml:space="preserve"> v posledných rokoch rastie, žiaľ rastie aj počet patologick</w:t>
      </w:r>
      <w:r w:rsidR="00416B1C">
        <w:rPr>
          <w:rFonts w:ascii="Century Gothic" w:hAnsi="Century Gothic" w:cs="Arial"/>
          <w:sz w:val="22"/>
          <w:szCs w:val="22"/>
        </w:rPr>
        <w:t>ý</w:t>
      </w:r>
      <w:r>
        <w:rPr>
          <w:rFonts w:ascii="Century Gothic" w:hAnsi="Century Gothic" w:cs="Arial"/>
          <w:sz w:val="22"/>
          <w:szCs w:val="22"/>
        </w:rPr>
        <w:t>ch novorodencov, ktorí potrebujú intenzívnu a resuscitačnú starostlivosť. Hospitalizácie spojené s pôrodom a graviditou tvoria cca</w:t>
      </w:r>
      <w:r w:rsidR="00416B1C">
        <w:rPr>
          <w:rFonts w:ascii="Century Gothic" w:hAnsi="Century Gothic" w:cs="Arial"/>
          <w:sz w:val="22"/>
          <w:szCs w:val="22"/>
        </w:rPr>
        <w:t>.</w:t>
      </w:r>
      <w:r>
        <w:rPr>
          <w:rFonts w:ascii="Century Gothic" w:hAnsi="Century Gothic" w:cs="Arial"/>
          <w:sz w:val="22"/>
          <w:szCs w:val="22"/>
        </w:rPr>
        <w:t xml:space="preserve"> 50% všetkých hospitalizácii v rámci odboru.</w:t>
      </w:r>
    </w:p>
    <w:p w14:paraId="4D8A7EE2" w14:textId="77777777" w:rsidR="00F41314" w:rsidRDefault="00F41314" w:rsidP="00F41314">
      <w:pPr>
        <w:spacing w:line="240" w:lineRule="auto"/>
        <w:rPr>
          <w:rFonts w:ascii="Century Gothic" w:hAnsi="Century Gothic" w:cs="Arial"/>
          <w:sz w:val="22"/>
          <w:szCs w:val="22"/>
        </w:rPr>
      </w:pPr>
    </w:p>
    <w:p w14:paraId="157AC0A8" w14:textId="46724922" w:rsidR="00DA24D6" w:rsidRPr="00DA24D6" w:rsidRDefault="00DA24D6" w:rsidP="00DA24D6">
      <w:pPr>
        <w:keepNext/>
        <w:spacing w:line="240" w:lineRule="auto"/>
        <w:rPr>
          <w:rFonts w:ascii="Century Gothic" w:hAnsi="Century Gothic"/>
          <w:i/>
          <w:sz w:val="20"/>
          <w:szCs w:val="20"/>
        </w:rPr>
      </w:pPr>
      <w:bookmarkStart w:id="85" w:name="_Toc145219920"/>
      <w:r w:rsidRPr="00DA24D6">
        <w:rPr>
          <w:rFonts w:ascii="Century Gothic" w:hAnsi="Century Gothic"/>
          <w:i/>
          <w:sz w:val="20"/>
          <w:szCs w:val="20"/>
        </w:rPr>
        <w:t xml:space="preserve">Tabuľka </w:t>
      </w:r>
      <w:r w:rsidRPr="00DA24D6">
        <w:rPr>
          <w:rFonts w:ascii="Century Gothic" w:hAnsi="Century Gothic"/>
          <w:i/>
          <w:sz w:val="20"/>
          <w:szCs w:val="20"/>
        </w:rPr>
        <w:fldChar w:fldCharType="begin"/>
      </w:r>
      <w:r w:rsidRPr="00DA24D6">
        <w:rPr>
          <w:rFonts w:ascii="Century Gothic" w:hAnsi="Century Gothic"/>
          <w:i/>
          <w:sz w:val="20"/>
          <w:szCs w:val="20"/>
        </w:rPr>
        <w:instrText xml:space="preserve"> SEQ Tabuľka \* ARABIC </w:instrText>
      </w:r>
      <w:r w:rsidRPr="00DA24D6">
        <w:rPr>
          <w:rFonts w:ascii="Century Gothic" w:hAnsi="Century Gothic"/>
          <w:i/>
          <w:sz w:val="20"/>
          <w:szCs w:val="20"/>
        </w:rPr>
        <w:fldChar w:fldCharType="separate"/>
      </w:r>
      <w:r w:rsidR="007D6A44">
        <w:rPr>
          <w:rFonts w:ascii="Century Gothic" w:hAnsi="Century Gothic"/>
          <w:i/>
          <w:noProof/>
          <w:sz w:val="20"/>
          <w:szCs w:val="20"/>
        </w:rPr>
        <w:t>19</w:t>
      </w:r>
      <w:r w:rsidRPr="00DA24D6">
        <w:rPr>
          <w:rFonts w:ascii="Century Gothic" w:hAnsi="Century Gothic"/>
          <w:i/>
          <w:sz w:val="20"/>
          <w:szCs w:val="20"/>
        </w:rPr>
        <w:fldChar w:fldCharType="end"/>
      </w:r>
      <w:r w:rsidRPr="00DA24D6">
        <w:rPr>
          <w:rFonts w:ascii="Century Gothic" w:hAnsi="Century Gothic"/>
          <w:i/>
          <w:sz w:val="20"/>
          <w:szCs w:val="20"/>
        </w:rPr>
        <w:t xml:space="preserve"> </w:t>
      </w:r>
      <w:r w:rsidRPr="00610835">
        <w:rPr>
          <w:rFonts w:ascii="Century Gothic" w:hAnsi="Century Gothic"/>
          <w:i/>
          <w:sz w:val="20"/>
          <w:szCs w:val="20"/>
        </w:rPr>
        <w:t>Počet narodených detí, z toho potreba intenzívnej starostlivosti</w:t>
      </w:r>
      <w:bookmarkEnd w:id="85"/>
    </w:p>
    <w:tbl>
      <w:tblPr>
        <w:tblW w:w="10000" w:type="dxa"/>
        <w:jc w:val="center"/>
        <w:tblCellMar>
          <w:left w:w="70" w:type="dxa"/>
          <w:right w:w="70" w:type="dxa"/>
        </w:tblCellMar>
        <w:tblLook w:val="04A0" w:firstRow="1" w:lastRow="0" w:firstColumn="1" w:lastColumn="0" w:noHBand="0" w:noVBand="1"/>
      </w:tblPr>
      <w:tblGrid>
        <w:gridCol w:w="1180"/>
        <w:gridCol w:w="680"/>
        <w:gridCol w:w="680"/>
        <w:gridCol w:w="680"/>
        <w:gridCol w:w="680"/>
        <w:gridCol w:w="680"/>
        <w:gridCol w:w="680"/>
        <w:gridCol w:w="680"/>
        <w:gridCol w:w="680"/>
        <w:gridCol w:w="680"/>
        <w:gridCol w:w="680"/>
        <w:gridCol w:w="680"/>
        <w:gridCol w:w="680"/>
        <w:gridCol w:w="660"/>
      </w:tblGrid>
      <w:tr w:rsidR="00681336" w:rsidRPr="003C1E89" w14:paraId="4572CF7A" w14:textId="77777777" w:rsidTr="003C1E89">
        <w:trPr>
          <w:trHeight w:val="300"/>
          <w:jc w:val="center"/>
        </w:trPr>
        <w:tc>
          <w:tcPr>
            <w:tcW w:w="1180" w:type="dxa"/>
            <w:shd w:val="clear" w:color="auto" w:fill="595959" w:themeFill="text1" w:themeFillTint="A6"/>
            <w:noWrap/>
            <w:vAlign w:val="bottom"/>
            <w:hideMark/>
          </w:tcPr>
          <w:p w14:paraId="7DC01535" w14:textId="77777777" w:rsidR="00681336" w:rsidRPr="003C1E89" w:rsidRDefault="00681336" w:rsidP="00681336">
            <w:pPr>
              <w:spacing w:line="240" w:lineRule="auto"/>
              <w:jc w:val="left"/>
              <w:rPr>
                <w:rFonts w:ascii="Arial Narrow" w:hAnsi="Arial Narrow" w:cs="Calibri"/>
                <w:color w:val="000000"/>
                <w:sz w:val="20"/>
                <w:szCs w:val="20"/>
              </w:rPr>
            </w:pPr>
            <w:r w:rsidRPr="003C1E89">
              <w:rPr>
                <w:rFonts w:ascii="Arial Narrow" w:hAnsi="Arial Narrow" w:cs="Calibri"/>
                <w:color w:val="000000"/>
                <w:sz w:val="20"/>
                <w:szCs w:val="20"/>
              </w:rPr>
              <w:t> </w:t>
            </w:r>
          </w:p>
        </w:tc>
        <w:tc>
          <w:tcPr>
            <w:tcW w:w="680" w:type="dxa"/>
            <w:shd w:val="clear" w:color="auto" w:fill="595959" w:themeFill="text1" w:themeFillTint="A6"/>
            <w:noWrap/>
            <w:vAlign w:val="bottom"/>
            <w:hideMark/>
          </w:tcPr>
          <w:p w14:paraId="4CFA815F"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2010</w:t>
            </w:r>
          </w:p>
        </w:tc>
        <w:tc>
          <w:tcPr>
            <w:tcW w:w="680" w:type="dxa"/>
            <w:shd w:val="clear" w:color="auto" w:fill="595959" w:themeFill="text1" w:themeFillTint="A6"/>
            <w:noWrap/>
            <w:vAlign w:val="bottom"/>
            <w:hideMark/>
          </w:tcPr>
          <w:p w14:paraId="414201BD"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2011</w:t>
            </w:r>
          </w:p>
        </w:tc>
        <w:tc>
          <w:tcPr>
            <w:tcW w:w="680" w:type="dxa"/>
            <w:shd w:val="clear" w:color="auto" w:fill="595959" w:themeFill="text1" w:themeFillTint="A6"/>
            <w:noWrap/>
            <w:vAlign w:val="bottom"/>
            <w:hideMark/>
          </w:tcPr>
          <w:p w14:paraId="1C497C8A"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2012</w:t>
            </w:r>
          </w:p>
        </w:tc>
        <w:tc>
          <w:tcPr>
            <w:tcW w:w="680" w:type="dxa"/>
            <w:shd w:val="clear" w:color="auto" w:fill="595959" w:themeFill="text1" w:themeFillTint="A6"/>
            <w:noWrap/>
            <w:vAlign w:val="bottom"/>
            <w:hideMark/>
          </w:tcPr>
          <w:p w14:paraId="4A3B7B8B"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2013</w:t>
            </w:r>
          </w:p>
        </w:tc>
        <w:tc>
          <w:tcPr>
            <w:tcW w:w="680" w:type="dxa"/>
            <w:shd w:val="clear" w:color="auto" w:fill="595959" w:themeFill="text1" w:themeFillTint="A6"/>
            <w:noWrap/>
            <w:vAlign w:val="bottom"/>
            <w:hideMark/>
          </w:tcPr>
          <w:p w14:paraId="66FF7349"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2014</w:t>
            </w:r>
          </w:p>
        </w:tc>
        <w:tc>
          <w:tcPr>
            <w:tcW w:w="680" w:type="dxa"/>
            <w:shd w:val="clear" w:color="auto" w:fill="595959" w:themeFill="text1" w:themeFillTint="A6"/>
            <w:noWrap/>
            <w:vAlign w:val="bottom"/>
            <w:hideMark/>
          </w:tcPr>
          <w:p w14:paraId="70F6B805"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2015</w:t>
            </w:r>
          </w:p>
        </w:tc>
        <w:tc>
          <w:tcPr>
            <w:tcW w:w="680" w:type="dxa"/>
            <w:shd w:val="clear" w:color="auto" w:fill="595959" w:themeFill="text1" w:themeFillTint="A6"/>
            <w:noWrap/>
            <w:vAlign w:val="bottom"/>
            <w:hideMark/>
          </w:tcPr>
          <w:p w14:paraId="43FE855D"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2016</w:t>
            </w:r>
          </w:p>
        </w:tc>
        <w:tc>
          <w:tcPr>
            <w:tcW w:w="680" w:type="dxa"/>
            <w:shd w:val="clear" w:color="auto" w:fill="595959" w:themeFill="text1" w:themeFillTint="A6"/>
            <w:noWrap/>
            <w:vAlign w:val="bottom"/>
            <w:hideMark/>
          </w:tcPr>
          <w:p w14:paraId="164F09D8"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2017</w:t>
            </w:r>
          </w:p>
        </w:tc>
        <w:tc>
          <w:tcPr>
            <w:tcW w:w="680" w:type="dxa"/>
            <w:shd w:val="clear" w:color="auto" w:fill="595959" w:themeFill="text1" w:themeFillTint="A6"/>
            <w:noWrap/>
            <w:vAlign w:val="bottom"/>
            <w:hideMark/>
          </w:tcPr>
          <w:p w14:paraId="71395AC3"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2018</w:t>
            </w:r>
          </w:p>
        </w:tc>
        <w:tc>
          <w:tcPr>
            <w:tcW w:w="680" w:type="dxa"/>
            <w:shd w:val="clear" w:color="auto" w:fill="595959" w:themeFill="text1" w:themeFillTint="A6"/>
            <w:noWrap/>
            <w:vAlign w:val="bottom"/>
            <w:hideMark/>
          </w:tcPr>
          <w:p w14:paraId="405BECFE"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2019</w:t>
            </w:r>
          </w:p>
        </w:tc>
        <w:tc>
          <w:tcPr>
            <w:tcW w:w="680" w:type="dxa"/>
            <w:shd w:val="clear" w:color="auto" w:fill="595959" w:themeFill="text1" w:themeFillTint="A6"/>
            <w:noWrap/>
            <w:vAlign w:val="bottom"/>
            <w:hideMark/>
          </w:tcPr>
          <w:p w14:paraId="219F9362"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2020</w:t>
            </w:r>
          </w:p>
        </w:tc>
        <w:tc>
          <w:tcPr>
            <w:tcW w:w="680" w:type="dxa"/>
            <w:shd w:val="clear" w:color="auto" w:fill="595959" w:themeFill="text1" w:themeFillTint="A6"/>
            <w:noWrap/>
            <w:vAlign w:val="bottom"/>
            <w:hideMark/>
          </w:tcPr>
          <w:p w14:paraId="01E5D88B"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2021</w:t>
            </w:r>
          </w:p>
        </w:tc>
        <w:tc>
          <w:tcPr>
            <w:tcW w:w="660" w:type="dxa"/>
            <w:shd w:val="clear" w:color="auto" w:fill="595959" w:themeFill="text1" w:themeFillTint="A6"/>
            <w:noWrap/>
            <w:vAlign w:val="bottom"/>
            <w:hideMark/>
          </w:tcPr>
          <w:p w14:paraId="69B0F9FA" w14:textId="77777777" w:rsidR="00681336" w:rsidRPr="003C1E89" w:rsidRDefault="00681336" w:rsidP="00681336">
            <w:pPr>
              <w:spacing w:line="240" w:lineRule="auto"/>
              <w:jc w:val="right"/>
              <w:rPr>
                <w:rFonts w:ascii="Arial Narrow" w:hAnsi="Arial Narrow" w:cs="Calibri"/>
                <w:b/>
                <w:bCs/>
                <w:color w:val="000000"/>
                <w:sz w:val="20"/>
                <w:szCs w:val="20"/>
              </w:rPr>
            </w:pPr>
            <w:r w:rsidRPr="003C1E89">
              <w:rPr>
                <w:rFonts w:ascii="Arial Narrow" w:hAnsi="Arial Narrow" w:cs="Calibri"/>
                <w:b/>
                <w:bCs/>
                <w:color w:val="000000"/>
                <w:sz w:val="20"/>
                <w:szCs w:val="20"/>
              </w:rPr>
              <w:t>2022</w:t>
            </w:r>
          </w:p>
        </w:tc>
      </w:tr>
      <w:tr w:rsidR="00681336" w:rsidRPr="003C1E89" w14:paraId="5567E1DC" w14:textId="77777777" w:rsidTr="003C1E89">
        <w:trPr>
          <w:trHeight w:val="300"/>
          <w:jc w:val="center"/>
        </w:trPr>
        <w:tc>
          <w:tcPr>
            <w:tcW w:w="1180" w:type="dxa"/>
            <w:shd w:val="clear" w:color="auto" w:fill="auto"/>
            <w:vAlign w:val="bottom"/>
            <w:hideMark/>
          </w:tcPr>
          <w:p w14:paraId="608E5C20" w14:textId="77777777" w:rsidR="00681336" w:rsidRPr="003C1E89" w:rsidRDefault="00681336" w:rsidP="00681336">
            <w:pPr>
              <w:spacing w:line="240" w:lineRule="auto"/>
              <w:jc w:val="left"/>
              <w:rPr>
                <w:rFonts w:ascii="Arial Narrow" w:hAnsi="Arial Narrow" w:cs="Calibri"/>
                <w:b/>
                <w:bCs/>
                <w:color w:val="000000"/>
                <w:sz w:val="20"/>
                <w:szCs w:val="20"/>
              </w:rPr>
            </w:pPr>
            <w:r w:rsidRPr="003C1E89">
              <w:rPr>
                <w:rFonts w:ascii="Arial Narrow" w:hAnsi="Arial Narrow" w:cs="Calibri"/>
                <w:b/>
                <w:bCs/>
                <w:color w:val="000000"/>
                <w:sz w:val="20"/>
                <w:szCs w:val="20"/>
              </w:rPr>
              <w:t>počet nov.</w:t>
            </w:r>
          </w:p>
        </w:tc>
        <w:tc>
          <w:tcPr>
            <w:tcW w:w="680" w:type="dxa"/>
            <w:shd w:val="clear" w:color="auto" w:fill="auto"/>
            <w:noWrap/>
            <w:vAlign w:val="bottom"/>
            <w:hideMark/>
          </w:tcPr>
          <w:p w14:paraId="50712B8A"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1518</w:t>
            </w:r>
          </w:p>
        </w:tc>
        <w:tc>
          <w:tcPr>
            <w:tcW w:w="680" w:type="dxa"/>
            <w:shd w:val="clear" w:color="auto" w:fill="auto"/>
            <w:noWrap/>
            <w:vAlign w:val="bottom"/>
            <w:hideMark/>
          </w:tcPr>
          <w:p w14:paraId="20A026E6"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1495</w:t>
            </w:r>
          </w:p>
        </w:tc>
        <w:tc>
          <w:tcPr>
            <w:tcW w:w="680" w:type="dxa"/>
            <w:shd w:val="clear" w:color="auto" w:fill="auto"/>
            <w:noWrap/>
            <w:vAlign w:val="bottom"/>
            <w:hideMark/>
          </w:tcPr>
          <w:p w14:paraId="3B011042"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1526</w:t>
            </w:r>
          </w:p>
        </w:tc>
        <w:tc>
          <w:tcPr>
            <w:tcW w:w="680" w:type="dxa"/>
            <w:shd w:val="clear" w:color="auto" w:fill="auto"/>
            <w:noWrap/>
            <w:vAlign w:val="bottom"/>
            <w:hideMark/>
          </w:tcPr>
          <w:p w14:paraId="32D9917D"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1439</w:t>
            </w:r>
          </w:p>
        </w:tc>
        <w:tc>
          <w:tcPr>
            <w:tcW w:w="680" w:type="dxa"/>
            <w:shd w:val="clear" w:color="auto" w:fill="auto"/>
            <w:noWrap/>
            <w:vAlign w:val="bottom"/>
            <w:hideMark/>
          </w:tcPr>
          <w:p w14:paraId="5FAF3642"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1393</w:t>
            </w:r>
          </w:p>
        </w:tc>
        <w:tc>
          <w:tcPr>
            <w:tcW w:w="680" w:type="dxa"/>
            <w:shd w:val="clear" w:color="auto" w:fill="auto"/>
            <w:noWrap/>
            <w:vAlign w:val="bottom"/>
            <w:hideMark/>
          </w:tcPr>
          <w:p w14:paraId="5FC1779D"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1457</w:t>
            </w:r>
          </w:p>
        </w:tc>
        <w:tc>
          <w:tcPr>
            <w:tcW w:w="680" w:type="dxa"/>
            <w:shd w:val="clear" w:color="auto" w:fill="auto"/>
            <w:noWrap/>
            <w:vAlign w:val="bottom"/>
            <w:hideMark/>
          </w:tcPr>
          <w:p w14:paraId="1C16A29F"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1407</w:t>
            </w:r>
          </w:p>
        </w:tc>
        <w:tc>
          <w:tcPr>
            <w:tcW w:w="680" w:type="dxa"/>
            <w:shd w:val="clear" w:color="auto" w:fill="auto"/>
            <w:noWrap/>
            <w:vAlign w:val="bottom"/>
            <w:hideMark/>
          </w:tcPr>
          <w:p w14:paraId="2B696669"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1543</w:t>
            </w:r>
          </w:p>
        </w:tc>
        <w:tc>
          <w:tcPr>
            <w:tcW w:w="680" w:type="dxa"/>
            <w:shd w:val="clear" w:color="auto" w:fill="auto"/>
            <w:noWrap/>
            <w:vAlign w:val="bottom"/>
            <w:hideMark/>
          </w:tcPr>
          <w:p w14:paraId="058A89EA"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1532</w:t>
            </w:r>
          </w:p>
        </w:tc>
        <w:tc>
          <w:tcPr>
            <w:tcW w:w="680" w:type="dxa"/>
            <w:shd w:val="clear" w:color="auto" w:fill="auto"/>
            <w:noWrap/>
            <w:vAlign w:val="bottom"/>
            <w:hideMark/>
          </w:tcPr>
          <w:p w14:paraId="2ED9793A"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1733</w:t>
            </w:r>
          </w:p>
        </w:tc>
        <w:tc>
          <w:tcPr>
            <w:tcW w:w="680" w:type="dxa"/>
            <w:shd w:val="clear" w:color="auto" w:fill="auto"/>
            <w:noWrap/>
            <w:vAlign w:val="bottom"/>
            <w:hideMark/>
          </w:tcPr>
          <w:p w14:paraId="680C67C8"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1900</w:t>
            </w:r>
          </w:p>
        </w:tc>
        <w:tc>
          <w:tcPr>
            <w:tcW w:w="680" w:type="dxa"/>
            <w:shd w:val="clear" w:color="auto" w:fill="auto"/>
            <w:noWrap/>
            <w:vAlign w:val="bottom"/>
            <w:hideMark/>
          </w:tcPr>
          <w:p w14:paraId="3EF648F6"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1874</w:t>
            </w:r>
          </w:p>
        </w:tc>
        <w:tc>
          <w:tcPr>
            <w:tcW w:w="660" w:type="dxa"/>
            <w:shd w:val="clear" w:color="auto" w:fill="auto"/>
            <w:noWrap/>
            <w:vAlign w:val="bottom"/>
            <w:hideMark/>
          </w:tcPr>
          <w:p w14:paraId="0959CF06"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1719</w:t>
            </w:r>
          </w:p>
        </w:tc>
      </w:tr>
      <w:tr w:rsidR="00681336" w:rsidRPr="003C1E89" w14:paraId="37F43911" w14:textId="77777777" w:rsidTr="003C1E89">
        <w:trPr>
          <w:trHeight w:val="300"/>
          <w:jc w:val="center"/>
        </w:trPr>
        <w:tc>
          <w:tcPr>
            <w:tcW w:w="1180" w:type="dxa"/>
            <w:shd w:val="clear" w:color="auto" w:fill="auto"/>
            <w:vAlign w:val="bottom"/>
            <w:hideMark/>
          </w:tcPr>
          <w:p w14:paraId="0D50961B" w14:textId="77777777" w:rsidR="00681336" w:rsidRPr="003C1E89" w:rsidRDefault="00681336" w:rsidP="00681336">
            <w:pPr>
              <w:spacing w:line="240" w:lineRule="auto"/>
              <w:jc w:val="left"/>
              <w:rPr>
                <w:rFonts w:ascii="Arial Narrow" w:hAnsi="Arial Narrow" w:cs="Calibri"/>
                <w:b/>
                <w:bCs/>
                <w:color w:val="000000"/>
                <w:sz w:val="20"/>
                <w:szCs w:val="20"/>
              </w:rPr>
            </w:pPr>
            <w:r w:rsidRPr="003C1E89">
              <w:rPr>
                <w:rFonts w:ascii="Arial Narrow" w:hAnsi="Arial Narrow" w:cs="Calibri"/>
                <w:b/>
                <w:bCs/>
                <w:color w:val="000000"/>
                <w:sz w:val="20"/>
                <w:szCs w:val="20"/>
              </w:rPr>
              <w:t xml:space="preserve"> - z toho JIRS</w:t>
            </w:r>
          </w:p>
        </w:tc>
        <w:tc>
          <w:tcPr>
            <w:tcW w:w="680" w:type="dxa"/>
            <w:shd w:val="clear" w:color="auto" w:fill="auto"/>
            <w:noWrap/>
            <w:vAlign w:val="bottom"/>
            <w:hideMark/>
          </w:tcPr>
          <w:p w14:paraId="679B53D6"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49</w:t>
            </w:r>
          </w:p>
        </w:tc>
        <w:tc>
          <w:tcPr>
            <w:tcW w:w="680" w:type="dxa"/>
            <w:shd w:val="clear" w:color="auto" w:fill="auto"/>
            <w:noWrap/>
            <w:vAlign w:val="bottom"/>
            <w:hideMark/>
          </w:tcPr>
          <w:p w14:paraId="4CEC2444"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59</w:t>
            </w:r>
          </w:p>
        </w:tc>
        <w:tc>
          <w:tcPr>
            <w:tcW w:w="680" w:type="dxa"/>
            <w:shd w:val="clear" w:color="auto" w:fill="auto"/>
            <w:noWrap/>
            <w:vAlign w:val="bottom"/>
            <w:hideMark/>
          </w:tcPr>
          <w:p w14:paraId="1A381148"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57</w:t>
            </w:r>
          </w:p>
        </w:tc>
        <w:tc>
          <w:tcPr>
            <w:tcW w:w="680" w:type="dxa"/>
            <w:shd w:val="clear" w:color="auto" w:fill="auto"/>
            <w:noWrap/>
            <w:vAlign w:val="bottom"/>
            <w:hideMark/>
          </w:tcPr>
          <w:p w14:paraId="73FBC30E"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78</w:t>
            </w:r>
          </w:p>
        </w:tc>
        <w:tc>
          <w:tcPr>
            <w:tcW w:w="680" w:type="dxa"/>
            <w:shd w:val="clear" w:color="auto" w:fill="auto"/>
            <w:noWrap/>
            <w:vAlign w:val="bottom"/>
            <w:hideMark/>
          </w:tcPr>
          <w:p w14:paraId="1C76F05E"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67</w:t>
            </w:r>
          </w:p>
        </w:tc>
        <w:tc>
          <w:tcPr>
            <w:tcW w:w="680" w:type="dxa"/>
            <w:shd w:val="clear" w:color="auto" w:fill="auto"/>
            <w:noWrap/>
            <w:vAlign w:val="bottom"/>
            <w:hideMark/>
          </w:tcPr>
          <w:p w14:paraId="19EFF86E"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59</w:t>
            </w:r>
          </w:p>
        </w:tc>
        <w:tc>
          <w:tcPr>
            <w:tcW w:w="680" w:type="dxa"/>
            <w:shd w:val="clear" w:color="auto" w:fill="auto"/>
            <w:noWrap/>
            <w:vAlign w:val="bottom"/>
            <w:hideMark/>
          </w:tcPr>
          <w:p w14:paraId="261A42DE"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68</w:t>
            </w:r>
          </w:p>
        </w:tc>
        <w:tc>
          <w:tcPr>
            <w:tcW w:w="680" w:type="dxa"/>
            <w:shd w:val="clear" w:color="auto" w:fill="auto"/>
            <w:noWrap/>
            <w:vAlign w:val="bottom"/>
            <w:hideMark/>
          </w:tcPr>
          <w:p w14:paraId="58840D3F"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89</w:t>
            </w:r>
          </w:p>
        </w:tc>
        <w:tc>
          <w:tcPr>
            <w:tcW w:w="680" w:type="dxa"/>
            <w:shd w:val="clear" w:color="auto" w:fill="auto"/>
            <w:noWrap/>
            <w:vAlign w:val="bottom"/>
            <w:hideMark/>
          </w:tcPr>
          <w:p w14:paraId="5CFD187B"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92</w:t>
            </w:r>
          </w:p>
        </w:tc>
        <w:tc>
          <w:tcPr>
            <w:tcW w:w="680" w:type="dxa"/>
            <w:shd w:val="clear" w:color="auto" w:fill="auto"/>
            <w:noWrap/>
            <w:vAlign w:val="bottom"/>
            <w:hideMark/>
          </w:tcPr>
          <w:p w14:paraId="74A1046A"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114</w:t>
            </w:r>
          </w:p>
        </w:tc>
        <w:tc>
          <w:tcPr>
            <w:tcW w:w="680" w:type="dxa"/>
            <w:shd w:val="clear" w:color="auto" w:fill="auto"/>
            <w:noWrap/>
            <w:vAlign w:val="bottom"/>
            <w:hideMark/>
          </w:tcPr>
          <w:p w14:paraId="60335FA0"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119</w:t>
            </w:r>
          </w:p>
        </w:tc>
        <w:tc>
          <w:tcPr>
            <w:tcW w:w="680" w:type="dxa"/>
            <w:shd w:val="clear" w:color="auto" w:fill="auto"/>
            <w:noWrap/>
            <w:vAlign w:val="bottom"/>
            <w:hideMark/>
          </w:tcPr>
          <w:p w14:paraId="2DE8668D"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129</w:t>
            </w:r>
          </w:p>
        </w:tc>
        <w:tc>
          <w:tcPr>
            <w:tcW w:w="660" w:type="dxa"/>
            <w:shd w:val="clear" w:color="auto" w:fill="auto"/>
            <w:noWrap/>
            <w:vAlign w:val="bottom"/>
            <w:hideMark/>
          </w:tcPr>
          <w:p w14:paraId="47B2F881" w14:textId="77777777" w:rsidR="00681336" w:rsidRPr="003C1E89" w:rsidRDefault="00681336" w:rsidP="00681336">
            <w:pPr>
              <w:spacing w:line="240" w:lineRule="auto"/>
              <w:jc w:val="right"/>
              <w:rPr>
                <w:rFonts w:ascii="Arial Narrow" w:hAnsi="Arial Narrow" w:cs="Calibri"/>
                <w:color w:val="000000"/>
                <w:sz w:val="20"/>
                <w:szCs w:val="20"/>
              </w:rPr>
            </w:pPr>
            <w:r w:rsidRPr="003C1E89">
              <w:rPr>
                <w:rFonts w:ascii="Arial Narrow" w:hAnsi="Arial Narrow" w:cs="Calibri"/>
                <w:color w:val="000000"/>
                <w:sz w:val="20"/>
                <w:szCs w:val="20"/>
              </w:rPr>
              <w:t>131</w:t>
            </w:r>
          </w:p>
        </w:tc>
      </w:tr>
    </w:tbl>
    <w:p w14:paraId="179DAC32" w14:textId="77777777" w:rsidR="00AD60F4" w:rsidRDefault="00AD60F4" w:rsidP="00AD60F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4B9173B4" w14:textId="77777777" w:rsidR="00B620DE" w:rsidRDefault="00B620DE" w:rsidP="00F41314">
      <w:pPr>
        <w:spacing w:line="240" w:lineRule="auto"/>
        <w:rPr>
          <w:rFonts w:ascii="Century Gothic" w:hAnsi="Century Gothic" w:cs="Arial"/>
          <w:sz w:val="22"/>
          <w:szCs w:val="22"/>
        </w:rPr>
      </w:pPr>
    </w:p>
    <w:p w14:paraId="5E3562A7" w14:textId="77777777" w:rsidR="00943E84" w:rsidRDefault="00943E84" w:rsidP="007F681B">
      <w:pPr>
        <w:pStyle w:val="Odsekzoznamu"/>
        <w:numPr>
          <w:ilvl w:val="0"/>
          <w:numId w:val="48"/>
        </w:numPr>
        <w:spacing w:line="240" w:lineRule="auto"/>
        <w:rPr>
          <w:rFonts w:ascii="Century Gothic" w:hAnsi="Century Gothic" w:cstheme="minorHAnsi"/>
          <w:sz w:val="22"/>
          <w:szCs w:val="22"/>
        </w:rPr>
      </w:pPr>
      <w:r>
        <w:rPr>
          <w:rFonts w:ascii="Century Gothic" w:hAnsi="Century Gothic" w:cstheme="minorHAnsi"/>
          <w:sz w:val="22"/>
          <w:szCs w:val="22"/>
        </w:rPr>
        <w:t>Intenzívna starostlivosť</w:t>
      </w:r>
    </w:p>
    <w:p w14:paraId="6D677770" w14:textId="01EF003E" w:rsidR="00B620DE" w:rsidRPr="00B620DE" w:rsidRDefault="00B620DE" w:rsidP="00B620DE">
      <w:pPr>
        <w:spacing w:line="240" w:lineRule="auto"/>
        <w:rPr>
          <w:rFonts w:ascii="Century Gothic" w:hAnsi="Century Gothic" w:cstheme="minorHAnsi"/>
          <w:sz w:val="22"/>
          <w:szCs w:val="22"/>
        </w:rPr>
      </w:pPr>
      <w:r w:rsidRPr="00B620DE">
        <w:rPr>
          <w:rFonts w:ascii="Century Gothic" w:hAnsi="Century Gothic" w:cstheme="minorHAnsi"/>
          <w:sz w:val="22"/>
          <w:szCs w:val="22"/>
        </w:rPr>
        <w:t xml:space="preserve">Intenzívnu starostlivosť môžeme v rámci </w:t>
      </w:r>
      <w:proofErr w:type="spellStart"/>
      <w:r w:rsidRPr="00B620DE">
        <w:rPr>
          <w:rFonts w:ascii="Century Gothic" w:hAnsi="Century Gothic" w:cstheme="minorHAnsi"/>
          <w:sz w:val="22"/>
          <w:szCs w:val="22"/>
        </w:rPr>
        <w:t>FNsP</w:t>
      </w:r>
      <w:proofErr w:type="spellEnd"/>
      <w:r w:rsidR="00416B1C">
        <w:rPr>
          <w:rFonts w:ascii="Century Gothic" w:hAnsi="Century Gothic" w:cstheme="minorHAnsi"/>
          <w:sz w:val="22"/>
          <w:szCs w:val="22"/>
        </w:rPr>
        <w:t xml:space="preserve"> Žilina</w:t>
      </w:r>
      <w:r w:rsidRPr="00B620DE">
        <w:rPr>
          <w:rFonts w:ascii="Century Gothic" w:hAnsi="Century Gothic" w:cstheme="minorHAnsi"/>
          <w:sz w:val="22"/>
          <w:szCs w:val="22"/>
        </w:rPr>
        <w:t xml:space="preserve"> rozdeliť do viacerých </w:t>
      </w:r>
      <w:proofErr w:type="spellStart"/>
      <w:r w:rsidRPr="00B620DE">
        <w:rPr>
          <w:rFonts w:ascii="Century Gothic" w:hAnsi="Century Gothic" w:cstheme="minorHAnsi"/>
          <w:sz w:val="22"/>
          <w:szCs w:val="22"/>
        </w:rPr>
        <w:t>subčastí</w:t>
      </w:r>
      <w:proofErr w:type="spellEnd"/>
      <w:r w:rsidRPr="00B620DE">
        <w:rPr>
          <w:rFonts w:ascii="Century Gothic" w:hAnsi="Century Gothic" w:cstheme="minorHAnsi"/>
          <w:sz w:val="22"/>
          <w:szCs w:val="22"/>
        </w:rPr>
        <w:t>. Najvyššou formou je resuscitačná starostlivosť v rámci OAIM, nasledujú intenzívne časti jednotlivých oddelení, ktoré sú personálne obhospodarované jednotlivými medicínskymi odbormi. V rokoch 2014-2015 bol pokus zriadiť centrálnu JIS, avšak projekt bol neúspešný pre nedostatočnú priestorovú a najmä personálnu  podporu</w:t>
      </w:r>
      <w:r w:rsidR="00416B1C">
        <w:rPr>
          <w:rFonts w:ascii="Century Gothic" w:hAnsi="Century Gothic" w:cstheme="minorHAnsi"/>
          <w:sz w:val="22"/>
          <w:szCs w:val="22"/>
        </w:rPr>
        <w:t>. P</w:t>
      </w:r>
      <w:r w:rsidRPr="00B620DE">
        <w:rPr>
          <w:rFonts w:ascii="Century Gothic" w:hAnsi="Century Gothic" w:cstheme="minorHAnsi"/>
          <w:sz w:val="22"/>
          <w:szCs w:val="22"/>
        </w:rPr>
        <w:t xml:space="preserve">rojekt nebol dostatočne pripravený a zlyhal, napriek tomu, že ide o celosvetový trend starostlivosti o intenzívneho pacienta. Nasledujúca tabuľka demonštruje počet intenzívnych postelí na jednotlivých oddeleniach. Samostatne sa hospitalizácie na JIS </w:t>
      </w:r>
      <w:r w:rsidRPr="00B620DE">
        <w:rPr>
          <w:rFonts w:ascii="Century Gothic" w:hAnsi="Century Gothic" w:cstheme="minorHAnsi"/>
          <w:sz w:val="22"/>
          <w:szCs w:val="22"/>
        </w:rPr>
        <w:lastRenderedPageBreak/>
        <w:t xml:space="preserve">nie vždy vykazujú a zároveň pacienti z týchto oddelení vždy pokračujú v hospitalizácii na príslušnom oddelení. </w:t>
      </w:r>
    </w:p>
    <w:p w14:paraId="162A419E" w14:textId="25CCB2BC" w:rsidR="00943E84" w:rsidRDefault="00943E84" w:rsidP="00943E84">
      <w:pPr>
        <w:spacing w:line="240" w:lineRule="auto"/>
        <w:rPr>
          <w:rFonts w:ascii="Century Gothic" w:hAnsi="Century Gothic" w:cstheme="minorHAnsi"/>
          <w:sz w:val="22"/>
          <w:szCs w:val="22"/>
        </w:rPr>
      </w:pPr>
    </w:p>
    <w:p w14:paraId="38F18C65" w14:textId="2C9AFCA7" w:rsidR="00B84F10" w:rsidRPr="00610835" w:rsidRDefault="00B84F10" w:rsidP="00B84F10">
      <w:pPr>
        <w:spacing w:line="240" w:lineRule="auto"/>
        <w:rPr>
          <w:rFonts w:ascii="Century Gothic" w:hAnsi="Century Gothic"/>
          <w:i/>
          <w:sz w:val="20"/>
          <w:szCs w:val="20"/>
        </w:rPr>
      </w:pPr>
      <w:bookmarkStart w:id="86" w:name="_Toc145219921"/>
      <w:r w:rsidRPr="00610835">
        <w:rPr>
          <w:rFonts w:ascii="Century Gothic" w:hAnsi="Century Gothic"/>
          <w:i/>
          <w:sz w:val="20"/>
          <w:szCs w:val="20"/>
        </w:rPr>
        <w:t xml:space="preserve">Tabuľka </w:t>
      </w:r>
      <w:r w:rsidRPr="00610835">
        <w:rPr>
          <w:rFonts w:ascii="Century Gothic" w:hAnsi="Century Gothic"/>
          <w:i/>
          <w:sz w:val="20"/>
          <w:szCs w:val="20"/>
        </w:rPr>
        <w:fldChar w:fldCharType="begin"/>
      </w:r>
      <w:r w:rsidRPr="00610835">
        <w:rPr>
          <w:rFonts w:ascii="Century Gothic" w:hAnsi="Century Gothic"/>
          <w:i/>
          <w:sz w:val="20"/>
          <w:szCs w:val="20"/>
        </w:rPr>
        <w:instrText xml:space="preserve"> SEQ Tabuľka \* ARABIC </w:instrText>
      </w:r>
      <w:r w:rsidRPr="00610835">
        <w:rPr>
          <w:rFonts w:ascii="Century Gothic" w:hAnsi="Century Gothic"/>
          <w:i/>
          <w:sz w:val="20"/>
          <w:szCs w:val="20"/>
        </w:rPr>
        <w:fldChar w:fldCharType="separate"/>
      </w:r>
      <w:r w:rsidR="007D6A44">
        <w:rPr>
          <w:rFonts w:ascii="Century Gothic" w:hAnsi="Century Gothic"/>
          <w:i/>
          <w:noProof/>
          <w:sz w:val="20"/>
          <w:szCs w:val="20"/>
        </w:rPr>
        <w:t>20</w:t>
      </w:r>
      <w:r w:rsidRPr="00610835">
        <w:rPr>
          <w:rFonts w:ascii="Century Gothic" w:hAnsi="Century Gothic"/>
          <w:i/>
          <w:sz w:val="20"/>
          <w:szCs w:val="20"/>
        </w:rPr>
        <w:fldChar w:fldCharType="end"/>
      </w:r>
      <w:r w:rsidRPr="00610835">
        <w:rPr>
          <w:rFonts w:ascii="Century Gothic" w:hAnsi="Century Gothic"/>
          <w:i/>
          <w:sz w:val="20"/>
          <w:szCs w:val="20"/>
        </w:rPr>
        <w:t xml:space="preserve"> Počty lôžok vo </w:t>
      </w:r>
      <w:proofErr w:type="spellStart"/>
      <w:r w:rsidRPr="00610835">
        <w:rPr>
          <w:rFonts w:ascii="Century Gothic" w:hAnsi="Century Gothic"/>
          <w:i/>
          <w:sz w:val="20"/>
          <w:szCs w:val="20"/>
        </w:rPr>
        <w:t>FNsP</w:t>
      </w:r>
      <w:proofErr w:type="spellEnd"/>
      <w:r w:rsidRPr="00610835">
        <w:rPr>
          <w:rFonts w:ascii="Century Gothic" w:hAnsi="Century Gothic"/>
          <w:i/>
          <w:sz w:val="20"/>
          <w:szCs w:val="20"/>
        </w:rPr>
        <w:t xml:space="preserve"> Žilina</w:t>
      </w:r>
      <w:r w:rsidR="001E714D">
        <w:rPr>
          <w:rFonts w:ascii="Century Gothic" w:hAnsi="Century Gothic"/>
          <w:i/>
          <w:sz w:val="20"/>
          <w:szCs w:val="20"/>
        </w:rPr>
        <w:t xml:space="preserve"> (aktuálny stav)</w:t>
      </w:r>
      <w:bookmarkEnd w:id="86"/>
    </w:p>
    <w:tbl>
      <w:tblPr>
        <w:tblW w:w="6062" w:type="dxa"/>
        <w:tblCellMar>
          <w:left w:w="70" w:type="dxa"/>
          <w:right w:w="70" w:type="dxa"/>
        </w:tblCellMar>
        <w:tblLook w:val="04A0" w:firstRow="1" w:lastRow="0" w:firstColumn="1" w:lastColumn="0" w:noHBand="0" w:noVBand="1"/>
      </w:tblPr>
      <w:tblGrid>
        <w:gridCol w:w="4422"/>
        <w:gridCol w:w="820"/>
        <w:gridCol w:w="820"/>
      </w:tblGrid>
      <w:tr w:rsidR="004821F1" w:rsidRPr="006D242B" w14:paraId="5437F5C2" w14:textId="6E3DD3B4" w:rsidTr="004821F1">
        <w:trPr>
          <w:trHeight w:val="255"/>
        </w:trPr>
        <w:tc>
          <w:tcPr>
            <w:tcW w:w="4422" w:type="dxa"/>
            <w:tcBorders>
              <w:top w:val="single" w:sz="8" w:space="0" w:color="auto"/>
              <w:left w:val="single" w:sz="8" w:space="0" w:color="auto"/>
              <w:bottom w:val="nil"/>
              <w:right w:val="single" w:sz="8" w:space="0" w:color="auto"/>
            </w:tcBorders>
            <w:shd w:val="clear" w:color="000000" w:fill="C5D9F1"/>
            <w:noWrap/>
            <w:vAlign w:val="bottom"/>
            <w:hideMark/>
          </w:tcPr>
          <w:p w14:paraId="7C11CC4C"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 </w:t>
            </w:r>
          </w:p>
        </w:tc>
        <w:tc>
          <w:tcPr>
            <w:tcW w:w="820" w:type="dxa"/>
            <w:vMerge w:val="restart"/>
            <w:tcBorders>
              <w:top w:val="single" w:sz="8" w:space="0" w:color="auto"/>
              <w:left w:val="nil"/>
              <w:right w:val="single" w:sz="4" w:space="0" w:color="auto"/>
            </w:tcBorders>
            <w:shd w:val="clear" w:color="000000" w:fill="C5D9F1"/>
            <w:noWrap/>
            <w:vAlign w:val="center"/>
            <w:hideMark/>
          </w:tcPr>
          <w:p w14:paraId="51D785E1" w14:textId="034E59AB"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Počet</w:t>
            </w:r>
            <w:r>
              <w:rPr>
                <w:rFonts w:ascii="Arial CE" w:hAnsi="Arial CE" w:cs="Arial CE"/>
                <w:sz w:val="20"/>
                <w:szCs w:val="20"/>
              </w:rPr>
              <w:t xml:space="preserve"> lôžok</w:t>
            </w:r>
          </w:p>
        </w:tc>
        <w:tc>
          <w:tcPr>
            <w:tcW w:w="820" w:type="dxa"/>
            <w:vMerge w:val="restart"/>
            <w:tcBorders>
              <w:top w:val="single" w:sz="8" w:space="0" w:color="auto"/>
              <w:left w:val="nil"/>
              <w:right w:val="single" w:sz="4" w:space="0" w:color="auto"/>
            </w:tcBorders>
            <w:shd w:val="clear" w:color="000000" w:fill="C5D9F1"/>
            <w:vAlign w:val="center"/>
          </w:tcPr>
          <w:p w14:paraId="54EF9B32" w14:textId="2DA4A1CF" w:rsidR="004821F1" w:rsidRPr="006D242B" w:rsidRDefault="004821F1" w:rsidP="004821F1">
            <w:pPr>
              <w:spacing w:line="240" w:lineRule="auto"/>
              <w:jc w:val="center"/>
              <w:rPr>
                <w:rFonts w:ascii="Arial CE" w:hAnsi="Arial CE" w:cs="Arial CE"/>
                <w:sz w:val="20"/>
                <w:szCs w:val="20"/>
              </w:rPr>
            </w:pPr>
            <w:r>
              <w:rPr>
                <w:rFonts w:ascii="Arial CE" w:hAnsi="Arial CE" w:cs="Arial CE"/>
                <w:sz w:val="20"/>
                <w:szCs w:val="20"/>
              </w:rPr>
              <w:t>z toho JIS</w:t>
            </w:r>
          </w:p>
        </w:tc>
      </w:tr>
      <w:tr w:rsidR="004821F1" w:rsidRPr="006D242B" w14:paraId="20947C67" w14:textId="0721C248" w:rsidTr="00DD2200">
        <w:trPr>
          <w:trHeight w:val="270"/>
        </w:trPr>
        <w:tc>
          <w:tcPr>
            <w:tcW w:w="4422" w:type="dxa"/>
            <w:tcBorders>
              <w:top w:val="nil"/>
              <w:left w:val="single" w:sz="8" w:space="0" w:color="auto"/>
              <w:bottom w:val="single" w:sz="8" w:space="0" w:color="auto"/>
              <w:right w:val="single" w:sz="8" w:space="0" w:color="auto"/>
            </w:tcBorders>
            <w:shd w:val="clear" w:color="000000" w:fill="C5D9F1"/>
            <w:noWrap/>
            <w:vAlign w:val="bottom"/>
            <w:hideMark/>
          </w:tcPr>
          <w:p w14:paraId="01DBF856"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Oddelenie</w:t>
            </w:r>
          </w:p>
        </w:tc>
        <w:tc>
          <w:tcPr>
            <w:tcW w:w="820" w:type="dxa"/>
            <w:vMerge/>
            <w:tcBorders>
              <w:left w:val="nil"/>
              <w:bottom w:val="single" w:sz="8" w:space="0" w:color="auto"/>
              <w:right w:val="single" w:sz="4" w:space="0" w:color="auto"/>
            </w:tcBorders>
            <w:shd w:val="clear" w:color="000000" w:fill="C5D9F1"/>
            <w:noWrap/>
            <w:vAlign w:val="bottom"/>
            <w:hideMark/>
          </w:tcPr>
          <w:p w14:paraId="6ED29B16" w14:textId="13308E91" w:rsidR="004821F1" w:rsidRPr="006D242B" w:rsidRDefault="004821F1" w:rsidP="006D242B">
            <w:pPr>
              <w:spacing w:line="240" w:lineRule="auto"/>
              <w:jc w:val="left"/>
              <w:rPr>
                <w:rFonts w:ascii="Arial CE" w:hAnsi="Arial CE" w:cs="Arial CE"/>
                <w:sz w:val="20"/>
                <w:szCs w:val="20"/>
              </w:rPr>
            </w:pPr>
          </w:p>
        </w:tc>
        <w:tc>
          <w:tcPr>
            <w:tcW w:w="820" w:type="dxa"/>
            <w:vMerge/>
            <w:tcBorders>
              <w:left w:val="nil"/>
              <w:bottom w:val="single" w:sz="8" w:space="0" w:color="auto"/>
              <w:right w:val="single" w:sz="4" w:space="0" w:color="auto"/>
            </w:tcBorders>
            <w:shd w:val="clear" w:color="000000" w:fill="C5D9F1"/>
          </w:tcPr>
          <w:p w14:paraId="3526F3F6" w14:textId="77777777" w:rsidR="004821F1" w:rsidRPr="006D242B" w:rsidRDefault="004821F1" w:rsidP="006D242B">
            <w:pPr>
              <w:spacing w:line="240" w:lineRule="auto"/>
              <w:jc w:val="left"/>
              <w:rPr>
                <w:rFonts w:ascii="Arial CE" w:hAnsi="Arial CE" w:cs="Arial CE"/>
                <w:sz w:val="20"/>
                <w:szCs w:val="20"/>
              </w:rPr>
            </w:pPr>
          </w:p>
        </w:tc>
      </w:tr>
      <w:tr w:rsidR="004821F1" w:rsidRPr="006D242B" w14:paraId="35BBF6B7" w14:textId="3269F9DD"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7B754B10"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Chirurgia</w:t>
            </w:r>
          </w:p>
        </w:tc>
        <w:tc>
          <w:tcPr>
            <w:tcW w:w="820" w:type="dxa"/>
            <w:tcBorders>
              <w:top w:val="nil"/>
              <w:left w:val="nil"/>
              <w:bottom w:val="single" w:sz="4" w:space="0" w:color="auto"/>
              <w:right w:val="single" w:sz="4" w:space="0" w:color="auto"/>
            </w:tcBorders>
            <w:shd w:val="clear" w:color="000000" w:fill="FFFFFF"/>
            <w:noWrap/>
            <w:vAlign w:val="center"/>
            <w:hideMark/>
          </w:tcPr>
          <w:p w14:paraId="5DCDA83C"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60</w:t>
            </w:r>
          </w:p>
        </w:tc>
        <w:tc>
          <w:tcPr>
            <w:tcW w:w="820" w:type="dxa"/>
            <w:tcBorders>
              <w:top w:val="nil"/>
              <w:left w:val="nil"/>
              <w:bottom w:val="single" w:sz="4" w:space="0" w:color="auto"/>
              <w:right w:val="single" w:sz="4" w:space="0" w:color="auto"/>
            </w:tcBorders>
            <w:shd w:val="clear" w:color="000000" w:fill="FFFFFF"/>
            <w:vAlign w:val="center"/>
          </w:tcPr>
          <w:p w14:paraId="26A3506E" w14:textId="4A7D52C4"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10</w:t>
            </w:r>
          </w:p>
        </w:tc>
      </w:tr>
      <w:tr w:rsidR="004821F1" w:rsidRPr="006D242B" w14:paraId="18B9703D" w14:textId="625147D4"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06F49A0F"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Centrum pre liečbu drogových závislostí</w:t>
            </w:r>
          </w:p>
        </w:tc>
        <w:tc>
          <w:tcPr>
            <w:tcW w:w="820" w:type="dxa"/>
            <w:tcBorders>
              <w:top w:val="nil"/>
              <w:left w:val="nil"/>
              <w:bottom w:val="single" w:sz="4" w:space="0" w:color="auto"/>
              <w:right w:val="single" w:sz="4" w:space="0" w:color="auto"/>
            </w:tcBorders>
            <w:shd w:val="clear" w:color="000000" w:fill="FFFFFF"/>
            <w:noWrap/>
            <w:vAlign w:val="center"/>
            <w:hideMark/>
          </w:tcPr>
          <w:p w14:paraId="70C6E12D"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32</w:t>
            </w:r>
          </w:p>
        </w:tc>
        <w:tc>
          <w:tcPr>
            <w:tcW w:w="820" w:type="dxa"/>
            <w:tcBorders>
              <w:top w:val="nil"/>
              <w:left w:val="nil"/>
              <w:bottom w:val="single" w:sz="4" w:space="0" w:color="auto"/>
              <w:right w:val="single" w:sz="4" w:space="0" w:color="auto"/>
            </w:tcBorders>
            <w:shd w:val="clear" w:color="000000" w:fill="FFFFFF"/>
            <w:vAlign w:val="center"/>
          </w:tcPr>
          <w:p w14:paraId="633D6EDF"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39867EBD" w14:textId="46D35F91"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D13956D" w14:textId="5A804AF2" w:rsidR="004821F1" w:rsidRPr="006D242B" w:rsidRDefault="004821F1" w:rsidP="006D242B">
            <w:pPr>
              <w:spacing w:line="240" w:lineRule="auto"/>
              <w:jc w:val="left"/>
              <w:rPr>
                <w:rFonts w:ascii="Arial CE" w:hAnsi="Arial CE" w:cs="Arial CE"/>
                <w:sz w:val="20"/>
                <w:szCs w:val="20"/>
              </w:rPr>
            </w:pPr>
            <w:r>
              <w:rPr>
                <w:rFonts w:ascii="Arial CE" w:hAnsi="Arial CE" w:cs="Arial CE"/>
                <w:sz w:val="20"/>
                <w:szCs w:val="20"/>
              </w:rPr>
              <w:t>Pe</w:t>
            </w:r>
            <w:r w:rsidRPr="006D242B">
              <w:rPr>
                <w:rFonts w:ascii="Arial CE" w:hAnsi="Arial CE" w:cs="Arial CE"/>
                <w:sz w:val="20"/>
                <w:szCs w:val="20"/>
              </w:rPr>
              <w:t>diatria</w:t>
            </w:r>
          </w:p>
        </w:tc>
        <w:tc>
          <w:tcPr>
            <w:tcW w:w="820" w:type="dxa"/>
            <w:tcBorders>
              <w:top w:val="nil"/>
              <w:left w:val="nil"/>
              <w:bottom w:val="single" w:sz="4" w:space="0" w:color="auto"/>
              <w:right w:val="single" w:sz="4" w:space="0" w:color="auto"/>
            </w:tcBorders>
            <w:shd w:val="clear" w:color="000000" w:fill="FFFFFF"/>
            <w:noWrap/>
            <w:vAlign w:val="center"/>
            <w:hideMark/>
          </w:tcPr>
          <w:p w14:paraId="13583218"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35</w:t>
            </w:r>
          </w:p>
        </w:tc>
        <w:tc>
          <w:tcPr>
            <w:tcW w:w="820" w:type="dxa"/>
            <w:tcBorders>
              <w:top w:val="nil"/>
              <w:left w:val="nil"/>
              <w:bottom w:val="single" w:sz="4" w:space="0" w:color="auto"/>
              <w:right w:val="single" w:sz="4" w:space="0" w:color="auto"/>
            </w:tcBorders>
            <w:shd w:val="clear" w:color="000000" w:fill="FFFFFF"/>
            <w:vAlign w:val="center"/>
          </w:tcPr>
          <w:p w14:paraId="36060F80" w14:textId="6F00BA0C" w:rsidR="004821F1" w:rsidRPr="006D242B" w:rsidRDefault="00605F0F" w:rsidP="004821F1">
            <w:pPr>
              <w:spacing w:line="240" w:lineRule="auto"/>
              <w:jc w:val="center"/>
              <w:rPr>
                <w:rFonts w:ascii="Arial CE" w:hAnsi="Arial CE" w:cs="Arial CE"/>
                <w:sz w:val="20"/>
                <w:szCs w:val="20"/>
              </w:rPr>
            </w:pPr>
            <w:r>
              <w:rPr>
                <w:rFonts w:ascii="Arial CE" w:hAnsi="Arial CE" w:cs="Arial CE"/>
                <w:sz w:val="20"/>
                <w:szCs w:val="20"/>
              </w:rPr>
              <w:t>6</w:t>
            </w:r>
          </w:p>
        </w:tc>
      </w:tr>
      <w:tr w:rsidR="004821F1" w:rsidRPr="006D242B" w14:paraId="3D5651C4" w14:textId="218D6277"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77B8DF17"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Dom ošetrovateľskej starostlivosti</w:t>
            </w:r>
          </w:p>
        </w:tc>
        <w:tc>
          <w:tcPr>
            <w:tcW w:w="820" w:type="dxa"/>
            <w:tcBorders>
              <w:top w:val="nil"/>
              <w:left w:val="nil"/>
              <w:bottom w:val="single" w:sz="4" w:space="0" w:color="auto"/>
              <w:right w:val="single" w:sz="4" w:space="0" w:color="auto"/>
            </w:tcBorders>
            <w:shd w:val="clear" w:color="000000" w:fill="FFFFFF"/>
            <w:noWrap/>
            <w:vAlign w:val="center"/>
            <w:hideMark/>
          </w:tcPr>
          <w:p w14:paraId="0A536BAC"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22</w:t>
            </w:r>
          </w:p>
        </w:tc>
        <w:tc>
          <w:tcPr>
            <w:tcW w:w="820" w:type="dxa"/>
            <w:tcBorders>
              <w:top w:val="nil"/>
              <w:left w:val="nil"/>
              <w:bottom w:val="single" w:sz="4" w:space="0" w:color="auto"/>
              <w:right w:val="single" w:sz="4" w:space="0" w:color="auto"/>
            </w:tcBorders>
            <w:shd w:val="clear" w:color="000000" w:fill="FFFFFF"/>
            <w:vAlign w:val="center"/>
          </w:tcPr>
          <w:p w14:paraId="48073537"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1C8114F1" w14:textId="57914B7B"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338BB375"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Gynekológia</w:t>
            </w:r>
          </w:p>
        </w:tc>
        <w:tc>
          <w:tcPr>
            <w:tcW w:w="820" w:type="dxa"/>
            <w:tcBorders>
              <w:top w:val="nil"/>
              <w:left w:val="nil"/>
              <w:bottom w:val="single" w:sz="4" w:space="0" w:color="auto"/>
              <w:right w:val="single" w:sz="4" w:space="0" w:color="auto"/>
            </w:tcBorders>
            <w:shd w:val="clear" w:color="000000" w:fill="FFFFFF"/>
            <w:noWrap/>
            <w:vAlign w:val="center"/>
            <w:hideMark/>
          </w:tcPr>
          <w:p w14:paraId="11704E86"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60</w:t>
            </w:r>
          </w:p>
        </w:tc>
        <w:tc>
          <w:tcPr>
            <w:tcW w:w="820" w:type="dxa"/>
            <w:tcBorders>
              <w:top w:val="nil"/>
              <w:left w:val="nil"/>
              <w:bottom w:val="single" w:sz="4" w:space="0" w:color="auto"/>
              <w:right w:val="single" w:sz="4" w:space="0" w:color="auto"/>
            </w:tcBorders>
            <w:shd w:val="clear" w:color="000000" w:fill="FFFFFF"/>
            <w:vAlign w:val="center"/>
          </w:tcPr>
          <w:p w14:paraId="7C0998FA" w14:textId="2371456C" w:rsidR="004821F1" w:rsidRPr="006D242B" w:rsidRDefault="00605F0F" w:rsidP="004821F1">
            <w:pPr>
              <w:spacing w:line="240" w:lineRule="auto"/>
              <w:jc w:val="center"/>
              <w:rPr>
                <w:rFonts w:ascii="Arial CE" w:hAnsi="Arial CE" w:cs="Arial CE"/>
                <w:sz w:val="20"/>
                <w:szCs w:val="20"/>
              </w:rPr>
            </w:pPr>
            <w:r>
              <w:rPr>
                <w:rFonts w:ascii="Arial CE" w:hAnsi="Arial CE" w:cs="Arial CE"/>
                <w:sz w:val="20"/>
                <w:szCs w:val="20"/>
              </w:rPr>
              <w:t>5</w:t>
            </w:r>
          </w:p>
        </w:tc>
      </w:tr>
      <w:tr w:rsidR="004821F1" w:rsidRPr="006D242B" w14:paraId="698F8970" w14:textId="173EB339"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F0D261D"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Vnútorné lekárstvo</w:t>
            </w:r>
          </w:p>
        </w:tc>
        <w:tc>
          <w:tcPr>
            <w:tcW w:w="820" w:type="dxa"/>
            <w:tcBorders>
              <w:top w:val="nil"/>
              <w:left w:val="nil"/>
              <w:bottom w:val="single" w:sz="4" w:space="0" w:color="auto"/>
              <w:right w:val="single" w:sz="4" w:space="0" w:color="auto"/>
            </w:tcBorders>
            <w:shd w:val="clear" w:color="000000" w:fill="FFFFFF"/>
            <w:noWrap/>
            <w:vAlign w:val="center"/>
            <w:hideMark/>
          </w:tcPr>
          <w:p w14:paraId="567BE1BA"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83</w:t>
            </w:r>
          </w:p>
        </w:tc>
        <w:tc>
          <w:tcPr>
            <w:tcW w:w="820" w:type="dxa"/>
            <w:tcBorders>
              <w:top w:val="nil"/>
              <w:left w:val="nil"/>
              <w:bottom w:val="single" w:sz="4" w:space="0" w:color="auto"/>
              <w:right w:val="single" w:sz="4" w:space="0" w:color="auto"/>
            </w:tcBorders>
            <w:shd w:val="clear" w:color="000000" w:fill="FFFFFF"/>
            <w:vAlign w:val="center"/>
          </w:tcPr>
          <w:p w14:paraId="5B6E43AF"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44BF2727" w14:textId="30277055"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42988AF8"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Vnútorné lekárstvo</w:t>
            </w:r>
          </w:p>
        </w:tc>
        <w:tc>
          <w:tcPr>
            <w:tcW w:w="820" w:type="dxa"/>
            <w:tcBorders>
              <w:top w:val="nil"/>
              <w:left w:val="nil"/>
              <w:bottom w:val="single" w:sz="4" w:space="0" w:color="auto"/>
              <w:right w:val="single" w:sz="4" w:space="0" w:color="auto"/>
            </w:tcBorders>
            <w:shd w:val="clear" w:color="000000" w:fill="FFFFFF"/>
            <w:noWrap/>
            <w:vAlign w:val="center"/>
            <w:hideMark/>
          </w:tcPr>
          <w:p w14:paraId="71181A8A"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68</w:t>
            </w:r>
          </w:p>
        </w:tc>
        <w:tc>
          <w:tcPr>
            <w:tcW w:w="820" w:type="dxa"/>
            <w:tcBorders>
              <w:top w:val="nil"/>
              <w:left w:val="nil"/>
              <w:bottom w:val="single" w:sz="4" w:space="0" w:color="auto"/>
              <w:right w:val="single" w:sz="4" w:space="0" w:color="auto"/>
            </w:tcBorders>
            <w:shd w:val="clear" w:color="000000" w:fill="FFFFFF"/>
            <w:vAlign w:val="center"/>
          </w:tcPr>
          <w:p w14:paraId="740D4BF6" w14:textId="0B30ADAE" w:rsidR="004821F1" w:rsidRPr="006D242B" w:rsidRDefault="00605F0F" w:rsidP="004821F1">
            <w:pPr>
              <w:spacing w:line="240" w:lineRule="auto"/>
              <w:jc w:val="center"/>
              <w:rPr>
                <w:rFonts w:ascii="Arial CE" w:hAnsi="Arial CE" w:cs="Arial CE"/>
                <w:sz w:val="20"/>
                <w:szCs w:val="20"/>
              </w:rPr>
            </w:pPr>
            <w:r>
              <w:rPr>
                <w:rFonts w:ascii="Arial CE" w:hAnsi="Arial CE" w:cs="Arial CE"/>
                <w:sz w:val="20"/>
                <w:szCs w:val="20"/>
              </w:rPr>
              <w:t>15</w:t>
            </w:r>
          </w:p>
        </w:tc>
      </w:tr>
      <w:tr w:rsidR="004821F1" w:rsidRPr="006D242B" w14:paraId="36BB63AA" w14:textId="3D280977"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744DE94B"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Liečebňa dlhodobo chorých</w:t>
            </w:r>
          </w:p>
        </w:tc>
        <w:tc>
          <w:tcPr>
            <w:tcW w:w="820" w:type="dxa"/>
            <w:tcBorders>
              <w:top w:val="nil"/>
              <w:left w:val="nil"/>
              <w:bottom w:val="single" w:sz="4" w:space="0" w:color="auto"/>
              <w:right w:val="single" w:sz="4" w:space="0" w:color="auto"/>
            </w:tcBorders>
            <w:shd w:val="clear" w:color="000000" w:fill="FFFFFF"/>
            <w:noWrap/>
            <w:vAlign w:val="center"/>
            <w:hideMark/>
          </w:tcPr>
          <w:p w14:paraId="6BFBD230"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56</w:t>
            </w:r>
          </w:p>
        </w:tc>
        <w:tc>
          <w:tcPr>
            <w:tcW w:w="820" w:type="dxa"/>
            <w:tcBorders>
              <w:top w:val="nil"/>
              <w:left w:val="nil"/>
              <w:bottom w:val="single" w:sz="4" w:space="0" w:color="auto"/>
              <w:right w:val="single" w:sz="4" w:space="0" w:color="auto"/>
            </w:tcBorders>
            <w:shd w:val="clear" w:color="000000" w:fill="FFFFFF"/>
            <w:vAlign w:val="center"/>
          </w:tcPr>
          <w:p w14:paraId="43FFDFB0"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477CEECF" w14:textId="4A354B63"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4DEB3DB5" w14:textId="53DA3CB6"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Neurochiru</w:t>
            </w:r>
            <w:r>
              <w:rPr>
                <w:rFonts w:ascii="Arial CE" w:hAnsi="Arial CE" w:cs="Arial CE"/>
                <w:sz w:val="20"/>
                <w:szCs w:val="20"/>
              </w:rPr>
              <w:t>r</w:t>
            </w:r>
            <w:r w:rsidRPr="006D242B">
              <w:rPr>
                <w:rFonts w:ascii="Arial CE" w:hAnsi="Arial CE" w:cs="Arial CE"/>
                <w:sz w:val="20"/>
                <w:szCs w:val="20"/>
              </w:rPr>
              <w:t>gia</w:t>
            </w:r>
          </w:p>
        </w:tc>
        <w:tc>
          <w:tcPr>
            <w:tcW w:w="820" w:type="dxa"/>
            <w:tcBorders>
              <w:top w:val="nil"/>
              <w:left w:val="nil"/>
              <w:bottom w:val="single" w:sz="4" w:space="0" w:color="auto"/>
              <w:right w:val="single" w:sz="4" w:space="0" w:color="auto"/>
            </w:tcBorders>
            <w:shd w:val="clear" w:color="000000" w:fill="FFFFFF"/>
            <w:noWrap/>
            <w:vAlign w:val="center"/>
            <w:hideMark/>
          </w:tcPr>
          <w:p w14:paraId="54AB377F"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25</w:t>
            </w:r>
          </w:p>
        </w:tc>
        <w:tc>
          <w:tcPr>
            <w:tcW w:w="820" w:type="dxa"/>
            <w:tcBorders>
              <w:top w:val="nil"/>
              <w:left w:val="nil"/>
              <w:bottom w:val="single" w:sz="4" w:space="0" w:color="auto"/>
              <w:right w:val="single" w:sz="4" w:space="0" w:color="auto"/>
            </w:tcBorders>
            <w:shd w:val="clear" w:color="000000" w:fill="FFFFFF"/>
            <w:vAlign w:val="center"/>
          </w:tcPr>
          <w:p w14:paraId="7999F6BE" w14:textId="13882A0C"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6</w:t>
            </w:r>
          </w:p>
        </w:tc>
      </w:tr>
      <w:tr w:rsidR="004821F1" w:rsidRPr="006D242B" w14:paraId="33416CBE" w14:textId="229BD8CD"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EE255B7"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Neurológia</w:t>
            </w:r>
          </w:p>
        </w:tc>
        <w:tc>
          <w:tcPr>
            <w:tcW w:w="820" w:type="dxa"/>
            <w:tcBorders>
              <w:top w:val="nil"/>
              <w:left w:val="nil"/>
              <w:bottom w:val="single" w:sz="4" w:space="0" w:color="auto"/>
              <w:right w:val="single" w:sz="4" w:space="0" w:color="auto"/>
            </w:tcBorders>
            <w:shd w:val="clear" w:color="000000" w:fill="FFFFFF"/>
            <w:noWrap/>
            <w:vAlign w:val="center"/>
            <w:hideMark/>
          </w:tcPr>
          <w:p w14:paraId="6BFF1123"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36</w:t>
            </w:r>
          </w:p>
        </w:tc>
        <w:tc>
          <w:tcPr>
            <w:tcW w:w="820" w:type="dxa"/>
            <w:tcBorders>
              <w:top w:val="nil"/>
              <w:left w:val="nil"/>
              <w:bottom w:val="single" w:sz="4" w:space="0" w:color="auto"/>
              <w:right w:val="single" w:sz="4" w:space="0" w:color="auto"/>
            </w:tcBorders>
            <w:shd w:val="clear" w:color="000000" w:fill="FFFFFF"/>
            <w:vAlign w:val="center"/>
          </w:tcPr>
          <w:p w14:paraId="4FD8FB07" w14:textId="5AADB355"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5</w:t>
            </w:r>
          </w:p>
        </w:tc>
      </w:tr>
      <w:tr w:rsidR="004821F1" w:rsidRPr="006D242B" w14:paraId="6A493559" w14:textId="52230B1E"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6FF586C5"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Novorodenecké oddelenie</w:t>
            </w:r>
          </w:p>
        </w:tc>
        <w:tc>
          <w:tcPr>
            <w:tcW w:w="820" w:type="dxa"/>
            <w:tcBorders>
              <w:top w:val="nil"/>
              <w:left w:val="nil"/>
              <w:bottom w:val="single" w:sz="4" w:space="0" w:color="auto"/>
              <w:right w:val="single" w:sz="4" w:space="0" w:color="auto"/>
            </w:tcBorders>
            <w:shd w:val="clear" w:color="000000" w:fill="FFFFFF"/>
            <w:noWrap/>
            <w:vAlign w:val="center"/>
            <w:hideMark/>
          </w:tcPr>
          <w:p w14:paraId="394013ED"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24</w:t>
            </w:r>
          </w:p>
        </w:tc>
        <w:tc>
          <w:tcPr>
            <w:tcW w:w="820" w:type="dxa"/>
            <w:tcBorders>
              <w:top w:val="nil"/>
              <w:left w:val="nil"/>
              <w:bottom w:val="single" w:sz="4" w:space="0" w:color="auto"/>
              <w:right w:val="single" w:sz="4" w:space="0" w:color="auto"/>
            </w:tcBorders>
            <w:shd w:val="clear" w:color="000000" w:fill="FFFFFF"/>
            <w:vAlign w:val="center"/>
          </w:tcPr>
          <w:p w14:paraId="256E53FE"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0B45EA1E" w14:textId="149905CD"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59097C3"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Novorodenecká JIS</w:t>
            </w:r>
          </w:p>
        </w:tc>
        <w:tc>
          <w:tcPr>
            <w:tcW w:w="820" w:type="dxa"/>
            <w:tcBorders>
              <w:top w:val="nil"/>
              <w:left w:val="nil"/>
              <w:bottom w:val="single" w:sz="4" w:space="0" w:color="auto"/>
              <w:right w:val="single" w:sz="4" w:space="0" w:color="auto"/>
            </w:tcBorders>
            <w:shd w:val="clear" w:color="000000" w:fill="FFFFFF"/>
            <w:noWrap/>
            <w:vAlign w:val="center"/>
            <w:hideMark/>
          </w:tcPr>
          <w:p w14:paraId="671AD40D"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9</w:t>
            </w:r>
          </w:p>
        </w:tc>
        <w:tc>
          <w:tcPr>
            <w:tcW w:w="820" w:type="dxa"/>
            <w:tcBorders>
              <w:top w:val="nil"/>
              <w:left w:val="nil"/>
              <w:bottom w:val="single" w:sz="4" w:space="0" w:color="auto"/>
              <w:right w:val="single" w:sz="4" w:space="0" w:color="auto"/>
            </w:tcBorders>
            <w:shd w:val="clear" w:color="000000" w:fill="FFFFFF"/>
            <w:vAlign w:val="center"/>
          </w:tcPr>
          <w:p w14:paraId="4D804ABC" w14:textId="21000ED3"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9</w:t>
            </w:r>
          </w:p>
        </w:tc>
      </w:tr>
      <w:tr w:rsidR="004821F1" w:rsidRPr="006D242B" w14:paraId="24D1A38F" w14:textId="4DBFF027"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43329E3" w14:textId="3AE4E159" w:rsidR="004821F1" w:rsidRPr="006D242B" w:rsidRDefault="004821F1" w:rsidP="006D242B">
            <w:pPr>
              <w:spacing w:line="240" w:lineRule="auto"/>
              <w:jc w:val="left"/>
              <w:rPr>
                <w:rFonts w:ascii="Arial CE" w:hAnsi="Arial CE" w:cs="Arial CE"/>
                <w:sz w:val="20"/>
                <w:szCs w:val="20"/>
              </w:rPr>
            </w:pPr>
            <w:r>
              <w:rPr>
                <w:rFonts w:ascii="Arial CE" w:hAnsi="Arial CE" w:cs="Arial CE"/>
                <w:sz w:val="20"/>
                <w:szCs w:val="20"/>
              </w:rPr>
              <w:t xml:space="preserve">Oddelenie </w:t>
            </w:r>
            <w:proofErr w:type="spellStart"/>
            <w:r>
              <w:rPr>
                <w:rFonts w:ascii="Arial CE" w:hAnsi="Arial CE" w:cs="Arial CE"/>
                <w:sz w:val="20"/>
                <w:szCs w:val="20"/>
              </w:rPr>
              <w:t>anest</w:t>
            </w:r>
            <w:r w:rsidRPr="006D242B">
              <w:rPr>
                <w:rFonts w:ascii="Arial CE" w:hAnsi="Arial CE" w:cs="Arial CE"/>
                <w:sz w:val="20"/>
                <w:szCs w:val="20"/>
              </w:rPr>
              <w:t>eziológie</w:t>
            </w:r>
            <w:proofErr w:type="spellEnd"/>
            <w:r w:rsidRPr="006D242B">
              <w:rPr>
                <w:rFonts w:ascii="Arial CE" w:hAnsi="Arial CE" w:cs="Arial CE"/>
                <w:sz w:val="20"/>
                <w:szCs w:val="20"/>
              </w:rPr>
              <w:t xml:space="preserve"> a intenzívnej medicíny</w:t>
            </w:r>
          </w:p>
        </w:tc>
        <w:tc>
          <w:tcPr>
            <w:tcW w:w="820" w:type="dxa"/>
            <w:tcBorders>
              <w:top w:val="nil"/>
              <w:left w:val="nil"/>
              <w:bottom w:val="single" w:sz="4" w:space="0" w:color="auto"/>
              <w:right w:val="single" w:sz="4" w:space="0" w:color="auto"/>
            </w:tcBorders>
            <w:shd w:val="clear" w:color="000000" w:fill="FFFFFF"/>
            <w:noWrap/>
            <w:vAlign w:val="center"/>
            <w:hideMark/>
          </w:tcPr>
          <w:p w14:paraId="09DAAAA8"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8</w:t>
            </w:r>
          </w:p>
        </w:tc>
        <w:tc>
          <w:tcPr>
            <w:tcW w:w="820" w:type="dxa"/>
            <w:tcBorders>
              <w:top w:val="nil"/>
              <w:left w:val="nil"/>
              <w:bottom w:val="single" w:sz="4" w:space="0" w:color="auto"/>
              <w:right w:val="single" w:sz="4" w:space="0" w:color="auto"/>
            </w:tcBorders>
            <w:shd w:val="clear" w:color="000000" w:fill="FFFFFF"/>
            <w:vAlign w:val="center"/>
          </w:tcPr>
          <w:p w14:paraId="576CEA8C"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0C8D5AFB" w14:textId="086EE9A9"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97C6517"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Očné</w:t>
            </w:r>
          </w:p>
        </w:tc>
        <w:tc>
          <w:tcPr>
            <w:tcW w:w="820" w:type="dxa"/>
            <w:tcBorders>
              <w:top w:val="nil"/>
              <w:left w:val="nil"/>
              <w:bottom w:val="single" w:sz="4" w:space="0" w:color="auto"/>
              <w:right w:val="single" w:sz="4" w:space="0" w:color="auto"/>
            </w:tcBorders>
            <w:shd w:val="clear" w:color="000000" w:fill="FFFFFF"/>
            <w:noWrap/>
            <w:vAlign w:val="center"/>
            <w:hideMark/>
          </w:tcPr>
          <w:p w14:paraId="543EE96A"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10</w:t>
            </w:r>
          </w:p>
        </w:tc>
        <w:tc>
          <w:tcPr>
            <w:tcW w:w="820" w:type="dxa"/>
            <w:tcBorders>
              <w:top w:val="nil"/>
              <w:left w:val="nil"/>
              <w:bottom w:val="single" w:sz="4" w:space="0" w:color="auto"/>
              <w:right w:val="single" w:sz="4" w:space="0" w:color="auto"/>
            </w:tcBorders>
            <w:shd w:val="clear" w:color="000000" w:fill="FFFFFF"/>
            <w:vAlign w:val="center"/>
          </w:tcPr>
          <w:p w14:paraId="2206A1FB"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5902091A" w14:textId="7380ECC0"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25E81000" w14:textId="77777777" w:rsidR="004821F1" w:rsidRPr="006D242B" w:rsidRDefault="004821F1" w:rsidP="006D242B">
            <w:pPr>
              <w:spacing w:line="240" w:lineRule="auto"/>
              <w:jc w:val="left"/>
              <w:rPr>
                <w:rFonts w:ascii="Arial CE" w:hAnsi="Arial CE" w:cs="Arial CE"/>
                <w:sz w:val="20"/>
                <w:szCs w:val="20"/>
              </w:rPr>
            </w:pPr>
            <w:proofErr w:type="spellStart"/>
            <w:r w:rsidRPr="006D242B">
              <w:rPr>
                <w:rFonts w:ascii="Arial CE" w:hAnsi="Arial CE" w:cs="Arial CE"/>
                <w:sz w:val="20"/>
                <w:szCs w:val="20"/>
              </w:rPr>
              <w:t>Otorinolaryngológia</w:t>
            </w:r>
            <w:proofErr w:type="spellEnd"/>
            <w:r w:rsidRPr="006D242B">
              <w:rPr>
                <w:rFonts w:ascii="Arial CE" w:hAnsi="Arial CE" w:cs="Arial CE"/>
                <w:sz w:val="20"/>
                <w:szCs w:val="20"/>
              </w:rPr>
              <w:t xml:space="preserve"> a chirurgia hlavy a krku</w:t>
            </w:r>
          </w:p>
        </w:tc>
        <w:tc>
          <w:tcPr>
            <w:tcW w:w="820" w:type="dxa"/>
            <w:tcBorders>
              <w:top w:val="nil"/>
              <w:left w:val="nil"/>
              <w:bottom w:val="single" w:sz="4" w:space="0" w:color="auto"/>
              <w:right w:val="single" w:sz="4" w:space="0" w:color="auto"/>
            </w:tcBorders>
            <w:shd w:val="clear" w:color="000000" w:fill="FFFFFF"/>
            <w:noWrap/>
            <w:vAlign w:val="center"/>
            <w:hideMark/>
          </w:tcPr>
          <w:p w14:paraId="52BA880C"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9</w:t>
            </w:r>
          </w:p>
        </w:tc>
        <w:tc>
          <w:tcPr>
            <w:tcW w:w="820" w:type="dxa"/>
            <w:tcBorders>
              <w:top w:val="nil"/>
              <w:left w:val="nil"/>
              <w:bottom w:val="single" w:sz="4" w:space="0" w:color="auto"/>
              <w:right w:val="single" w:sz="4" w:space="0" w:color="auto"/>
            </w:tcBorders>
            <w:shd w:val="clear" w:color="000000" w:fill="FFFFFF"/>
            <w:vAlign w:val="center"/>
          </w:tcPr>
          <w:p w14:paraId="34078866"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66130CCE" w14:textId="20087445"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3E2414FE"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Ortopédia</w:t>
            </w:r>
          </w:p>
        </w:tc>
        <w:tc>
          <w:tcPr>
            <w:tcW w:w="820" w:type="dxa"/>
            <w:tcBorders>
              <w:top w:val="nil"/>
              <w:left w:val="nil"/>
              <w:bottom w:val="single" w:sz="4" w:space="0" w:color="auto"/>
              <w:right w:val="single" w:sz="4" w:space="0" w:color="auto"/>
            </w:tcBorders>
            <w:shd w:val="clear" w:color="000000" w:fill="FFFFFF"/>
            <w:noWrap/>
            <w:vAlign w:val="center"/>
            <w:hideMark/>
          </w:tcPr>
          <w:p w14:paraId="0946395B"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21</w:t>
            </w:r>
          </w:p>
        </w:tc>
        <w:tc>
          <w:tcPr>
            <w:tcW w:w="820" w:type="dxa"/>
            <w:tcBorders>
              <w:top w:val="nil"/>
              <w:left w:val="nil"/>
              <w:bottom w:val="single" w:sz="4" w:space="0" w:color="auto"/>
              <w:right w:val="single" w:sz="4" w:space="0" w:color="auto"/>
            </w:tcBorders>
            <w:shd w:val="clear" w:color="000000" w:fill="FFFFFF"/>
            <w:vAlign w:val="center"/>
          </w:tcPr>
          <w:p w14:paraId="7F612BEB" w14:textId="55176F0F"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5</w:t>
            </w:r>
          </w:p>
        </w:tc>
      </w:tr>
      <w:tr w:rsidR="004821F1" w:rsidRPr="006D242B" w14:paraId="5B8BD0B9" w14:textId="4DDEC0B2"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03DF363F"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Ortopédia - detská</w:t>
            </w:r>
          </w:p>
        </w:tc>
        <w:tc>
          <w:tcPr>
            <w:tcW w:w="820" w:type="dxa"/>
            <w:tcBorders>
              <w:top w:val="nil"/>
              <w:left w:val="nil"/>
              <w:bottom w:val="single" w:sz="4" w:space="0" w:color="auto"/>
              <w:right w:val="single" w:sz="4" w:space="0" w:color="auto"/>
            </w:tcBorders>
            <w:shd w:val="clear" w:color="000000" w:fill="FFFFFF"/>
            <w:noWrap/>
            <w:vAlign w:val="center"/>
            <w:hideMark/>
          </w:tcPr>
          <w:p w14:paraId="2530C895"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17</w:t>
            </w:r>
          </w:p>
        </w:tc>
        <w:tc>
          <w:tcPr>
            <w:tcW w:w="820" w:type="dxa"/>
            <w:tcBorders>
              <w:top w:val="nil"/>
              <w:left w:val="nil"/>
              <w:bottom w:val="single" w:sz="4" w:space="0" w:color="auto"/>
              <w:right w:val="single" w:sz="4" w:space="0" w:color="auto"/>
            </w:tcBorders>
            <w:shd w:val="clear" w:color="000000" w:fill="FFFFFF"/>
            <w:vAlign w:val="center"/>
          </w:tcPr>
          <w:p w14:paraId="75933CE9"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739C3B3F" w14:textId="2C94A517"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DD325D2"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Psychiatria</w:t>
            </w:r>
          </w:p>
        </w:tc>
        <w:tc>
          <w:tcPr>
            <w:tcW w:w="820" w:type="dxa"/>
            <w:tcBorders>
              <w:top w:val="nil"/>
              <w:left w:val="nil"/>
              <w:bottom w:val="single" w:sz="4" w:space="0" w:color="auto"/>
              <w:right w:val="single" w:sz="4" w:space="0" w:color="auto"/>
            </w:tcBorders>
            <w:shd w:val="clear" w:color="000000" w:fill="FFFFFF"/>
            <w:noWrap/>
            <w:vAlign w:val="center"/>
            <w:hideMark/>
          </w:tcPr>
          <w:p w14:paraId="485EB03F"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62</w:t>
            </w:r>
          </w:p>
        </w:tc>
        <w:tc>
          <w:tcPr>
            <w:tcW w:w="820" w:type="dxa"/>
            <w:tcBorders>
              <w:top w:val="nil"/>
              <w:left w:val="nil"/>
              <w:bottom w:val="single" w:sz="4" w:space="0" w:color="auto"/>
              <w:right w:val="single" w:sz="4" w:space="0" w:color="auto"/>
            </w:tcBorders>
            <w:shd w:val="clear" w:color="000000" w:fill="FFFFFF"/>
            <w:vAlign w:val="center"/>
          </w:tcPr>
          <w:p w14:paraId="5D8E334D"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5C82C286" w14:textId="335309E8"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4B99E256"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Radiačná onkológia</w:t>
            </w:r>
          </w:p>
        </w:tc>
        <w:tc>
          <w:tcPr>
            <w:tcW w:w="820" w:type="dxa"/>
            <w:tcBorders>
              <w:top w:val="nil"/>
              <w:left w:val="nil"/>
              <w:bottom w:val="single" w:sz="4" w:space="0" w:color="auto"/>
              <w:right w:val="single" w:sz="4" w:space="0" w:color="auto"/>
            </w:tcBorders>
            <w:shd w:val="clear" w:color="000000" w:fill="FFFFFF"/>
            <w:noWrap/>
            <w:vAlign w:val="center"/>
            <w:hideMark/>
          </w:tcPr>
          <w:p w14:paraId="698CE038"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60</w:t>
            </w:r>
          </w:p>
        </w:tc>
        <w:tc>
          <w:tcPr>
            <w:tcW w:w="820" w:type="dxa"/>
            <w:tcBorders>
              <w:top w:val="nil"/>
              <w:left w:val="nil"/>
              <w:bottom w:val="single" w:sz="4" w:space="0" w:color="auto"/>
              <w:right w:val="single" w:sz="4" w:space="0" w:color="auto"/>
            </w:tcBorders>
            <w:shd w:val="clear" w:color="000000" w:fill="FFFFFF"/>
            <w:vAlign w:val="center"/>
          </w:tcPr>
          <w:p w14:paraId="13AFE991" w14:textId="77777777" w:rsidR="004821F1" w:rsidRPr="006D242B" w:rsidRDefault="004821F1" w:rsidP="004821F1">
            <w:pPr>
              <w:spacing w:line="240" w:lineRule="auto"/>
              <w:jc w:val="center"/>
              <w:rPr>
                <w:rFonts w:ascii="Arial CE" w:hAnsi="Arial CE" w:cs="Arial CE"/>
                <w:sz w:val="20"/>
                <w:szCs w:val="20"/>
              </w:rPr>
            </w:pPr>
          </w:p>
        </w:tc>
      </w:tr>
      <w:tr w:rsidR="004821F1" w:rsidRPr="006D242B" w14:paraId="049FFCDD" w14:textId="5EA022CF"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1F6D6406"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Traumatológia</w:t>
            </w:r>
          </w:p>
        </w:tc>
        <w:tc>
          <w:tcPr>
            <w:tcW w:w="820" w:type="dxa"/>
            <w:tcBorders>
              <w:top w:val="nil"/>
              <w:left w:val="nil"/>
              <w:bottom w:val="single" w:sz="4" w:space="0" w:color="auto"/>
              <w:right w:val="single" w:sz="4" w:space="0" w:color="auto"/>
            </w:tcBorders>
            <w:shd w:val="clear" w:color="000000" w:fill="FFFFFF"/>
            <w:noWrap/>
            <w:vAlign w:val="center"/>
            <w:hideMark/>
          </w:tcPr>
          <w:p w14:paraId="42A30FBF"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46</w:t>
            </w:r>
          </w:p>
        </w:tc>
        <w:tc>
          <w:tcPr>
            <w:tcW w:w="820" w:type="dxa"/>
            <w:tcBorders>
              <w:top w:val="nil"/>
              <w:left w:val="nil"/>
              <w:bottom w:val="single" w:sz="4" w:space="0" w:color="auto"/>
              <w:right w:val="single" w:sz="4" w:space="0" w:color="auto"/>
            </w:tcBorders>
            <w:shd w:val="clear" w:color="000000" w:fill="FFFFFF"/>
            <w:vAlign w:val="center"/>
          </w:tcPr>
          <w:p w14:paraId="406455D0" w14:textId="53286DDD"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6</w:t>
            </w:r>
          </w:p>
        </w:tc>
      </w:tr>
      <w:tr w:rsidR="004821F1" w:rsidRPr="006D242B" w14:paraId="25D5B5C0" w14:textId="643CD4A4" w:rsidTr="003A656C">
        <w:trPr>
          <w:trHeight w:val="300"/>
        </w:trPr>
        <w:tc>
          <w:tcPr>
            <w:tcW w:w="4422" w:type="dxa"/>
            <w:tcBorders>
              <w:top w:val="nil"/>
              <w:left w:val="single" w:sz="4" w:space="0" w:color="auto"/>
              <w:bottom w:val="single" w:sz="4" w:space="0" w:color="auto"/>
              <w:right w:val="single" w:sz="4" w:space="0" w:color="auto"/>
            </w:tcBorders>
            <w:shd w:val="clear" w:color="000000" w:fill="FFFFFF"/>
            <w:noWrap/>
            <w:vAlign w:val="center"/>
            <w:hideMark/>
          </w:tcPr>
          <w:p w14:paraId="08B46209" w14:textId="77777777" w:rsidR="004821F1" w:rsidRPr="006D242B" w:rsidRDefault="004821F1" w:rsidP="006D242B">
            <w:pPr>
              <w:spacing w:line="240" w:lineRule="auto"/>
              <w:jc w:val="left"/>
              <w:rPr>
                <w:rFonts w:ascii="Arial CE" w:hAnsi="Arial CE" w:cs="Arial CE"/>
                <w:sz w:val="20"/>
                <w:szCs w:val="20"/>
              </w:rPr>
            </w:pPr>
            <w:r w:rsidRPr="006D242B">
              <w:rPr>
                <w:rFonts w:ascii="Arial CE" w:hAnsi="Arial CE" w:cs="Arial CE"/>
                <w:sz w:val="20"/>
                <w:szCs w:val="20"/>
              </w:rPr>
              <w:t>Urológia</w:t>
            </w:r>
          </w:p>
        </w:tc>
        <w:tc>
          <w:tcPr>
            <w:tcW w:w="820" w:type="dxa"/>
            <w:tcBorders>
              <w:top w:val="nil"/>
              <w:left w:val="nil"/>
              <w:bottom w:val="single" w:sz="4" w:space="0" w:color="auto"/>
              <w:right w:val="single" w:sz="4" w:space="0" w:color="auto"/>
            </w:tcBorders>
            <w:shd w:val="clear" w:color="000000" w:fill="FFFFFF"/>
            <w:noWrap/>
            <w:vAlign w:val="center"/>
            <w:hideMark/>
          </w:tcPr>
          <w:p w14:paraId="0B21AC25" w14:textId="77777777" w:rsidR="004821F1" w:rsidRPr="006D242B" w:rsidRDefault="004821F1" w:rsidP="004821F1">
            <w:pPr>
              <w:spacing w:line="240" w:lineRule="auto"/>
              <w:jc w:val="center"/>
              <w:rPr>
                <w:rFonts w:ascii="Arial CE" w:hAnsi="Arial CE" w:cs="Arial CE"/>
                <w:sz w:val="20"/>
                <w:szCs w:val="20"/>
              </w:rPr>
            </w:pPr>
            <w:r w:rsidRPr="006D242B">
              <w:rPr>
                <w:rFonts w:ascii="Arial CE" w:hAnsi="Arial CE" w:cs="Arial CE"/>
                <w:sz w:val="20"/>
                <w:szCs w:val="20"/>
              </w:rPr>
              <w:t>42</w:t>
            </w:r>
          </w:p>
        </w:tc>
        <w:tc>
          <w:tcPr>
            <w:tcW w:w="820" w:type="dxa"/>
            <w:tcBorders>
              <w:top w:val="nil"/>
              <w:left w:val="nil"/>
              <w:bottom w:val="single" w:sz="4" w:space="0" w:color="auto"/>
              <w:right w:val="single" w:sz="4" w:space="0" w:color="auto"/>
            </w:tcBorders>
            <w:shd w:val="clear" w:color="000000" w:fill="FFFFFF"/>
            <w:vAlign w:val="center"/>
          </w:tcPr>
          <w:p w14:paraId="0CB68DBE" w14:textId="268A71D6" w:rsidR="004821F1" w:rsidRPr="006D242B" w:rsidRDefault="00DE15FC" w:rsidP="004821F1">
            <w:pPr>
              <w:spacing w:line="240" w:lineRule="auto"/>
              <w:jc w:val="center"/>
              <w:rPr>
                <w:rFonts w:ascii="Arial CE" w:hAnsi="Arial CE" w:cs="Arial CE"/>
                <w:sz w:val="20"/>
                <w:szCs w:val="20"/>
              </w:rPr>
            </w:pPr>
            <w:r>
              <w:rPr>
                <w:rFonts w:ascii="Arial CE" w:hAnsi="Arial CE" w:cs="Arial CE"/>
                <w:sz w:val="20"/>
                <w:szCs w:val="20"/>
              </w:rPr>
              <w:t>4</w:t>
            </w:r>
          </w:p>
        </w:tc>
      </w:tr>
      <w:tr w:rsidR="004821F1" w:rsidRPr="006D242B" w14:paraId="3D80DC33" w14:textId="526876A8" w:rsidTr="003A656C">
        <w:trPr>
          <w:trHeight w:val="300"/>
        </w:trPr>
        <w:tc>
          <w:tcPr>
            <w:tcW w:w="4422" w:type="dxa"/>
            <w:tcBorders>
              <w:top w:val="nil"/>
              <w:left w:val="single" w:sz="4" w:space="0" w:color="auto"/>
              <w:bottom w:val="single" w:sz="4" w:space="0" w:color="auto"/>
              <w:right w:val="single" w:sz="4" w:space="0" w:color="auto"/>
            </w:tcBorders>
            <w:shd w:val="clear" w:color="000000" w:fill="FFCC00"/>
            <w:vAlign w:val="center"/>
            <w:hideMark/>
          </w:tcPr>
          <w:p w14:paraId="12AA43F8" w14:textId="77777777" w:rsidR="004821F1" w:rsidRPr="006D242B" w:rsidRDefault="004821F1" w:rsidP="006D242B">
            <w:pPr>
              <w:spacing w:line="240" w:lineRule="auto"/>
              <w:jc w:val="left"/>
              <w:rPr>
                <w:rFonts w:ascii="Arial CE" w:hAnsi="Arial CE" w:cs="Arial CE"/>
                <w:b/>
                <w:bCs/>
                <w:sz w:val="20"/>
                <w:szCs w:val="20"/>
              </w:rPr>
            </w:pPr>
            <w:r w:rsidRPr="006D242B">
              <w:rPr>
                <w:rFonts w:ascii="Arial CE" w:hAnsi="Arial CE" w:cs="Arial CE"/>
                <w:b/>
                <w:bCs/>
                <w:sz w:val="20"/>
                <w:szCs w:val="20"/>
              </w:rPr>
              <w:t> </w:t>
            </w:r>
          </w:p>
        </w:tc>
        <w:tc>
          <w:tcPr>
            <w:tcW w:w="820" w:type="dxa"/>
            <w:tcBorders>
              <w:top w:val="nil"/>
              <w:left w:val="nil"/>
              <w:bottom w:val="single" w:sz="4" w:space="0" w:color="auto"/>
              <w:right w:val="single" w:sz="4" w:space="0" w:color="auto"/>
            </w:tcBorders>
            <w:shd w:val="clear" w:color="000000" w:fill="FFCC00"/>
            <w:noWrap/>
            <w:vAlign w:val="center"/>
            <w:hideMark/>
          </w:tcPr>
          <w:p w14:paraId="28FE43EE" w14:textId="77777777" w:rsidR="004821F1" w:rsidRPr="006D242B" w:rsidRDefault="004821F1" w:rsidP="004821F1">
            <w:pPr>
              <w:spacing w:line="240" w:lineRule="auto"/>
              <w:jc w:val="center"/>
              <w:rPr>
                <w:rFonts w:ascii="Arial CE" w:hAnsi="Arial CE" w:cs="Arial CE"/>
                <w:b/>
                <w:bCs/>
                <w:sz w:val="20"/>
                <w:szCs w:val="20"/>
              </w:rPr>
            </w:pPr>
            <w:r w:rsidRPr="006D242B">
              <w:rPr>
                <w:rFonts w:ascii="Arial CE" w:hAnsi="Arial CE" w:cs="Arial CE"/>
                <w:b/>
                <w:bCs/>
                <w:sz w:val="20"/>
                <w:szCs w:val="20"/>
              </w:rPr>
              <w:t>785</w:t>
            </w:r>
          </w:p>
        </w:tc>
        <w:tc>
          <w:tcPr>
            <w:tcW w:w="820" w:type="dxa"/>
            <w:tcBorders>
              <w:top w:val="nil"/>
              <w:left w:val="nil"/>
              <w:bottom w:val="single" w:sz="4" w:space="0" w:color="auto"/>
              <w:right w:val="single" w:sz="4" w:space="0" w:color="auto"/>
            </w:tcBorders>
            <w:shd w:val="clear" w:color="000000" w:fill="FFCC00"/>
            <w:vAlign w:val="center"/>
          </w:tcPr>
          <w:p w14:paraId="0C9CF38F" w14:textId="183DBC6B" w:rsidR="004821F1" w:rsidRPr="006D242B" w:rsidRDefault="00DE15FC" w:rsidP="004821F1">
            <w:pPr>
              <w:spacing w:line="240" w:lineRule="auto"/>
              <w:jc w:val="center"/>
              <w:rPr>
                <w:rFonts w:ascii="Arial CE" w:hAnsi="Arial CE" w:cs="Arial CE"/>
                <w:b/>
                <w:bCs/>
                <w:sz w:val="20"/>
                <w:szCs w:val="20"/>
              </w:rPr>
            </w:pPr>
            <w:r>
              <w:rPr>
                <w:rFonts w:ascii="Arial CE" w:hAnsi="Arial CE" w:cs="Arial CE"/>
                <w:b/>
                <w:bCs/>
                <w:sz w:val="20"/>
                <w:szCs w:val="20"/>
              </w:rPr>
              <w:t>71</w:t>
            </w:r>
          </w:p>
        </w:tc>
      </w:tr>
    </w:tbl>
    <w:p w14:paraId="44835C80" w14:textId="30D926E6"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185F452D" w14:textId="77777777" w:rsidR="00943E84" w:rsidRDefault="00943E84" w:rsidP="00943E84">
      <w:pPr>
        <w:spacing w:line="240" w:lineRule="auto"/>
        <w:rPr>
          <w:rFonts w:ascii="Century Gothic" w:hAnsi="Century Gothic" w:cstheme="minorHAnsi"/>
          <w:sz w:val="22"/>
          <w:szCs w:val="22"/>
        </w:rPr>
      </w:pPr>
    </w:p>
    <w:p w14:paraId="4D4FF0D7" w14:textId="402AE16B" w:rsidR="00477448" w:rsidRDefault="00477448" w:rsidP="00477448">
      <w:pPr>
        <w:spacing w:line="240" w:lineRule="auto"/>
        <w:rPr>
          <w:rFonts w:ascii="Century Gothic" w:hAnsi="Century Gothic" w:cstheme="minorHAnsi"/>
          <w:sz w:val="22"/>
          <w:szCs w:val="22"/>
        </w:rPr>
      </w:pPr>
      <w:r>
        <w:rPr>
          <w:rFonts w:ascii="Century Gothic" w:hAnsi="Century Gothic" w:cstheme="minorHAnsi"/>
          <w:sz w:val="22"/>
          <w:szCs w:val="22"/>
        </w:rPr>
        <w:t xml:space="preserve">Z uvedeného vyplýva, že </w:t>
      </w:r>
      <w:r w:rsidRPr="00416B1C">
        <w:rPr>
          <w:rFonts w:ascii="Century Gothic" w:hAnsi="Century Gothic" w:cstheme="minorHAnsi"/>
          <w:b/>
          <w:sz w:val="22"/>
          <w:szCs w:val="22"/>
        </w:rPr>
        <w:t>potreba vytvorenia centrálnej JIS</w:t>
      </w:r>
      <w:r>
        <w:rPr>
          <w:rFonts w:ascii="Century Gothic" w:hAnsi="Century Gothic" w:cstheme="minorHAnsi"/>
          <w:sz w:val="22"/>
          <w:szCs w:val="22"/>
        </w:rPr>
        <w:t xml:space="preserve"> (okrem detskej a novorodeneckej) na úrovni cca</w:t>
      </w:r>
      <w:r w:rsidR="00416B1C">
        <w:rPr>
          <w:rFonts w:ascii="Century Gothic" w:hAnsi="Century Gothic" w:cstheme="minorHAnsi"/>
          <w:sz w:val="22"/>
          <w:szCs w:val="22"/>
        </w:rPr>
        <w:t>.</w:t>
      </w:r>
      <w:r>
        <w:rPr>
          <w:rFonts w:ascii="Century Gothic" w:hAnsi="Century Gothic" w:cstheme="minorHAnsi"/>
          <w:sz w:val="22"/>
          <w:szCs w:val="22"/>
        </w:rPr>
        <w:t xml:space="preserve"> 30-40 lôžok mimo oddelenia OAIM </w:t>
      </w:r>
      <w:r w:rsidRPr="00416B1C">
        <w:rPr>
          <w:rFonts w:ascii="Century Gothic" w:hAnsi="Century Gothic" w:cstheme="minorHAnsi"/>
          <w:b/>
          <w:sz w:val="22"/>
          <w:szCs w:val="22"/>
        </w:rPr>
        <w:t>je veľmi aktuálna</w:t>
      </w:r>
      <w:r>
        <w:rPr>
          <w:rFonts w:ascii="Century Gothic" w:hAnsi="Century Gothic" w:cstheme="minorHAnsi"/>
          <w:sz w:val="22"/>
          <w:szCs w:val="22"/>
        </w:rPr>
        <w:t>.</w:t>
      </w:r>
    </w:p>
    <w:p w14:paraId="4C1078AA" w14:textId="77777777" w:rsidR="00943E84" w:rsidRDefault="00943E84" w:rsidP="00943E84">
      <w:pPr>
        <w:spacing w:line="240" w:lineRule="auto"/>
        <w:rPr>
          <w:rFonts w:ascii="Century Gothic" w:hAnsi="Century Gothic" w:cstheme="minorHAnsi"/>
          <w:sz w:val="22"/>
          <w:szCs w:val="22"/>
        </w:rPr>
      </w:pPr>
    </w:p>
    <w:p w14:paraId="12C2454A" w14:textId="4029889E" w:rsidR="00B620DE" w:rsidRDefault="00B620DE" w:rsidP="00B620DE">
      <w:pPr>
        <w:spacing w:line="240" w:lineRule="auto"/>
        <w:rPr>
          <w:rFonts w:ascii="Century Gothic" w:hAnsi="Century Gothic" w:cstheme="minorHAnsi"/>
          <w:sz w:val="22"/>
          <w:szCs w:val="22"/>
        </w:rPr>
      </w:pPr>
      <w:r>
        <w:rPr>
          <w:rFonts w:ascii="Century Gothic" w:hAnsi="Century Gothic" w:cstheme="minorHAnsi"/>
          <w:sz w:val="22"/>
          <w:szCs w:val="22"/>
        </w:rPr>
        <w:t xml:space="preserve">Oddelenie OAIM bolo rozšírené v roku 2018. Bolo to však len administratívne rozšírenie, nakoľko počty hospitalizovaných ďaleko presahovali kapacitnú priepustnosť. Slovenský priemer </w:t>
      </w:r>
      <w:proofErr w:type="spellStart"/>
      <w:r>
        <w:rPr>
          <w:rFonts w:ascii="Century Gothic" w:hAnsi="Century Gothic" w:cstheme="minorHAnsi"/>
          <w:sz w:val="22"/>
          <w:szCs w:val="22"/>
        </w:rPr>
        <w:t>obložnosti</w:t>
      </w:r>
      <w:proofErr w:type="spellEnd"/>
      <w:r>
        <w:rPr>
          <w:rFonts w:ascii="Century Gothic" w:hAnsi="Century Gothic" w:cstheme="minorHAnsi"/>
          <w:sz w:val="22"/>
          <w:szCs w:val="22"/>
        </w:rPr>
        <w:t xml:space="preserve"> osciluje priebežne medzi 55-59 %, kým vo </w:t>
      </w: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Žilina osciluje okolo 80 %. Ide o nedobrý trend, nakoľko sa často stáva, že nemocnica nevie prijať akútneho pacienta, resp. </w:t>
      </w:r>
      <w:r w:rsidRPr="00115C2E">
        <w:rPr>
          <w:rFonts w:ascii="Century Gothic" w:hAnsi="Century Gothic" w:cstheme="minorHAnsi"/>
          <w:sz w:val="22"/>
          <w:szCs w:val="22"/>
        </w:rPr>
        <w:t>obsadenie lôžok je limitné k vykonávanej operačnej zdravotnej starostlivosti. Konkrétne dáta sú</w:t>
      </w:r>
      <w:r w:rsidR="00CC28FD">
        <w:rPr>
          <w:rFonts w:ascii="Century Gothic" w:hAnsi="Century Gothic" w:cstheme="minorHAnsi"/>
          <w:sz w:val="22"/>
          <w:szCs w:val="22"/>
        </w:rPr>
        <w:t xml:space="preserve"> v tabuľke nižšie.</w:t>
      </w:r>
    </w:p>
    <w:p w14:paraId="1066EF96" w14:textId="3FAC0829" w:rsidR="00943E84" w:rsidRDefault="00943E84" w:rsidP="00943E84">
      <w:pPr>
        <w:spacing w:line="240" w:lineRule="auto"/>
        <w:rPr>
          <w:rFonts w:ascii="Century Gothic" w:hAnsi="Century Gothic" w:cstheme="minorHAnsi"/>
          <w:sz w:val="22"/>
          <w:szCs w:val="22"/>
        </w:rPr>
      </w:pPr>
    </w:p>
    <w:p w14:paraId="58020FA7" w14:textId="7A85C110" w:rsidR="00943E84" w:rsidRPr="00610835" w:rsidRDefault="00B84F10" w:rsidP="00B84F10">
      <w:pPr>
        <w:spacing w:line="240" w:lineRule="auto"/>
        <w:rPr>
          <w:rFonts w:ascii="Century Gothic" w:hAnsi="Century Gothic"/>
          <w:i/>
          <w:sz w:val="20"/>
          <w:szCs w:val="20"/>
        </w:rPr>
      </w:pPr>
      <w:bookmarkStart w:id="87" w:name="_Toc145219922"/>
      <w:r w:rsidRPr="00610835">
        <w:rPr>
          <w:rFonts w:ascii="Century Gothic" w:hAnsi="Century Gothic"/>
          <w:i/>
          <w:sz w:val="20"/>
          <w:szCs w:val="20"/>
        </w:rPr>
        <w:t xml:space="preserve">Tabuľka </w:t>
      </w:r>
      <w:r w:rsidRPr="00610835">
        <w:rPr>
          <w:rFonts w:ascii="Century Gothic" w:hAnsi="Century Gothic"/>
          <w:i/>
          <w:sz w:val="20"/>
          <w:szCs w:val="20"/>
        </w:rPr>
        <w:fldChar w:fldCharType="begin"/>
      </w:r>
      <w:r w:rsidRPr="00610835">
        <w:rPr>
          <w:rFonts w:ascii="Century Gothic" w:hAnsi="Century Gothic"/>
          <w:i/>
          <w:sz w:val="20"/>
          <w:szCs w:val="20"/>
        </w:rPr>
        <w:instrText xml:space="preserve"> SEQ Tabuľka \* ARABIC </w:instrText>
      </w:r>
      <w:r w:rsidRPr="00610835">
        <w:rPr>
          <w:rFonts w:ascii="Century Gothic" w:hAnsi="Century Gothic"/>
          <w:i/>
          <w:sz w:val="20"/>
          <w:szCs w:val="20"/>
        </w:rPr>
        <w:fldChar w:fldCharType="separate"/>
      </w:r>
      <w:r w:rsidR="007D6A44">
        <w:rPr>
          <w:rFonts w:ascii="Century Gothic" w:hAnsi="Century Gothic"/>
          <w:i/>
          <w:noProof/>
          <w:sz w:val="20"/>
          <w:szCs w:val="20"/>
        </w:rPr>
        <w:t>21</w:t>
      </w:r>
      <w:r w:rsidRPr="00610835">
        <w:rPr>
          <w:rFonts w:ascii="Century Gothic" w:hAnsi="Century Gothic"/>
          <w:i/>
          <w:sz w:val="20"/>
          <w:szCs w:val="20"/>
        </w:rPr>
        <w:fldChar w:fldCharType="end"/>
      </w:r>
      <w:r w:rsidRPr="00610835">
        <w:rPr>
          <w:rFonts w:ascii="Century Gothic" w:hAnsi="Century Gothic"/>
          <w:i/>
          <w:sz w:val="20"/>
          <w:szCs w:val="20"/>
        </w:rPr>
        <w:t xml:space="preserve"> </w:t>
      </w:r>
      <w:r w:rsidR="00115C2E" w:rsidRPr="00610835">
        <w:rPr>
          <w:rFonts w:ascii="Century Gothic" w:hAnsi="Century Gothic"/>
          <w:i/>
          <w:sz w:val="20"/>
          <w:szCs w:val="20"/>
        </w:rPr>
        <w:t>Výkonové parametre OAIM</w:t>
      </w:r>
      <w:r w:rsidRPr="00610835">
        <w:rPr>
          <w:rFonts w:ascii="Century Gothic" w:hAnsi="Century Gothic"/>
          <w:i/>
          <w:sz w:val="20"/>
          <w:szCs w:val="20"/>
        </w:rPr>
        <w:t xml:space="preserve"> </w:t>
      </w:r>
      <w:proofErr w:type="spellStart"/>
      <w:r w:rsidRPr="00610835">
        <w:rPr>
          <w:rFonts w:ascii="Century Gothic" w:hAnsi="Century Gothic"/>
          <w:i/>
          <w:sz w:val="20"/>
          <w:szCs w:val="20"/>
        </w:rPr>
        <w:t>FNsP</w:t>
      </w:r>
      <w:proofErr w:type="spellEnd"/>
      <w:r w:rsidRPr="00610835">
        <w:rPr>
          <w:rFonts w:ascii="Century Gothic" w:hAnsi="Century Gothic"/>
          <w:i/>
          <w:sz w:val="20"/>
          <w:szCs w:val="20"/>
        </w:rPr>
        <w:t xml:space="preserve"> Žilina</w:t>
      </w:r>
      <w:bookmarkEnd w:id="87"/>
    </w:p>
    <w:tbl>
      <w:tblPr>
        <w:tblW w:w="9444" w:type="dxa"/>
        <w:jc w:val="center"/>
        <w:tblCellMar>
          <w:left w:w="70" w:type="dxa"/>
          <w:right w:w="70" w:type="dxa"/>
        </w:tblCellMar>
        <w:tblLook w:val="04A0" w:firstRow="1" w:lastRow="0" w:firstColumn="1" w:lastColumn="0" w:noHBand="0" w:noVBand="1"/>
      </w:tblPr>
      <w:tblGrid>
        <w:gridCol w:w="1777"/>
        <w:gridCol w:w="560"/>
        <w:gridCol w:w="656"/>
        <w:gridCol w:w="560"/>
        <w:gridCol w:w="560"/>
        <w:gridCol w:w="655"/>
        <w:gridCol w:w="559"/>
        <w:gridCol w:w="655"/>
        <w:gridCol w:w="559"/>
        <w:gridCol w:w="559"/>
        <w:gridCol w:w="655"/>
        <w:gridCol w:w="655"/>
        <w:gridCol w:w="551"/>
        <w:gridCol w:w="505"/>
      </w:tblGrid>
      <w:tr w:rsidR="00CC28FD" w:rsidRPr="003C1E89" w14:paraId="48E54F46" w14:textId="6F91BF96" w:rsidTr="00CC28FD">
        <w:trPr>
          <w:trHeight w:val="309"/>
          <w:jc w:val="center"/>
        </w:trPr>
        <w:tc>
          <w:tcPr>
            <w:tcW w:w="1777" w:type="dxa"/>
            <w:shd w:val="clear" w:color="000000" w:fill="595959" w:themeFill="text1" w:themeFillTint="A6"/>
            <w:noWrap/>
            <w:vAlign w:val="bottom"/>
            <w:hideMark/>
          </w:tcPr>
          <w:p w14:paraId="621F626A" w14:textId="77777777" w:rsidR="00CC28FD" w:rsidRPr="003C1E89" w:rsidRDefault="00CC28FD" w:rsidP="00943E84">
            <w:pPr>
              <w:spacing w:line="240" w:lineRule="auto"/>
              <w:jc w:val="center"/>
              <w:rPr>
                <w:rFonts w:ascii="Arial Narrow" w:hAnsi="Arial Narrow" w:cs="Calibri"/>
                <w:color w:val="FFFFFF" w:themeColor="background1"/>
                <w:sz w:val="20"/>
                <w:szCs w:val="20"/>
              </w:rPr>
            </w:pPr>
            <w:r w:rsidRPr="003C1E89">
              <w:rPr>
                <w:rFonts w:ascii="Arial Narrow" w:hAnsi="Arial Narrow" w:cs="Calibri"/>
                <w:color w:val="FFFFFF" w:themeColor="background1"/>
                <w:sz w:val="20"/>
                <w:szCs w:val="20"/>
              </w:rPr>
              <w:t> </w:t>
            </w:r>
          </w:p>
        </w:tc>
        <w:tc>
          <w:tcPr>
            <w:tcW w:w="560" w:type="dxa"/>
            <w:shd w:val="clear" w:color="000000" w:fill="595959" w:themeFill="text1" w:themeFillTint="A6"/>
            <w:noWrap/>
            <w:vAlign w:val="center"/>
            <w:hideMark/>
          </w:tcPr>
          <w:p w14:paraId="690F7A29"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2010</w:t>
            </w:r>
          </w:p>
        </w:tc>
        <w:tc>
          <w:tcPr>
            <w:tcW w:w="656" w:type="dxa"/>
            <w:shd w:val="clear" w:color="000000" w:fill="595959" w:themeFill="text1" w:themeFillTint="A6"/>
            <w:noWrap/>
            <w:vAlign w:val="center"/>
            <w:hideMark/>
          </w:tcPr>
          <w:p w14:paraId="11CE6830"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2011</w:t>
            </w:r>
          </w:p>
        </w:tc>
        <w:tc>
          <w:tcPr>
            <w:tcW w:w="560" w:type="dxa"/>
            <w:shd w:val="clear" w:color="000000" w:fill="595959" w:themeFill="text1" w:themeFillTint="A6"/>
            <w:noWrap/>
            <w:vAlign w:val="center"/>
            <w:hideMark/>
          </w:tcPr>
          <w:p w14:paraId="367FC57E"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2012</w:t>
            </w:r>
          </w:p>
        </w:tc>
        <w:tc>
          <w:tcPr>
            <w:tcW w:w="560" w:type="dxa"/>
            <w:shd w:val="clear" w:color="000000" w:fill="595959" w:themeFill="text1" w:themeFillTint="A6"/>
            <w:noWrap/>
            <w:vAlign w:val="center"/>
            <w:hideMark/>
          </w:tcPr>
          <w:p w14:paraId="5EC83442"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2013</w:t>
            </w:r>
          </w:p>
        </w:tc>
        <w:tc>
          <w:tcPr>
            <w:tcW w:w="655" w:type="dxa"/>
            <w:shd w:val="clear" w:color="000000" w:fill="595959" w:themeFill="text1" w:themeFillTint="A6"/>
            <w:noWrap/>
            <w:vAlign w:val="center"/>
            <w:hideMark/>
          </w:tcPr>
          <w:p w14:paraId="4189BEBD"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2014</w:t>
            </w:r>
          </w:p>
        </w:tc>
        <w:tc>
          <w:tcPr>
            <w:tcW w:w="559" w:type="dxa"/>
            <w:shd w:val="clear" w:color="000000" w:fill="595959" w:themeFill="text1" w:themeFillTint="A6"/>
            <w:noWrap/>
            <w:vAlign w:val="center"/>
            <w:hideMark/>
          </w:tcPr>
          <w:p w14:paraId="5C672EAD"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2015</w:t>
            </w:r>
          </w:p>
        </w:tc>
        <w:tc>
          <w:tcPr>
            <w:tcW w:w="655" w:type="dxa"/>
            <w:shd w:val="clear" w:color="000000" w:fill="595959" w:themeFill="text1" w:themeFillTint="A6"/>
            <w:noWrap/>
            <w:vAlign w:val="center"/>
            <w:hideMark/>
          </w:tcPr>
          <w:p w14:paraId="7D7690C4"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2016</w:t>
            </w:r>
          </w:p>
        </w:tc>
        <w:tc>
          <w:tcPr>
            <w:tcW w:w="559" w:type="dxa"/>
            <w:shd w:val="clear" w:color="000000" w:fill="595959" w:themeFill="text1" w:themeFillTint="A6"/>
            <w:noWrap/>
            <w:vAlign w:val="center"/>
            <w:hideMark/>
          </w:tcPr>
          <w:p w14:paraId="489C9AF3"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2017</w:t>
            </w:r>
          </w:p>
        </w:tc>
        <w:tc>
          <w:tcPr>
            <w:tcW w:w="559" w:type="dxa"/>
            <w:shd w:val="clear" w:color="000000" w:fill="595959" w:themeFill="text1" w:themeFillTint="A6"/>
            <w:noWrap/>
            <w:vAlign w:val="center"/>
            <w:hideMark/>
          </w:tcPr>
          <w:p w14:paraId="3AF13DE9"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2018</w:t>
            </w:r>
          </w:p>
        </w:tc>
        <w:tc>
          <w:tcPr>
            <w:tcW w:w="655" w:type="dxa"/>
            <w:shd w:val="clear" w:color="000000" w:fill="595959" w:themeFill="text1" w:themeFillTint="A6"/>
            <w:noWrap/>
            <w:vAlign w:val="center"/>
            <w:hideMark/>
          </w:tcPr>
          <w:p w14:paraId="53E0E11F"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2019</w:t>
            </w:r>
          </w:p>
        </w:tc>
        <w:tc>
          <w:tcPr>
            <w:tcW w:w="655" w:type="dxa"/>
            <w:shd w:val="clear" w:color="000000" w:fill="595959" w:themeFill="text1" w:themeFillTint="A6"/>
            <w:noWrap/>
            <w:vAlign w:val="center"/>
            <w:hideMark/>
          </w:tcPr>
          <w:p w14:paraId="7529350E" w14:textId="77777777" w:rsidR="00CC28FD" w:rsidRPr="003C1E89" w:rsidRDefault="00CC28FD" w:rsidP="00943E84">
            <w:pPr>
              <w:spacing w:line="240" w:lineRule="auto"/>
              <w:jc w:val="center"/>
              <w:rPr>
                <w:rFonts w:ascii="Arial Narrow" w:hAnsi="Arial Narrow" w:cs="Calibri"/>
                <w:b/>
                <w:bCs/>
                <w:color w:val="FFFFFF" w:themeColor="background1"/>
                <w:sz w:val="20"/>
                <w:szCs w:val="20"/>
              </w:rPr>
            </w:pPr>
            <w:r w:rsidRPr="003C1E89">
              <w:rPr>
                <w:rFonts w:ascii="Arial Narrow" w:hAnsi="Arial Narrow" w:cs="Calibri"/>
                <w:b/>
                <w:bCs/>
                <w:color w:val="FFFFFF" w:themeColor="background1"/>
                <w:sz w:val="20"/>
                <w:szCs w:val="20"/>
              </w:rPr>
              <w:t>2020</w:t>
            </w:r>
          </w:p>
        </w:tc>
        <w:tc>
          <w:tcPr>
            <w:tcW w:w="517" w:type="dxa"/>
            <w:shd w:val="clear" w:color="000000" w:fill="595959" w:themeFill="text1" w:themeFillTint="A6"/>
            <w:vAlign w:val="center"/>
          </w:tcPr>
          <w:p w14:paraId="64801963" w14:textId="245AE8D3" w:rsidR="00CC28FD" w:rsidRPr="003C1E89" w:rsidRDefault="00CC28FD" w:rsidP="00943E84">
            <w:pPr>
              <w:spacing w:line="240" w:lineRule="auto"/>
              <w:jc w:val="cente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2021</w:t>
            </w:r>
          </w:p>
        </w:tc>
        <w:tc>
          <w:tcPr>
            <w:tcW w:w="517" w:type="dxa"/>
            <w:shd w:val="clear" w:color="000000" w:fill="595959" w:themeFill="text1" w:themeFillTint="A6"/>
            <w:vAlign w:val="center"/>
          </w:tcPr>
          <w:p w14:paraId="456FD1DB" w14:textId="456AB673" w:rsidR="00CC28FD" w:rsidRPr="003C1E89" w:rsidRDefault="00CC28FD" w:rsidP="00943E84">
            <w:pPr>
              <w:spacing w:line="240" w:lineRule="auto"/>
              <w:jc w:val="center"/>
              <w:rPr>
                <w:rFonts w:ascii="Arial Narrow" w:hAnsi="Arial Narrow" w:cs="Calibri"/>
                <w:b/>
                <w:bCs/>
                <w:color w:val="FFFFFF" w:themeColor="background1"/>
                <w:sz w:val="20"/>
                <w:szCs w:val="20"/>
              </w:rPr>
            </w:pPr>
            <w:r>
              <w:rPr>
                <w:rFonts w:ascii="Arial Narrow" w:hAnsi="Arial Narrow" w:cs="Calibri"/>
                <w:b/>
                <w:bCs/>
                <w:color w:val="FFFFFF" w:themeColor="background1"/>
                <w:sz w:val="20"/>
                <w:szCs w:val="20"/>
              </w:rPr>
              <w:t>2022</w:t>
            </w:r>
          </w:p>
        </w:tc>
      </w:tr>
      <w:tr w:rsidR="00CC28FD" w:rsidRPr="003C1E89" w14:paraId="69DFB168" w14:textId="6DD29BD8" w:rsidTr="00CC28FD">
        <w:trPr>
          <w:trHeight w:val="309"/>
          <w:jc w:val="center"/>
        </w:trPr>
        <w:tc>
          <w:tcPr>
            <w:tcW w:w="1777" w:type="dxa"/>
            <w:shd w:val="clear" w:color="auto" w:fill="auto"/>
            <w:noWrap/>
            <w:vAlign w:val="bottom"/>
            <w:hideMark/>
          </w:tcPr>
          <w:p w14:paraId="201F0D91" w14:textId="77777777" w:rsidR="00CC28FD" w:rsidRPr="003C1E89" w:rsidRDefault="00CC28FD" w:rsidP="00943E84">
            <w:pPr>
              <w:spacing w:line="240" w:lineRule="auto"/>
              <w:jc w:val="left"/>
              <w:rPr>
                <w:rFonts w:ascii="Arial Narrow" w:hAnsi="Arial Narrow" w:cs="Calibri"/>
                <w:b/>
                <w:color w:val="000000"/>
                <w:sz w:val="20"/>
                <w:szCs w:val="20"/>
              </w:rPr>
            </w:pPr>
            <w:r w:rsidRPr="003C1E89">
              <w:rPr>
                <w:rFonts w:ascii="Arial Narrow" w:hAnsi="Arial Narrow" w:cs="Calibri"/>
                <w:b/>
                <w:color w:val="000000"/>
                <w:sz w:val="20"/>
                <w:szCs w:val="20"/>
              </w:rPr>
              <w:t>počet lôžok</w:t>
            </w:r>
          </w:p>
        </w:tc>
        <w:tc>
          <w:tcPr>
            <w:tcW w:w="560" w:type="dxa"/>
            <w:shd w:val="clear" w:color="auto" w:fill="auto"/>
            <w:noWrap/>
            <w:vAlign w:val="center"/>
            <w:hideMark/>
          </w:tcPr>
          <w:p w14:paraId="6258450C"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656" w:type="dxa"/>
            <w:shd w:val="clear" w:color="auto" w:fill="auto"/>
            <w:noWrap/>
            <w:vAlign w:val="center"/>
            <w:hideMark/>
          </w:tcPr>
          <w:p w14:paraId="6F5DC13C"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560" w:type="dxa"/>
            <w:shd w:val="clear" w:color="auto" w:fill="auto"/>
            <w:noWrap/>
            <w:vAlign w:val="center"/>
            <w:hideMark/>
          </w:tcPr>
          <w:p w14:paraId="7ACB1FDE"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560" w:type="dxa"/>
            <w:shd w:val="clear" w:color="auto" w:fill="auto"/>
            <w:noWrap/>
            <w:vAlign w:val="center"/>
            <w:hideMark/>
          </w:tcPr>
          <w:p w14:paraId="5D927844"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655" w:type="dxa"/>
            <w:shd w:val="clear" w:color="auto" w:fill="auto"/>
            <w:noWrap/>
            <w:vAlign w:val="center"/>
            <w:hideMark/>
          </w:tcPr>
          <w:p w14:paraId="571CA2D7"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559" w:type="dxa"/>
            <w:shd w:val="clear" w:color="auto" w:fill="auto"/>
            <w:noWrap/>
            <w:vAlign w:val="center"/>
            <w:hideMark/>
          </w:tcPr>
          <w:p w14:paraId="009FFFA8"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655" w:type="dxa"/>
            <w:shd w:val="clear" w:color="auto" w:fill="auto"/>
            <w:noWrap/>
            <w:vAlign w:val="center"/>
            <w:hideMark/>
          </w:tcPr>
          <w:p w14:paraId="151F7293"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559" w:type="dxa"/>
            <w:shd w:val="clear" w:color="auto" w:fill="auto"/>
            <w:noWrap/>
            <w:vAlign w:val="center"/>
            <w:hideMark/>
          </w:tcPr>
          <w:p w14:paraId="727B4120"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w:t>
            </w:r>
          </w:p>
        </w:tc>
        <w:tc>
          <w:tcPr>
            <w:tcW w:w="559" w:type="dxa"/>
            <w:shd w:val="clear" w:color="auto" w:fill="auto"/>
            <w:noWrap/>
            <w:vAlign w:val="center"/>
            <w:hideMark/>
          </w:tcPr>
          <w:p w14:paraId="7D7E5827"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w:t>
            </w:r>
          </w:p>
        </w:tc>
        <w:tc>
          <w:tcPr>
            <w:tcW w:w="655" w:type="dxa"/>
            <w:shd w:val="clear" w:color="auto" w:fill="auto"/>
            <w:noWrap/>
            <w:vAlign w:val="center"/>
            <w:hideMark/>
          </w:tcPr>
          <w:p w14:paraId="7308CB92"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w:t>
            </w:r>
          </w:p>
        </w:tc>
        <w:tc>
          <w:tcPr>
            <w:tcW w:w="655" w:type="dxa"/>
            <w:shd w:val="clear" w:color="auto" w:fill="auto"/>
            <w:noWrap/>
            <w:vAlign w:val="center"/>
            <w:hideMark/>
          </w:tcPr>
          <w:p w14:paraId="3376A68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w:t>
            </w:r>
          </w:p>
        </w:tc>
        <w:tc>
          <w:tcPr>
            <w:tcW w:w="517" w:type="dxa"/>
            <w:vAlign w:val="center"/>
          </w:tcPr>
          <w:p w14:paraId="371C6C62" w14:textId="09C75767"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8</w:t>
            </w:r>
          </w:p>
        </w:tc>
        <w:tc>
          <w:tcPr>
            <w:tcW w:w="517" w:type="dxa"/>
            <w:vAlign w:val="center"/>
          </w:tcPr>
          <w:p w14:paraId="43B18CC7" w14:textId="0E75F009"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8</w:t>
            </w:r>
          </w:p>
        </w:tc>
      </w:tr>
      <w:tr w:rsidR="00CC28FD" w:rsidRPr="003C1E89" w14:paraId="279AACE1" w14:textId="0D7289EF" w:rsidTr="00CC28FD">
        <w:trPr>
          <w:trHeight w:val="309"/>
          <w:jc w:val="center"/>
        </w:trPr>
        <w:tc>
          <w:tcPr>
            <w:tcW w:w="1777" w:type="dxa"/>
            <w:shd w:val="clear" w:color="auto" w:fill="auto"/>
            <w:noWrap/>
            <w:vAlign w:val="bottom"/>
            <w:hideMark/>
          </w:tcPr>
          <w:p w14:paraId="45A5C23D" w14:textId="77777777" w:rsidR="00CC28FD" w:rsidRPr="003C1E89" w:rsidRDefault="00CC28FD" w:rsidP="00943E84">
            <w:pPr>
              <w:spacing w:line="240" w:lineRule="auto"/>
              <w:jc w:val="left"/>
              <w:rPr>
                <w:rFonts w:ascii="Arial Narrow" w:hAnsi="Arial Narrow" w:cs="Calibri"/>
                <w:b/>
                <w:color w:val="000000"/>
                <w:sz w:val="20"/>
                <w:szCs w:val="20"/>
              </w:rPr>
            </w:pPr>
            <w:proofErr w:type="spellStart"/>
            <w:r w:rsidRPr="003C1E89">
              <w:rPr>
                <w:rFonts w:ascii="Arial Narrow" w:hAnsi="Arial Narrow" w:cs="Calibri"/>
                <w:b/>
                <w:color w:val="000000"/>
                <w:sz w:val="20"/>
                <w:szCs w:val="20"/>
              </w:rPr>
              <w:t>obložnosť</w:t>
            </w:r>
            <w:proofErr w:type="spellEnd"/>
          </w:p>
        </w:tc>
        <w:tc>
          <w:tcPr>
            <w:tcW w:w="560" w:type="dxa"/>
            <w:shd w:val="clear" w:color="auto" w:fill="auto"/>
            <w:noWrap/>
            <w:vAlign w:val="center"/>
            <w:hideMark/>
          </w:tcPr>
          <w:p w14:paraId="031987BD"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87,0</w:t>
            </w:r>
          </w:p>
        </w:tc>
        <w:tc>
          <w:tcPr>
            <w:tcW w:w="656" w:type="dxa"/>
            <w:shd w:val="clear" w:color="auto" w:fill="auto"/>
            <w:noWrap/>
            <w:vAlign w:val="center"/>
            <w:hideMark/>
          </w:tcPr>
          <w:p w14:paraId="05790E84"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81,1</w:t>
            </w:r>
          </w:p>
        </w:tc>
        <w:tc>
          <w:tcPr>
            <w:tcW w:w="560" w:type="dxa"/>
            <w:shd w:val="clear" w:color="auto" w:fill="auto"/>
            <w:noWrap/>
            <w:vAlign w:val="center"/>
            <w:hideMark/>
          </w:tcPr>
          <w:p w14:paraId="102EA1EB"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73,6</w:t>
            </w:r>
          </w:p>
        </w:tc>
        <w:tc>
          <w:tcPr>
            <w:tcW w:w="560" w:type="dxa"/>
            <w:shd w:val="clear" w:color="auto" w:fill="auto"/>
            <w:noWrap/>
            <w:vAlign w:val="center"/>
            <w:hideMark/>
          </w:tcPr>
          <w:p w14:paraId="6806752C"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98,5</w:t>
            </w:r>
          </w:p>
        </w:tc>
        <w:tc>
          <w:tcPr>
            <w:tcW w:w="655" w:type="dxa"/>
            <w:shd w:val="clear" w:color="auto" w:fill="auto"/>
            <w:noWrap/>
            <w:vAlign w:val="center"/>
            <w:hideMark/>
          </w:tcPr>
          <w:p w14:paraId="5ACA0E82"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93,7</w:t>
            </w:r>
          </w:p>
        </w:tc>
        <w:tc>
          <w:tcPr>
            <w:tcW w:w="559" w:type="dxa"/>
            <w:shd w:val="clear" w:color="auto" w:fill="auto"/>
            <w:noWrap/>
            <w:vAlign w:val="center"/>
            <w:hideMark/>
          </w:tcPr>
          <w:p w14:paraId="149B7A94"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96,0</w:t>
            </w:r>
          </w:p>
        </w:tc>
        <w:tc>
          <w:tcPr>
            <w:tcW w:w="655" w:type="dxa"/>
            <w:shd w:val="clear" w:color="auto" w:fill="auto"/>
            <w:noWrap/>
            <w:vAlign w:val="center"/>
            <w:hideMark/>
          </w:tcPr>
          <w:p w14:paraId="2BBA4214"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85,0</w:t>
            </w:r>
          </w:p>
        </w:tc>
        <w:tc>
          <w:tcPr>
            <w:tcW w:w="559" w:type="dxa"/>
            <w:shd w:val="clear" w:color="auto" w:fill="auto"/>
            <w:noWrap/>
            <w:vAlign w:val="center"/>
            <w:hideMark/>
          </w:tcPr>
          <w:p w14:paraId="2385C997"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86,8</w:t>
            </w:r>
          </w:p>
        </w:tc>
        <w:tc>
          <w:tcPr>
            <w:tcW w:w="559" w:type="dxa"/>
            <w:shd w:val="clear" w:color="auto" w:fill="auto"/>
            <w:noWrap/>
            <w:vAlign w:val="center"/>
            <w:hideMark/>
          </w:tcPr>
          <w:p w14:paraId="5E9374E7"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72,4</w:t>
            </w:r>
          </w:p>
        </w:tc>
        <w:tc>
          <w:tcPr>
            <w:tcW w:w="655" w:type="dxa"/>
            <w:shd w:val="clear" w:color="auto" w:fill="auto"/>
            <w:noWrap/>
            <w:vAlign w:val="center"/>
            <w:hideMark/>
          </w:tcPr>
          <w:p w14:paraId="59F8B3F5"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63,3</w:t>
            </w:r>
          </w:p>
        </w:tc>
        <w:tc>
          <w:tcPr>
            <w:tcW w:w="655" w:type="dxa"/>
            <w:shd w:val="clear" w:color="auto" w:fill="auto"/>
            <w:noWrap/>
            <w:vAlign w:val="center"/>
            <w:hideMark/>
          </w:tcPr>
          <w:p w14:paraId="351CA961"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55,7</w:t>
            </w:r>
          </w:p>
        </w:tc>
        <w:tc>
          <w:tcPr>
            <w:tcW w:w="517" w:type="dxa"/>
            <w:vAlign w:val="center"/>
          </w:tcPr>
          <w:p w14:paraId="5BDDFB9F" w14:textId="4BF54A52"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51,2</w:t>
            </w:r>
          </w:p>
        </w:tc>
        <w:tc>
          <w:tcPr>
            <w:tcW w:w="517" w:type="dxa"/>
            <w:vAlign w:val="center"/>
          </w:tcPr>
          <w:p w14:paraId="7E224EEB" w14:textId="6E2319A5"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50,7</w:t>
            </w:r>
          </w:p>
        </w:tc>
      </w:tr>
      <w:tr w:rsidR="00CC28FD" w:rsidRPr="003C1E89" w14:paraId="3A3589C5" w14:textId="053A76F3" w:rsidTr="00CC28FD">
        <w:trPr>
          <w:trHeight w:val="309"/>
          <w:jc w:val="center"/>
        </w:trPr>
        <w:tc>
          <w:tcPr>
            <w:tcW w:w="1777" w:type="dxa"/>
            <w:shd w:val="clear" w:color="auto" w:fill="auto"/>
            <w:noWrap/>
            <w:vAlign w:val="bottom"/>
            <w:hideMark/>
          </w:tcPr>
          <w:p w14:paraId="73E707E1" w14:textId="77777777" w:rsidR="00CC28FD" w:rsidRPr="003C1E89" w:rsidRDefault="00CC28FD" w:rsidP="00943E84">
            <w:pPr>
              <w:spacing w:line="240" w:lineRule="auto"/>
              <w:jc w:val="left"/>
              <w:rPr>
                <w:rFonts w:ascii="Arial Narrow" w:hAnsi="Arial Narrow" w:cs="Calibri"/>
                <w:b/>
                <w:color w:val="000000"/>
                <w:sz w:val="20"/>
                <w:szCs w:val="20"/>
              </w:rPr>
            </w:pPr>
            <w:r w:rsidRPr="003C1E89">
              <w:rPr>
                <w:rFonts w:ascii="Arial Narrow" w:hAnsi="Arial Narrow" w:cs="Calibri"/>
                <w:b/>
                <w:color w:val="000000"/>
                <w:sz w:val="20"/>
                <w:szCs w:val="20"/>
              </w:rPr>
              <w:t xml:space="preserve">priemerná </w:t>
            </w:r>
            <w:proofErr w:type="spellStart"/>
            <w:r w:rsidRPr="003C1E89">
              <w:rPr>
                <w:rFonts w:ascii="Arial Narrow" w:hAnsi="Arial Narrow" w:cs="Calibri"/>
                <w:b/>
                <w:color w:val="000000"/>
                <w:sz w:val="20"/>
                <w:szCs w:val="20"/>
              </w:rPr>
              <w:t>oš</w:t>
            </w:r>
            <w:proofErr w:type="spellEnd"/>
            <w:r w:rsidRPr="003C1E89">
              <w:rPr>
                <w:rFonts w:ascii="Arial Narrow" w:hAnsi="Arial Narrow" w:cs="Calibri"/>
                <w:b/>
                <w:color w:val="000000"/>
                <w:sz w:val="20"/>
                <w:szCs w:val="20"/>
              </w:rPr>
              <w:t>. doba</w:t>
            </w:r>
          </w:p>
        </w:tc>
        <w:tc>
          <w:tcPr>
            <w:tcW w:w="560" w:type="dxa"/>
            <w:shd w:val="clear" w:color="auto" w:fill="auto"/>
            <w:noWrap/>
            <w:vAlign w:val="center"/>
            <w:hideMark/>
          </w:tcPr>
          <w:p w14:paraId="01264245"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8,8</w:t>
            </w:r>
          </w:p>
        </w:tc>
        <w:tc>
          <w:tcPr>
            <w:tcW w:w="656" w:type="dxa"/>
            <w:shd w:val="clear" w:color="auto" w:fill="auto"/>
            <w:noWrap/>
            <w:vAlign w:val="center"/>
            <w:hideMark/>
          </w:tcPr>
          <w:p w14:paraId="33C90A8A"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9,2</w:t>
            </w:r>
          </w:p>
        </w:tc>
        <w:tc>
          <w:tcPr>
            <w:tcW w:w="560" w:type="dxa"/>
            <w:shd w:val="clear" w:color="auto" w:fill="auto"/>
            <w:noWrap/>
            <w:vAlign w:val="center"/>
            <w:hideMark/>
          </w:tcPr>
          <w:p w14:paraId="42A60FD3"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9,6</w:t>
            </w:r>
          </w:p>
        </w:tc>
        <w:tc>
          <w:tcPr>
            <w:tcW w:w="560" w:type="dxa"/>
            <w:shd w:val="clear" w:color="auto" w:fill="auto"/>
            <w:noWrap/>
            <w:vAlign w:val="center"/>
            <w:hideMark/>
          </w:tcPr>
          <w:p w14:paraId="77B9DFC3"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10,5</w:t>
            </w:r>
          </w:p>
        </w:tc>
        <w:tc>
          <w:tcPr>
            <w:tcW w:w="655" w:type="dxa"/>
            <w:shd w:val="clear" w:color="auto" w:fill="auto"/>
            <w:noWrap/>
            <w:vAlign w:val="center"/>
            <w:hideMark/>
          </w:tcPr>
          <w:p w14:paraId="30CA36B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6,8</w:t>
            </w:r>
          </w:p>
        </w:tc>
        <w:tc>
          <w:tcPr>
            <w:tcW w:w="559" w:type="dxa"/>
            <w:shd w:val="clear" w:color="auto" w:fill="auto"/>
            <w:noWrap/>
            <w:vAlign w:val="center"/>
            <w:hideMark/>
          </w:tcPr>
          <w:p w14:paraId="58A22CD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7,8</w:t>
            </w:r>
          </w:p>
        </w:tc>
        <w:tc>
          <w:tcPr>
            <w:tcW w:w="655" w:type="dxa"/>
            <w:shd w:val="clear" w:color="auto" w:fill="auto"/>
            <w:noWrap/>
            <w:vAlign w:val="center"/>
            <w:hideMark/>
          </w:tcPr>
          <w:p w14:paraId="609F7246"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7,1</w:t>
            </w:r>
          </w:p>
        </w:tc>
        <w:tc>
          <w:tcPr>
            <w:tcW w:w="559" w:type="dxa"/>
            <w:shd w:val="clear" w:color="auto" w:fill="auto"/>
            <w:noWrap/>
            <w:vAlign w:val="center"/>
            <w:hideMark/>
          </w:tcPr>
          <w:p w14:paraId="5FEFC16B"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6,2</w:t>
            </w:r>
          </w:p>
        </w:tc>
        <w:tc>
          <w:tcPr>
            <w:tcW w:w="559" w:type="dxa"/>
            <w:shd w:val="clear" w:color="auto" w:fill="auto"/>
            <w:noWrap/>
            <w:vAlign w:val="center"/>
            <w:hideMark/>
          </w:tcPr>
          <w:p w14:paraId="0BDC057C"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7,3</w:t>
            </w:r>
          </w:p>
        </w:tc>
        <w:tc>
          <w:tcPr>
            <w:tcW w:w="655" w:type="dxa"/>
            <w:shd w:val="clear" w:color="auto" w:fill="auto"/>
            <w:noWrap/>
            <w:vAlign w:val="center"/>
            <w:hideMark/>
          </w:tcPr>
          <w:p w14:paraId="12CB10D6"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6,0</w:t>
            </w:r>
          </w:p>
        </w:tc>
        <w:tc>
          <w:tcPr>
            <w:tcW w:w="655" w:type="dxa"/>
            <w:shd w:val="clear" w:color="auto" w:fill="auto"/>
            <w:noWrap/>
            <w:vAlign w:val="center"/>
            <w:hideMark/>
          </w:tcPr>
          <w:p w14:paraId="13518A5B"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5,7</w:t>
            </w:r>
          </w:p>
        </w:tc>
        <w:tc>
          <w:tcPr>
            <w:tcW w:w="517" w:type="dxa"/>
            <w:vAlign w:val="center"/>
          </w:tcPr>
          <w:p w14:paraId="364CDD1D" w14:textId="515C0D58"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6,3</w:t>
            </w:r>
          </w:p>
        </w:tc>
        <w:tc>
          <w:tcPr>
            <w:tcW w:w="517" w:type="dxa"/>
            <w:vAlign w:val="center"/>
          </w:tcPr>
          <w:p w14:paraId="2EF1F935" w14:textId="0CB53509"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5,9</w:t>
            </w:r>
          </w:p>
        </w:tc>
      </w:tr>
      <w:tr w:rsidR="00CC28FD" w:rsidRPr="003C1E89" w14:paraId="78C9AD59" w14:textId="13F2312F" w:rsidTr="00CC28FD">
        <w:trPr>
          <w:trHeight w:val="309"/>
          <w:jc w:val="center"/>
        </w:trPr>
        <w:tc>
          <w:tcPr>
            <w:tcW w:w="1777" w:type="dxa"/>
            <w:shd w:val="clear" w:color="auto" w:fill="auto"/>
            <w:noWrap/>
            <w:vAlign w:val="bottom"/>
            <w:hideMark/>
          </w:tcPr>
          <w:p w14:paraId="32F313B3" w14:textId="77777777" w:rsidR="00CC28FD" w:rsidRPr="003C1E89" w:rsidRDefault="00CC28FD" w:rsidP="00943E84">
            <w:pPr>
              <w:spacing w:line="240" w:lineRule="auto"/>
              <w:jc w:val="left"/>
              <w:rPr>
                <w:rFonts w:ascii="Arial Narrow" w:hAnsi="Arial Narrow" w:cs="Calibri"/>
                <w:b/>
                <w:color w:val="000000"/>
                <w:sz w:val="20"/>
                <w:szCs w:val="20"/>
              </w:rPr>
            </w:pPr>
            <w:r w:rsidRPr="003C1E89">
              <w:rPr>
                <w:rFonts w:ascii="Arial Narrow" w:hAnsi="Arial Narrow" w:cs="Calibri"/>
                <w:b/>
                <w:color w:val="000000"/>
                <w:sz w:val="20"/>
                <w:szCs w:val="20"/>
              </w:rPr>
              <w:t>počet hospitalizácií</w:t>
            </w:r>
          </w:p>
        </w:tc>
        <w:tc>
          <w:tcPr>
            <w:tcW w:w="560" w:type="dxa"/>
            <w:shd w:val="clear" w:color="auto" w:fill="auto"/>
            <w:noWrap/>
            <w:vAlign w:val="center"/>
            <w:hideMark/>
          </w:tcPr>
          <w:p w14:paraId="3247784B"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180</w:t>
            </w:r>
          </w:p>
        </w:tc>
        <w:tc>
          <w:tcPr>
            <w:tcW w:w="656" w:type="dxa"/>
            <w:shd w:val="clear" w:color="auto" w:fill="auto"/>
            <w:noWrap/>
            <w:vAlign w:val="center"/>
            <w:hideMark/>
          </w:tcPr>
          <w:p w14:paraId="7ADEACE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176,5</w:t>
            </w:r>
          </w:p>
        </w:tc>
        <w:tc>
          <w:tcPr>
            <w:tcW w:w="560" w:type="dxa"/>
            <w:shd w:val="clear" w:color="auto" w:fill="auto"/>
            <w:noWrap/>
            <w:vAlign w:val="center"/>
            <w:hideMark/>
          </w:tcPr>
          <w:p w14:paraId="4B9C546A"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168</w:t>
            </w:r>
          </w:p>
        </w:tc>
        <w:tc>
          <w:tcPr>
            <w:tcW w:w="560" w:type="dxa"/>
            <w:shd w:val="clear" w:color="auto" w:fill="auto"/>
            <w:noWrap/>
            <w:vAlign w:val="center"/>
            <w:hideMark/>
          </w:tcPr>
          <w:p w14:paraId="475F4465"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206</w:t>
            </w:r>
          </w:p>
        </w:tc>
        <w:tc>
          <w:tcPr>
            <w:tcW w:w="655" w:type="dxa"/>
            <w:shd w:val="clear" w:color="auto" w:fill="auto"/>
            <w:noWrap/>
            <w:vAlign w:val="center"/>
            <w:hideMark/>
          </w:tcPr>
          <w:p w14:paraId="2CCFA106"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303,5</w:t>
            </w:r>
          </w:p>
        </w:tc>
        <w:tc>
          <w:tcPr>
            <w:tcW w:w="559" w:type="dxa"/>
            <w:shd w:val="clear" w:color="auto" w:fill="auto"/>
            <w:noWrap/>
            <w:vAlign w:val="center"/>
            <w:hideMark/>
          </w:tcPr>
          <w:p w14:paraId="34611DD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268</w:t>
            </w:r>
          </w:p>
        </w:tc>
        <w:tc>
          <w:tcPr>
            <w:tcW w:w="655" w:type="dxa"/>
            <w:shd w:val="clear" w:color="auto" w:fill="auto"/>
            <w:noWrap/>
            <w:vAlign w:val="center"/>
            <w:hideMark/>
          </w:tcPr>
          <w:p w14:paraId="0CC2F04B"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262,5</w:t>
            </w:r>
          </w:p>
        </w:tc>
        <w:tc>
          <w:tcPr>
            <w:tcW w:w="559" w:type="dxa"/>
            <w:shd w:val="clear" w:color="auto" w:fill="auto"/>
            <w:noWrap/>
            <w:vAlign w:val="center"/>
            <w:hideMark/>
          </w:tcPr>
          <w:p w14:paraId="2D89144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307</w:t>
            </w:r>
          </w:p>
        </w:tc>
        <w:tc>
          <w:tcPr>
            <w:tcW w:w="559" w:type="dxa"/>
            <w:shd w:val="clear" w:color="auto" w:fill="auto"/>
            <w:noWrap/>
            <w:vAlign w:val="center"/>
            <w:hideMark/>
          </w:tcPr>
          <w:p w14:paraId="7EDC0058"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273</w:t>
            </w:r>
          </w:p>
        </w:tc>
        <w:tc>
          <w:tcPr>
            <w:tcW w:w="655" w:type="dxa"/>
            <w:shd w:val="clear" w:color="auto" w:fill="auto"/>
            <w:noWrap/>
            <w:vAlign w:val="center"/>
            <w:hideMark/>
          </w:tcPr>
          <w:p w14:paraId="59062947"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306,5</w:t>
            </w:r>
          </w:p>
        </w:tc>
        <w:tc>
          <w:tcPr>
            <w:tcW w:w="655" w:type="dxa"/>
            <w:shd w:val="clear" w:color="auto" w:fill="auto"/>
            <w:noWrap/>
            <w:vAlign w:val="center"/>
            <w:hideMark/>
          </w:tcPr>
          <w:p w14:paraId="5C6A65A1"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283,5</w:t>
            </w:r>
          </w:p>
        </w:tc>
        <w:tc>
          <w:tcPr>
            <w:tcW w:w="517" w:type="dxa"/>
            <w:vAlign w:val="center"/>
          </w:tcPr>
          <w:p w14:paraId="3EB10CEE" w14:textId="02116EF0"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238,5</w:t>
            </w:r>
          </w:p>
        </w:tc>
        <w:tc>
          <w:tcPr>
            <w:tcW w:w="517" w:type="dxa"/>
            <w:vAlign w:val="center"/>
          </w:tcPr>
          <w:p w14:paraId="4D55A420" w14:textId="65610F9E"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25,5</w:t>
            </w:r>
          </w:p>
        </w:tc>
      </w:tr>
      <w:tr w:rsidR="00CC28FD" w:rsidRPr="003C1E89" w14:paraId="760B5C84" w14:textId="69864779" w:rsidTr="00CC28FD">
        <w:trPr>
          <w:trHeight w:val="309"/>
          <w:jc w:val="center"/>
        </w:trPr>
        <w:tc>
          <w:tcPr>
            <w:tcW w:w="1777" w:type="dxa"/>
            <w:shd w:val="clear" w:color="auto" w:fill="auto"/>
            <w:noWrap/>
            <w:vAlign w:val="bottom"/>
            <w:hideMark/>
          </w:tcPr>
          <w:p w14:paraId="6C0C23B1" w14:textId="45F53F32" w:rsidR="00CC28FD" w:rsidRPr="003C1E89" w:rsidRDefault="00CC28FD" w:rsidP="009E0B4F">
            <w:pPr>
              <w:spacing w:line="240" w:lineRule="auto"/>
              <w:jc w:val="left"/>
              <w:rPr>
                <w:rFonts w:ascii="Arial Narrow" w:hAnsi="Arial Narrow" w:cs="Calibri"/>
                <w:b/>
                <w:color w:val="000000"/>
                <w:sz w:val="20"/>
                <w:szCs w:val="20"/>
              </w:rPr>
            </w:pPr>
            <w:r w:rsidRPr="003C1E89">
              <w:rPr>
                <w:rFonts w:ascii="Arial Narrow" w:hAnsi="Arial Narrow" w:cs="Calibri"/>
                <w:b/>
                <w:color w:val="000000"/>
                <w:sz w:val="20"/>
                <w:szCs w:val="20"/>
              </w:rPr>
              <w:t xml:space="preserve">počet </w:t>
            </w:r>
            <w:proofErr w:type="spellStart"/>
            <w:r w:rsidRPr="003C1E89">
              <w:rPr>
                <w:rFonts w:ascii="Arial Narrow" w:hAnsi="Arial Narrow" w:cs="Calibri"/>
                <w:b/>
                <w:color w:val="000000"/>
                <w:sz w:val="20"/>
                <w:szCs w:val="20"/>
              </w:rPr>
              <w:t>oš</w:t>
            </w:r>
            <w:proofErr w:type="spellEnd"/>
            <w:r w:rsidRPr="003C1E89">
              <w:rPr>
                <w:rFonts w:ascii="Arial Narrow" w:hAnsi="Arial Narrow" w:cs="Calibri"/>
                <w:b/>
                <w:color w:val="000000"/>
                <w:sz w:val="20"/>
                <w:szCs w:val="20"/>
              </w:rPr>
              <w:t>. dní</w:t>
            </w:r>
          </w:p>
        </w:tc>
        <w:tc>
          <w:tcPr>
            <w:tcW w:w="560" w:type="dxa"/>
            <w:shd w:val="clear" w:color="auto" w:fill="auto"/>
            <w:noWrap/>
            <w:vAlign w:val="center"/>
            <w:hideMark/>
          </w:tcPr>
          <w:p w14:paraId="28C240F4"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1587</w:t>
            </w:r>
          </w:p>
        </w:tc>
        <w:tc>
          <w:tcPr>
            <w:tcW w:w="656" w:type="dxa"/>
            <w:shd w:val="clear" w:color="auto" w:fill="auto"/>
            <w:noWrap/>
            <w:vAlign w:val="center"/>
            <w:hideMark/>
          </w:tcPr>
          <w:p w14:paraId="3F4289A9"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1629</w:t>
            </w:r>
          </w:p>
        </w:tc>
        <w:tc>
          <w:tcPr>
            <w:tcW w:w="560" w:type="dxa"/>
            <w:shd w:val="clear" w:color="auto" w:fill="auto"/>
            <w:noWrap/>
            <w:vAlign w:val="center"/>
            <w:hideMark/>
          </w:tcPr>
          <w:p w14:paraId="76A7FAFF"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1616</w:t>
            </w:r>
          </w:p>
        </w:tc>
        <w:tc>
          <w:tcPr>
            <w:tcW w:w="560" w:type="dxa"/>
            <w:shd w:val="clear" w:color="auto" w:fill="auto"/>
            <w:noWrap/>
            <w:vAlign w:val="center"/>
            <w:hideMark/>
          </w:tcPr>
          <w:p w14:paraId="25550A57"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2158</w:t>
            </w:r>
          </w:p>
        </w:tc>
        <w:tc>
          <w:tcPr>
            <w:tcW w:w="655" w:type="dxa"/>
            <w:shd w:val="clear" w:color="auto" w:fill="auto"/>
            <w:noWrap/>
            <w:vAlign w:val="center"/>
            <w:hideMark/>
          </w:tcPr>
          <w:p w14:paraId="4A7A6F44"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2051</w:t>
            </w:r>
          </w:p>
        </w:tc>
        <w:tc>
          <w:tcPr>
            <w:tcW w:w="559" w:type="dxa"/>
            <w:shd w:val="clear" w:color="auto" w:fill="auto"/>
            <w:noWrap/>
            <w:vAlign w:val="center"/>
            <w:hideMark/>
          </w:tcPr>
          <w:p w14:paraId="560B5E5E"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2102</w:t>
            </w:r>
          </w:p>
        </w:tc>
        <w:tc>
          <w:tcPr>
            <w:tcW w:w="655" w:type="dxa"/>
            <w:shd w:val="clear" w:color="auto" w:fill="auto"/>
            <w:noWrap/>
            <w:vAlign w:val="center"/>
            <w:hideMark/>
          </w:tcPr>
          <w:p w14:paraId="0D300DC0"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1587</w:t>
            </w:r>
          </w:p>
        </w:tc>
        <w:tc>
          <w:tcPr>
            <w:tcW w:w="559" w:type="dxa"/>
            <w:shd w:val="clear" w:color="auto" w:fill="auto"/>
            <w:noWrap/>
            <w:vAlign w:val="center"/>
            <w:hideMark/>
          </w:tcPr>
          <w:p w14:paraId="078C2AD0"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1900</w:t>
            </w:r>
          </w:p>
        </w:tc>
        <w:tc>
          <w:tcPr>
            <w:tcW w:w="559" w:type="dxa"/>
            <w:shd w:val="clear" w:color="auto" w:fill="auto"/>
            <w:noWrap/>
            <w:vAlign w:val="center"/>
            <w:hideMark/>
          </w:tcPr>
          <w:p w14:paraId="2753198C"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1982</w:t>
            </w:r>
          </w:p>
        </w:tc>
        <w:tc>
          <w:tcPr>
            <w:tcW w:w="655" w:type="dxa"/>
            <w:shd w:val="clear" w:color="auto" w:fill="auto"/>
            <w:noWrap/>
            <w:vAlign w:val="center"/>
            <w:hideMark/>
          </w:tcPr>
          <w:p w14:paraId="3A07DB3D"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1849</w:t>
            </w:r>
          </w:p>
        </w:tc>
        <w:tc>
          <w:tcPr>
            <w:tcW w:w="655" w:type="dxa"/>
            <w:shd w:val="clear" w:color="auto" w:fill="auto"/>
            <w:noWrap/>
            <w:vAlign w:val="center"/>
            <w:hideMark/>
          </w:tcPr>
          <w:p w14:paraId="5A7282A8" w14:textId="77777777" w:rsidR="00CC28FD" w:rsidRPr="003C1E89" w:rsidRDefault="00CC28FD" w:rsidP="00CC28FD">
            <w:pPr>
              <w:spacing w:line="240" w:lineRule="auto"/>
              <w:jc w:val="center"/>
              <w:rPr>
                <w:rFonts w:ascii="Arial Narrow" w:hAnsi="Arial Narrow" w:cs="Calibri"/>
                <w:color w:val="000000"/>
                <w:sz w:val="20"/>
                <w:szCs w:val="20"/>
              </w:rPr>
            </w:pPr>
            <w:r w:rsidRPr="003C1E89">
              <w:rPr>
                <w:rFonts w:ascii="Arial Narrow" w:hAnsi="Arial Narrow" w:cs="Calibri"/>
                <w:color w:val="000000"/>
                <w:sz w:val="20"/>
                <w:szCs w:val="20"/>
              </w:rPr>
              <w:t>1630</w:t>
            </w:r>
          </w:p>
        </w:tc>
        <w:tc>
          <w:tcPr>
            <w:tcW w:w="517" w:type="dxa"/>
            <w:vAlign w:val="center"/>
          </w:tcPr>
          <w:p w14:paraId="14456398" w14:textId="263F6530"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1496</w:t>
            </w:r>
          </w:p>
        </w:tc>
        <w:tc>
          <w:tcPr>
            <w:tcW w:w="517" w:type="dxa"/>
            <w:vAlign w:val="center"/>
          </w:tcPr>
          <w:p w14:paraId="5F70E3B7" w14:textId="2E02776C" w:rsidR="00CC28FD" w:rsidRPr="003C1E89" w:rsidRDefault="00CC28FD" w:rsidP="00CC28FD">
            <w:pPr>
              <w:spacing w:line="240" w:lineRule="auto"/>
              <w:jc w:val="center"/>
              <w:rPr>
                <w:rFonts w:ascii="Arial Narrow" w:hAnsi="Arial Narrow" w:cs="Calibri"/>
                <w:color w:val="000000"/>
                <w:sz w:val="20"/>
                <w:szCs w:val="20"/>
              </w:rPr>
            </w:pPr>
            <w:r>
              <w:rPr>
                <w:rFonts w:ascii="Arial Narrow" w:hAnsi="Arial Narrow" w:cs="Calibri"/>
                <w:color w:val="000000"/>
                <w:sz w:val="20"/>
                <w:szCs w:val="20"/>
              </w:rPr>
              <w:t>1481</w:t>
            </w:r>
          </w:p>
        </w:tc>
      </w:tr>
    </w:tbl>
    <w:p w14:paraId="5274EB21" w14:textId="77777777"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Zdroj: Fakultná nemocnica s poliklinikou Žilina</w:t>
      </w:r>
    </w:p>
    <w:p w14:paraId="5C40B294" w14:textId="72D7A7B8" w:rsidR="00F41314" w:rsidRPr="00B620DE" w:rsidRDefault="00F41314" w:rsidP="00B620DE">
      <w:pPr>
        <w:spacing w:line="240" w:lineRule="auto"/>
        <w:rPr>
          <w:rFonts w:ascii="Century Gothic" w:hAnsi="Century Gothic" w:cstheme="minorHAnsi"/>
          <w:sz w:val="22"/>
          <w:szCs w:val="22"/>
        </w:rPr>
      </w:pPr>
      <w:r w:rsidRPr="00B620DE">
        <w:rPr>
          <w:rFonts w:ascii="Century Gothic" w:hAnsi="Century Gothic" w:cstheme="minorHAnsi"/>
          <w:sz w:val="22"/>
          <w:szCs w:val="22"/>
        </w:rPr>
        <w:lastRenderedPageBreak/>
        <w:t xml:space="preserve">V rámci </w:t>
      </w:r>
      <w:r w:rsidR="00416B1C">
        <w:rPr>
          <w:rFonts w:ascii="Century Gothic" w:hAnsi="Century Gothic" w:cstheme="minorHAnsi"/>
          <w:sz w:val="22"/>
          <w:szCs w:val="22"/>
        </w:rPr>
        <w:t>ŽSK</w:t>
      </w:r>
      <w:r w:rsidRPr="00B620DE">
        <w:rPr>
          <w:rFonts w:ascii="Century Gothic" w:hAnsi="Century Gothic" w:cstheme="minorHAnsi"/>
          <w:sz w:val="22"/>
          <w:szCs w:val="22"/>
        </w:rPr>
        <w:t xml:space="preserve"> je OAIM vyťažené nadpriemerne s veľmi dobrou výkonovou charakteristikou – vysoký počet hospitalizovaných/nízka priemerná doba hospitalizácie. </w:t>
      </w:r>
    </w:p>
    <w:p w14:paraId="60F84AA8" w14:textId="77777777" w:rsidR="006B51EA" w:rsidRDefault="006B51EA" w:rsidP="00F41314">
      <w:pPr>
        <w:rPr>
          <w:rFonts w:ascii="Century Gothic" w:hAnsi="Century Gothic"/>
          <w:lang w:eastAsia="cs-CZ"/>
        </w:rPr>
      </w:pPr>
    </w:p>
    <w:p w14:paraId="71CF9B69" w14:textId="2960CD11" w:rsidR="002E2EC5" w:rsidRPr="00610835" w:rsidRDefault="002E2EC5" w:rsidP="002E2EC5">
      <w:pPr>
        <w:keepNext/>
        <w:spacing w:line="240" w:lineRule="auto"/>
        <w:rPr>
          <w:rFonts w:ascii="Century Gothic" w:hAnsi="Century Gothic"/>
          <w:i/>
          <w:sz w:val="20"/>
          <w:szCs w:val="20"/>
        </w:rPr>
      </w:pPr>
      <w:bookmarkStart w:id="88" w:name="_Toc145219923"/>
      <w:r w:rsidRPr="002E2EC5">
        <w:rPr>
          <w:rFonts w:ascii="Century Gothic" w:hAnsi="Century Gothic"/>
          <w:i/>
          <w:sz w:val="20"/>
          <w:szCs w:val="20"/>
        </w:rPr>
        <w:t xml:space="preserve">Tabuľka </w:t>
      </w:r>
      <w:r w:rsidRPr="002E2EC5">
        <w:rPr>
          <w:rFonts w:ascii="Century Gothic" w:hAnsi="Century Gothic"/>
          <w:i/>
          <w:sz w:val="20"/>
          <w:szCs w:val="20"/>
        </w:rPr>
        <w:fldChar w:fldCharType="begin"/>
      </w:r>
      <w:r w:rsidRPr="002E2EC5">
        <w:rPr>
          <w:rFonts w:ascii="Century Gothic" w:hAnsi="Century Gothic"/>
          <w:i/>
          <w:sz w:val="20"/>
          <w:szCs w:val="20"/>
        </w:rPr>
        <w:instrText xml:space="preserve"> SEQ Tabuľka \* ARABIC </w:instrText>
      </w:r>
      <w:r w:rsidRPr="002E2EC5">
        <w:rPr>
          <w:rFonts w:ascii="Century Gothic" w:hAnsi="Century Gothic"/>
          <w:i/>
          <w:sz w:val="20"/>
          <w:szCs w:val="20"/>
        </w:rPr>
        <w:fldChar w:fldCharType="separate"/>
      </w:r>
      <w:r w:rsidR="007D6A44">
        <w:rPr>
          <w:rFonts w:ascii="Century Gothic" w:hAnsi="Century Gothic"/>
          <w:i/>
          <w:noProof/>
          <w:sz w:val="20"/>
          <w:szCs w:val="20"/>
        </w:rPr>
        <w:t>22</w:t>
      </w:r>
      <w:r w:rsidRPr="002E2EC5">
        <w:rPr>
          <w:rFonts w:ascii="Century Gothic" w:hAnsi="Century Gothic"/>
          <w:i/>
          <w:sz w:val="20"/>
          <w:szCs w:val="20"/>
        </w:rPr>
        <w:fldChar w:fldCharType="end"/>
      </w:r>
      <w:r w:rsidRPr="002E2EC5">
        <w:rPr>
          <w:rFonts w:ascii="Century Gothic" w:hAnsi="Century Gothic"/>
          <w:i/>
          <w:sz w:val="20"/>
          <w:szCs w:val="20"/>
        </w:rPr>
        <w:t xml:space="preserve"> </w:t>
      </w:r>
      <w:r w:rsidRPr="00610835">
        <w:rPr>
          <w:rFonts w:ascii="Century Gothic" w:hAnsi="Century Gothic"/>
          <w:i/>
          <w:sz w:val="20"/>
          <w:szCs w:val="20"/>
        </w:rPr>
        <w:t>Počet hospitalizácií na OAIM 2010-2021</w:t>
      </w:r>
      <w:bookmarkEnd w:id="88"/>
    </w:p>
    <w:tbl>
      <w:tblPr>
        <w:tblW w:w="10240" w:type="dxa"/>
        <w:jc w:val="center"/>
        <w:tblCellMar>
          <w:left w:w="70" w:type="dxa"/>
          <w:right w:w="70" w:type="dxa"/>
        </w:tblCellMar>
        <w:tblLook w:val="04A0" w:firstRow="1" w:lastRow="0" w:firstColumn="1" w:lastColumn="0" w:noHBand="0" w:noVBand="1"/>
      </w:tblPr>
      <w:tblGrid>
        <w:gridCol w:w="2320"/>
        <w:gridCol w:w="660"/>
        <w:gridCol w:w="660"/>
        <w:gridCol w:w="660"/>
        <w:gridCol w:w="660"/>
        <w:gridCol w:w="660"/>
        <w:gridCol w:w="660"/>
        <w:gridCol w:w="660"/>
        <w:gridCol w:w="660"/>
        <w:gridCol w:w="660"/>
        <w:gridCol w:w="660"/>
        <w:gridCol w:w="660"/>
        <w:gridCol w:w="660"/>
      </w:tblGrid>
      <w:tr w:rsidR="00F41314" w:rsidRPr="003C1E89" w14:paraId="00694FF4" w14:textId="77777777" w:rsidTr="003C1E89">
        <w:trPr>
          <w:trHeight w:val="255"/>
          <w:jc w:val="center"/>
        </w:trPr>
        <w:tc>
          <w:tcPr>
            <w:tcW w:w="2320" w:type="dxa"/>
            <w:shd w:val="clear" w:color="auto" w:fill="595959" w:themeFill="text1" w:themeFillTint="A6"/>
            <w:noWrap/>
            <w:vAlign w:val="bottom"/>
            <w:hideMark/>
          </w:tcPr>
          <w:p w14:paraId="5CD292F6" w14:textId="77777777" w:rsidR="00F41314" w:rsidRPr="003C1E89" w:rsidRDefault="00F41314" w:rsidP="002968D3">
            <w:pPr>
              <w:spacing w:line="240" w:lineRule="auto"/>
              <w:jc w:val="left"/>
              <w:rPr>
                <w:rFonts w:ascii="Arial Narrow" w:hAnsi="Arial Narrow" w:cs="Arial"/>
                <w:color w:val="FFFFFF" w:themeColor="background1"/>
                <w:sz w:val="20"/>
                <w:szCs w:val="20"/>
              </w:rPr>
            </w:pPr>
            <w:r w:rsidRPr="003C1E89">
              <w:rPr>
                <w:rFonts w:ascii="Arial Narrow" w:hAnsi="Arial Narrow" w:cs="Arial"/>
                <w:color w:val="FFFFFF" w:themeColor="background1"/>
                <w:sz w:val="20"/>
                <w:szCs w:val="20"/>
              </w:rPr>
              <w:t> </w:t>
            </w:r>
          </w:p>
        </w:tc>
        <w:tc>
          <w:tcPr>
            <w:tcW w:w="660" w:type="dxa"/>
            <w:shd w:val="clear" w:color="auto" w:fill="595959" w:themeFill="text1" w:themeFillTint="A6"/>
            <w:noWrap/>
            <w:vAlign w:val="bottom"/>
            <w:hideMark/>
          </w:tcPr>
          <w:p w14:paraId="155CE0D4"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2010</w:t>
            </w:r>
          </w:p>
        </w:tc>
        <w:tc>
          <w:tcPr>
            <w:tcW w:w="660" w:type="dxa"/>
            <w:shd w:val="clear" w:color="auto" w:fill="595959" w:themeFill="text1" w:themeFillTint="A6"/>
            <w:noWrap/>
            <w:vAlign w:val="bottom"/>
            <w:hideMark/>
          </w:tcPr>
          <w:p w14:paraId="2729E95A"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2011</w:t>
            </w:r>
          </w:p>
        </w:tc>
        <w:tc>
          <w:tcPr>
            <w:tcW w:w="660" w:type="dxa"/>
            <w:shd w:val="clear" w:color="auto" w:fill="595959" w:themeFill="text1" w:themeFillTint="A6"/>
            <w:noWrap/>
            <w:vAlign w:val="bottom"/>
            <w:hideMark/>
          </w:tcPr>
          <w:p w14:paraId="0DE9EE5A"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2012</w:t>
            </w:r>
          </w:p>
        </w:tc>
        <w:tc>
          <w:tcPr>
            <w:tcW w:w="660" w:type="dxa"/>
            <w:shd w:val="clear" w:color="auto" w:fill="595959" w:themeFill="text1" w:themeFillTint="A6"/>
            <w:noWrap/>
            <w:vAlign w:val="bottom"/>
            <w:hideMark/>
          </w:tcPr>
          <w:p w14:paraId="62699F33"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2013</w:t>
            </w:r>
          </w:p>
        </w:tc>
        <w:tc>
          <w:tcPr>
            <w:tcW w:w="660" w:type="dxa"/>
            <w:shd w:val="clear" w:color="auto" w:fill="595959" w:themeFill="text1" w:themeFillTint="A6"/>
            <w:noWrap/>
            <w:vAlign w:val="bottom"/>
            <w:hideMark/>
          </w:tcPr>
          <w:p w14:paraId="090D63B0"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2014</w:t>
            </w:r>
          </w:p>
        </w:tc>
        <w:tc>
          <w:tcPr>
            <w:tcW w:w="660" w:type="dxa"/>
            <w:shd w:val="clear" w:color="auto" w:fill="595959" w:themeFill="text1" w:themeFillTint="A6"/>
            <w:noWrap/>
            <w:vAlign w:val="bottom"/>
            <w:hideMark/>
          </w:tcPr>
          <w:p w14:paraId="61B60996"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2015</w:t>
            </w:r>
          </w:p>
        </w:tc>
        <w:tc>
          <w:tcPr>
            <w:tcW w:w="660" w:type="dxa"/>
            <w:shd w:val="clear" w:color="auto" w:fill="595959" w:themeFill="text1" w:themeFillTint="A6"/>
            <w:noWrap/>
            <w:vAlign w:val="bottom"/>
            <w:hideMark/>
          </w:tcPr>
          <w:p w14:paraId="1F9AB79B"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2016</w:t>
            </w:r>
          </w:p>
        </w:tc>
        <w:tc>
          <w:tcPr>
            <w:tcW w:w="660" w:type="dxa"/>
            <w:shd w:val="clear" w:color="auto" w:fill="595959" w:themeFill="text1" w:themeFillTint="A6"/>
            <w:noWrap/>
            <w:vAlign w:val="bottom"/>
            <w:hideMark/>
          </w:tcPr>
          <w:p w14:paraId="0D826F4E"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2017</w:t>
            </w:r>
          </w:p>
        </w:tc>
        <w:tc>
          <w:tcPr>
            <w:tcW w:w="660" w:type="dxa"/>
            <w:shd w:val="clear" w:color="auto" w:fill="595959" w:themeFill="text1" w:themeFillTint="A6"/>
            <w:noWrap/>
            <w:vAlign w:val="bottom"/>
            <w:hideMark/>
          </w:tcPr>
          <w:p w14:paraId="5FF4CD70"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2018</w:t>
            </w:r>
          </w:p>
        </w:tc>
        <w:tc>
          <w:tcPr>
            <w:tcW w:w="660" w:type="dxa"/>
            <w:shd w:val="clear" w:color="auto" w:fill="595959" w:themeFill="text1" w:themeFillTint="A6"/>
            <w:noWrap/>
            <w:vAlign w:val="bottom"/>
            <w:hideMark/>
          </w:tcPr>
          <w:p w14:paraId="4D7A342D"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2019</w:t>
            </w:r>
          </w:p>
        </w:tc>
        <w:tc>
          <w:tcPr>
            <w:tcW w:w="660" w:type="dxa"/>
            <w:shd w:val="clear" w:color="auto" w:fill="595959" w:themeFill="text1" w:themeFillTint="A6"/>
            <w:noWrap/>
            <w:vAlign w:val="bottom"/>
            <w:hideMark/>
          </w:tcPr>
          <w:p w14:paraId="6430912A"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2020</w:t>
            </w:r>
          </w:p>
        </w:tc>
        <w:tc>
          <w:tcPr>
            <w:tcW w:w="660" w:type="dxa"/>
            <w:shd w:val="clear" w:color="auto" w:fill="595959" w:themeFill="text1" w:themeFillTint="A6"/>
            <w:noWrap/>
            <w:vAlign w:val="bottom"/>
            <w:hideMark/>
          </w:tcPr>
          <w:p w14:paraId="363DEAE6"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2021</w:t>
            </w:r>
          </w:p>
        </w:tc>
      </w:tr>
      <w:tr w:rsidR="00F41314" w:rsidRPr="003C1E89" w14:paraId="49101C8C" w14:textId="77777777" w:rsidTr="003C1E89">
        <w:trPr>
          <w:trHeight w:val="255"/>
          <w:jc w:val="center"/>
        </w:trPr>
        <w:tc>
          <w:tcPr>
            <w:tcW w:w="2320" w:type="dxa"/>
            <w:shd w:val="clear" w:color="auto" w:fill="auto"/>
            <w:noWrap/>
            <w:vAlign w:val="bottom"/>
            <w:hideMark/>
          </w:tcPr>
          <w:p w14:paraId="632CE14F" w14:textId="77777777"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Považská Bystrica</w:t>
            </w:r>
          </w:p>
        </w:tc>
        <w:tc>
          <w:tcPr>
            <w:tcW w:w="660" w:type="dxa"/>
            <w:shd w:val="clear" w:color="auto" w:fill="auto"/>
            <w:noWrap/>
            <w:vAlign w:val="bottom"/>
            <w:hideMark/>
          </w:tcPr>
          <w:p w14:paraId="4BCC913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224</w:t>
            </w:r>
          </w:p>
        </w:tc>
        <w:tc>
          <w:tcPr>
            <w:tcW w:w="660" w:type="dxa"/>
            <w:shd w:val="clear" w:color="auto" w:fill="auto"/>
            <w:noWrap/>
            <w:vAlign w:val="bottom"/>
            <w:hideMark/>
          </w:tcPr>
          <w:p w14:paraId="01EB69A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191</w:t>
            </w:r>
          </w:p>
        </w:tc>
        <w:tc>
          <w:tcPr>
            <w:tcW w:w="660" w:type="dxa"/>
            <w:shd w:val="clear" w:color="auto" w:fill="auto"/>
            <w:noWrap/>
            <w:vAlign w:val="bottom"/>
            <w:hideMark/>
          </w:tcPr>
          <w:p w14:paraId="3F403B5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182</w:t>
            </w:r>
          </w:p>
        </w:tc>
        <w:tc>
          <w:tcPr>
            <w:tcW w:w="660" w:type="dxa"/>
            <w:shd w:val="clear" w:color="auto" w:fill="auto"/>
            <w:noWrap/>
            <w:vAlign w:val="bottom"/>
            <w:hideMark/>
          </w:tcPr>
          <w:p w14:paraId="1E31BAD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213</w:t>
            </w:r>
          </w:p>
        </w:tc>
        <w:tc>
          <w:tcPr>
            <w:tcW w:w="660" w:type="dxa"/>
            <w:shd w:val="clear" w:color="auto" w:fill="auto"/>
            <w:noWrap/>
            <w:vAlign w:val="bottom"/>
            <w:hideMark/>
          </w:tcPr>
          <w:p w14:paraId="74D8F3E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187</w:t>
            </w:r>
          </w:p>
        </w:tc>
        <w:tc>
          <w:tcPr>
            <w:tcW w:w="660" w:type="dxa"/>
            <w:shd w:val="clear" w:color="auto" w:fill="auto"/>
            <w:noWrap/>
            <w:vAlign w:val="bottom"/>
            <w:hideMark/>
          </w:tcPr>
          <w:p w14:paraId="42131C5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216</w:t>
            </w:r>
          </w:p>
        </w:tc>
        <w:tc>
          <w:tcPr>
            <w:tcW w:w="660" w:type="dxa"/>
            <w:shd w:val="clear" w:color="auto" w:fill="auto"/>
            <w:noWrap/>
            <w:vAlign w:val="bottom"/>
            <w:hideMark/>
          </w:tcPr>
          <w:p w14:paraId="72344EC9"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205</w:t>
            </w:r>
          </w:p>
        </w:tc>
        <w:tc>
          <w:tcPr>
            <w:tcW w:w="660" w:type="dxa"/>
            <w:shd w:val="clear" w:color="auto" w:fill="auto"/>
            <w:noWrap/>
            <w:vAlign w:val="bottom"/>
            <w:hideMark/>
          </w:tcPr>
          <w:p w14:paraId="5BBF72E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191</w:t>
            </w:r>
          </w:p>
        </w:tc>
        <w:tc>
          <w:tcPr>
            <w:tcW w:w="660" w:type="dxa"/>
            <w:shd w:val="clear" w:color="auto" w:fill="auto"/>
            <w:noWrap/>
            <w:vAlign w:val="bottom"/>
            <w:hideMark/>
          </w:tcPr>
          <w:p w14:paraId="5AA7C16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193</w:t>
            </w:r>
          </w:p>
        </w:tc>
        <w:tc>
          <w:tcPr>
            <w:tcW w:w="660" w:type="dxa"/>
            <w:shd w:val="clear" w:color="auto" w:fill="auto"/>
            <w:noWrap/>
            <w:vAlign w:val="bottom"/>
            <w:hideMark/>
          </w:tcPr>
          <w:p w14:paraId="70B2D90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143</w:t>
            </w:r>
          </w:p>
        </w:tc>
        <w:tc>
          <w:tcPr>
            <w:tcW w:w="660" w:type="dxa"/>
            <w:shd w:val="clear" w:color="auto" w:fill="auto"/>
            <w:noWrap/>
            <w:vAlign w:val="bottom"/>
            <w:hideMark/>
          </w:tcPr>
          <w:p w14:paraId="183C576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164</w:t>
            </w:r>
          </w:p>
        </w:tc>
        <w:tc>
          <w:tcPr>
            <w:tcW w:w="660" w:type="dxa"/>
            <w:shd w:val="clear" w:color="auto" w:fill="auto"/>
            <w:noWrap/>
            <w:vAlign w:val="bottom"/>
            <w:hideMark/>
          </w:tcPr>
          <w:p w14:paraId="5DF2DCD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216</w:t>
            </w:r>
          </w:p>
        </w:tc>
      </w:tr>
      <w:tr w:rsidR="00F41314" w:rsidRPr="003C1E89" w14:paraId="0943493C" w14:textId="77777777" w:rsidTr="003C1E89">
        <w:trPr>
          <w:trHeight w:val="255"/>
          <w:jc w:val="center"/>
        </w:trPr>
        <w:tc>
          <w:tcPr>
            <w:tcW w:w="2320" w:type="dxa"/>
            <w:shd w:val="clear" w:color="auto" w:fill="auto"/>
            <w:noWrap/>
            <w:vAlign w:val="bottom"/>
            <w:hideMark/>
          </w:tcPr>
          <w:p w14:paraId="0A23EFEB" w14:textId="0A0A37C3" w:rsidR="00F41314" w:rsidRPr="003C1E89" w:rsidRDefault="003C1E89" w:rsidP="002968D3">
            <w:pPr>
              <w:spacing w:line="240" w:lineRule="auto"/>
              <w:jc w:val="left"/>
              <w:rPr>
                <w:rFonts w:ascii="Arial Narrow" w:hAnsi="Arial Narrow" w:cs="Arial"/>
                <w:b/>
                <w:bCs/>
                <w:color w:val="000000"/>
                <w:sz w:val="20"/>
                <w:szCs w:val="20"/>
              </w:rPr>
            </w:pPr>
            <w:r>
              <w:rPr>
                <w:rFonts w:ascii="Arial Narrow" w:hAnsi="Arial Narrow" w:cs="Arial"/>
                <w:b/>
                <w:bCs/>
                <w:color w:val="000000"/>
                <w:sz w:val="20"/>
                <w:szCs w:val="20"/>
              </w:rPr>
              <w:t>N</w:t>
            </w:r>
            <w:r w:rsidR="00F41314" w:rsidRPr="003C1E89">
              <w:rPr>
                <w:rFonts w:ascii="Arial Narrow" w:hAnsi="Arial Narrow" w:cs="Arial"/>
                <w:b/>
                <w:bCs/>
                <w:color w:val="000000"/>
                <w:sz w:val="20"/>
                <w:szCs w:val="20"/>
              </w:rPr>
              <w:t>sP Čadca</w:t>
            </w:r>
          </w:p>
        </w:tc>
        <w:tc>
          <w:tcPr>
            <w:tcW w:w="660" w:type="dxa"/>
            <w:shd w:val="clear" w:color="auto" w:fill="auto"/>
            <w:noWrap/>
            <w:vAlign w:val="bottom"/>
            <w:hideMark/>
          </w:tcPr>
          <w:p w14:paraId="1FB7C1A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201</w:t>
            </w:r>
          </w:p>
        </w:tc>
        <w:tc>
          <w:tcPr>
            <w:tcW w:w="660" w:type="dxa"/>
            <w:shd w:val="clear" w:color="auto" w:fill="auto"/>
            <w:noWrap/>
            <w:vAlign w:val="bottom"/>
            <w:hideMark/>
          </w:tcPr>
          <w:p w14:paraId="678D98E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219</w:t>
            </w:r>
          </w:p>
        </w:tc>
        <w:tc>
          <w:tcPr>
            <w:tcW w:w="660" w:type="dxa"/>
            <w:shd w:val="clear" w:color="auto" w:fill="auto"/>
            <w:noWrap/>
            <w:vAlign w:val="bottom"/>
            <w:hideMark/>
          </w:tcPr>
          <w:p w14:paraId="3E2FE9A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210</w:t>
            </w:r>
          </w:p>
        </w:tc>
        <w:tc>
          <w:tcPr>
            <w:tcW w:w="660" w:type="dxa"/>
            <w:shd w:val="clear" w:color="auto" w:fill="auto"/>
            <w:noWrap/>
            <w:vAlign w:val="bottom"/>
            <w:hideMark/>
          </w:tcPr>
          <w:p w14:paraId="4F24732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223</w:t>
            </w:r>
          </w:p>
        </w:tc>
        <w:tc>
          <w:tcPr>
            <w:tcW w:w="660" w:type="dxa"/>
            <w:shd w:val="clear" w:color="auto" w:fill="auto"/>
            <w:noWrap/>
            <w:vAlign w:val="bottom"/>
            <w:hideMark/>
          </w:tcPr>
          <w:p w14:paraId="446383A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209</w:t>
            </w:r>
          </w:p>
        </w:tc>
        <w:tc>
          <w:tcPr>
            <w:tcW w:w="660" w:type="dxa"/>
            <w:shd w:val="clear" w:color="auto" w:fill="auto"/>
            <w:noWrap/>
            <w:vAlign w:val="bottom"/>
            <w:hideMark/>
          </w:tcPr>
          <w:p w14:paraId="38BF672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203</w:t>
            </w:r>
          </w:p>
        </w:tc>
        <w:tc>
          <w:tcPr>
            <w:tcW w:w="660" w:type="dxa"/>
            <w:shd w:val="clear" w:color="auto" w:fill="auto"/>
            <w:noWrap/>
            <w:vAlign w:val="bottom"/>
            <w:hideMark/>
          </w:tcPr>
          <w:p w14:paraId="21E42A5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229</w:t>
            </w:r>
          </w:p>
        </w:tc>
        <w:tc>
          <w:tcPr>
            <w:tcW w:w="660" w:type="dxa"/>
            <w:shd w:val="clear" w:color="auto" w:fill="auto"/>
            <w:noWrap/>
            <w:vAlign w:val="bottom"/>
            <w:hideMark/>
          </w:tcPr>
          <w:p w14:paraId="49382A49"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198</w:t>
            </w:r>
          </w:p>
        </w:tc>
        <w:tc>
          <w:tcPr>
            <w:tcW w:w="660" w:type="dxa"/>
            <w:shd w:val="clear" w:color="auto" w:fill="auto"/>
            <w:noWrap/>
            <w:vAlign w:val="bottom"/>
            <w:hideMark/>
          </w:tcPr>
          <w:p w14:paraId="0ABB099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190</w:t>
            </w:r>
          </w:p>
        </w:tc>
        <w:tc>
          <w:tcPr>
            <w:tcW w:w="660" w:type="dxa"/>
            <w:shd w:val="clear" w:color="auto" w:fill="auto"/>
            <w:noWrap/>
            <w:vAlign w:val="bottom"/>
            <w:hideMark/>
          </w:tcPr>
          <w:p w14:paraId="446B9BE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165</w:t>
            </w:r>
          </w:p>
        </w:tc>
        <w:tc>
          <w:tcPr>
            <w:tcW w:w="660" w:type="dxa"/>
            <w:shd w:val="clear" w:color="auto" w:fill="auto"/>
            <w:noWrap/>
            <w:vAlign w:val="bottom"/>
            <w:hideMark/>
          </w:tcPr>
          <w:p w14:paraId="6F47DF2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145</w:t>
            </w:r>
          </w:p>
        </w:tc>
        <w:tc>
          <w:tcPr>
            <w:tcW w:w="660" w:type="dxa"/>
            <w:shd w:val="clear" w:color="auto" w:fill="auto"/>
            <w:noWrap/>
            <w:vAlign w:val="bottom"/>
            <w:hideMark/>
          </w:tcPr>
          <w:p w14:paraId="3348C1E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173</w:t>
            </w:r>
          </w:p>
        </w:tc>
      </w:tr>
      <w:tr w:rsidR="00F41314" w:rsidRPr="003C1E89" w14:paraId="2FE1C7A7" w14:textId="77777777" w:rsidTr="003C1E89">
        <w:trPr>
          <w:trHeight w:val="255"/>
          <w:jc w:val="center"/>
        </w:trPr>
        <w:tc>
          <w:tcPr>
            <w:tcW w:w="2320" w:type="dxa"/>
            <w:shd w:val="clear" w:color="auto" w:fill="auto"/>
            <w:noWrap/>
            <w:vAlign w:val="bottom"/>
            <w:hideMark/>
          </w:tcPr>
          <w:p w14:paraId="755D2A82" w14:textId="77777777"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Dolný Kubín</w:t>
            </w:r>
          </w:p>
        </w:tc>
        <w:tc>
          <w:tcPr>
            <w:tcW w:w="660" w:type="dxa"/>
            <w:shd w:val="clear" w:color="auto" w:fill="auto"/>
            <w:noWrap/>
            <w:vAlign w:val="bottom"/>
            <w:hideMark/>
          </w:tcPr>
          <w:p w14:paraId="1234A169"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97</w:t>
            </w:r>
          </w:p>
        </w:tc>
        <w:tc>
          <w:tcPr>
            <w:tcW w:w="660" w:type="dxa"/>
            <w:shd w:val="clear" w:color="auto" w:fill="auto"/>
            <w:noWrap/>
            <w:vAlign w:val="bottom"/>
            <w:hideMark/>
          </w:tcPr>
          <w:p w14:paraId="0820E71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84</w:t>
            </w:r>
          </w:p>
        </w:tc>
        <w:tc>
          <w:tcPr>
            <w:tcW w:w="660" w:type="dxa"/>
            <w:shd w:val="clear" w:color="auto" w:fill="auto"/>
            <w:noWrap/>
            <w:vAlign w:val="bottom"/>
            <w:hideMark/>
          </w:tcPr>
          <w:p w14:paraId="714DAB0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99</w:t>
            </w:r>
          </w:p>
        </w:tc>
        <w:tc>
          <w:tcPr>
            <w:tcW w:w="660" w:type="dxa"/>
            <w:shd w:val="clear" w:color="auto" w:fill="auto"/>
            <w:noWrap/>
            <w:vAlign w:val="bottom"/>
            <w:hideMark/>
          </w:tcPr>
          <w:p w14:paraId="4BA61CC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106</w:t>
            </w:r>
          </w:p>
        </w:tc>
        <w:tc>
          <w:tcPr>
            <w:tcW w:w="660" w:type="dxa"/>
            <w:shd w:val="clear" w:color="auto" w:fill="auto"/>
            <w:noWrap/>
            <w:vAlign w:val="bottom"/>
            <w:hideMark/>
          </w:tcPr>
          <w:p w14:paraId="3EABE3C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79</w:t>
            </w:r>
          </w:p>
        </w:tc>
        <w:tc>
          <w:tcPr>
            <w:tcW w:w="660" w:type="dxa"/>
            <w:shd w:val="clear" w:color="auto" w:fill="auto"/>
            <w:noWrap/>
            <w:vAlign w:val="bottom"/>
            <w:hideMark/>
          </w:tcPr>
          <w:p w14:paraId="634E141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100</w:t>
            </w:r>
          </w:p>
        </w:tc>
        <w:tc>
          <w:tcPr>
            <w:tcW w:w="660" w:type="dxa"/>
            <w:shd w:val="clear" w:color="auto" w:fill="auto"/>
            <w:noWrap/>
            <w:vAlign w:val="bottom"/>
            <w:hideMark/>
          </w:tcPr>
          <w:p w14:paraId="4564DB0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103</w:t>
            </w:r>
          </w:p>
        </w:tc>
        <w:tc>
          <w:tcPr>
            <w:tcW w:w="660" w:type="dxa"/>
            <w:shd w:val="clear" w:color="auto" w:fill="auto"/>
            <w:noWrap/>
            <w:vAlign w:val="bottom"/>
            <w:hideMark/>
          </w:tcPr>
          <w:p w14:paraId="4933188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105</w:t>
            </w:r>
          </w:p>
        </w:tc>
        <w:tc>
          <w:tcPr>
            <w:tcW w:w="660" w:type="dxa"/>
            <w:shd w:val="clear" w:color="auto" w:fill="auto"/>
            <w:noWrap/>
            <w:vAlign w:val="bottom"/>
            <w:hideMark/>
          </w:tcPr>
          <w:p w14:paraId="4841828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104</w:t>
            </w:r>
          </w:p>
        </w:tc>
        <w:tc>
          <w:tcPr>
            <w:tcW w:w="660" w:type="dxa"/>
            <w:shd w:val="clear" w:color="auto" w:fill="auto"/>
            <w:noWrap/>
            <w:vAlign w:val="bottom"/>
            <w:hideMark/>
          </w:tcPr>
          <w:p w14:paraId="1438924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90</w:t>
            </w:r>
          </w:p>
        </w:tc>
        <w:tc>
          <w:tcPr>
            <w:tcW w:w="660" w:type="dxa"/>
            <w:shd w:val="clear" w:color="auto" w:fill="auto"/>
            <w:noWrap/>
            <w:vAlign w:val="bottom"/>
            <w:hideMark/>
          </w:tcPr>
          <w:p w14:paraId="5950EB49"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123</w:t>
            </w:r>
          </w:p>
        </w:tc>
        <w:tc>
          <w:tcPr>
            <w:tcW w:w="660" w:type="dxa"/>
            <w:shd w:val="clear" w:color="auto" w:fill="auto"/>
            <w:noWrap/>
            <w:vAlign w:val="bottom"/>
            <w:hideMark/>
          </w:tcPr>
          <w:p w14:paraId="105F378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137</w:t>
            </w:r>
          </w:p>
        </w:tc>
      </w:tr>
      <w:tr w:rsidR="00F41314" w:rsidRPr="003C1E89" w14:paraId="4129670A" w14:textId="77777777" w:rsidTr="003C1E89">
        <w:trPr>
          <w:trHeight w:val="259"/>
          <w:jc w:val="center"/>
        </w:trPr>
        <w:tc>
          <w:tcPr>
            <w:tcW w:w="2320" w:type="dxa"/>
            <w:shd w:val="clear" w:color="auto" w:fill="auto"/>
            <w:noWrap/>
            <w:vAlign w:val="bottom"/>
            <w:hideMark/>
          </w:tcPr>
          <w:p w14:paraId="03B51F73" w14:textId="53CA69C1"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Liptovský Mikuláš</w:t>
            </w:r>
          </w:p>
        </w:tc>
        <w:tc>
          <w:tcPr>
            <w:tcW w:w="660" w:type="dxa"/>
            <w:shd w:val="clear" w:color="auto" w:fill="auto"/>
            <w:noWrap/>
            <w:vAlign w:val="bottom"/>
            <w:hideMark/>
          </w:tcPr>
          <w:p w14:paraId="568420B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166</w:t>
            </w:r>
          </w:p>
        </w:tc>
        <w:tc>
          <w:tcPr>
            <w:tcW w:w="660" w:type="dxa"/>
            <w:shd w:val="clear" w:color="auto" w:fill="auto"/>
            <w:noWrap/>
            <w:vAlign w:val="bottom"/>
            <w:hideMark/>
          </w:tcPr>
          <w:p w14:paraId="25E8178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202</w:t>
            </w:r>
          </w:p>
        </w:tc>
        <w:tc>
          <w:tcPr>
            <w:tcW w:w="660" w:type="dxa"/>
            <w:shd w:val="clear" w:color="auto" w:fill="auto"/>
            <w:noWrap/>
            <w:vAlign w:val="bottom"/>
            <w:hideMark/>
          </w:tcPr>
          <w:p w14:paraId="53DC347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187</w:t>
            </w:r>
          </w:p>
        </w:tc>
        <w:tc>
          <w:tcPr>
            <w:tcW w:w="660" w:type="dxa"/>
            <w:shd w:val="clear" w:color="auto" w:fill="auto"/>
            <w:noWrap/>
            <w:vAlign w:val="bottom"/>
            <w:hideMark/>
          </w:tcPr>
          <w:p w14:paraId="41D6AF6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175</w:t>
            </w:r>
          </w:p>
        </w:tc>
        <w:tc>
          <w:tcPr>
            <w:tcW w:w="660" w:type="dxa"/>
            <w:shd w:val="clear" w:color="auto" w:fill="auto"/>
            <w:noWrap/>
            <w:vAlign w:val="bottom"/>
            <w:hideMark/>
          </w:tcPr>
          <w:p w14:paraId="6414A06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163</w:t>
            </w:r>
          </w:p>
        </w:tc>
        <w:tc>
          <w:tcPr>
            <w:tcW w:w="660" w:type="dxa"/>
            <w:shd w:val="clear" w:color="auto" w:fill="auto"/>
            <w:noWrap/>
            <w:vAlign w:val="bottom"/>
            <w:hideMark/>
          </w:tcPr>
          <w:p w14:paraId="065B0F1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174</w:t>
            </w:r>
          </w:p>
        </w:tc>
        <w:tc>
          <w:tcPr>
            <w:tcW w:w="660" w:type="dxa"/>
            <w:shd w:val="clear" w:color="auto" w:fill="auto"/>
            <w:noWrap/>
            <w:vAlign w:val="bottom"/>
            <w:hideMark/>
          </w:tcPr>
          <w:p w14:paraId="6E5E1C7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174</w:t>
            </w:r>
          </w:p>
        </w:tc>
        <w:tc>
          <w:tcPr>
            <w:tcW w:w="660" w:type="dxa"/>
            <w:shd w:val="clear" w:color="auto" w:fill="auto"/>
            <w:noWrap/>
            <w:vAlign w:val="bottom"/>
            <w:hideMark/>
          </w:tcPr>
          <w:p w14:paraId="2B764BB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159</w:t>
            </w:r>
          </w:p>
        </w:tc>
        <w:tc>
          <w:tcPr>
            <w:tcW w:w="660" w:type="dxa"/>
            <w:shd w:val="clear" w:color="auto" w:fill="auto"/>
            <w:noWrap/>
            <w:vAlign w:val="bottom"/>
            <w:hideMark/>
          </w:tcPr>
          <w:p w14:paraId="74442AC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167</w:t>
            </w:r>
          </w:p>
        </w:tc>
        <w:tc>
          <w:tcPr>
            <w:tcW w:w="660" w:type="dxa"/>
            <w:shd w:val="clear" w:color="auto" w:fill="auto"/>
            <w:noWrap/>
            <w:vAlign w:val="bottom"/>
            <w:hideMark/>
          </w:tcPr>
          <w:p w14:paraId="76294EE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167</w:t>
            </w:r>
          </w:p>
        </w:tc>
        <w:tc>
          <w:tcPr>
            <w:tcW w:w="660" w:type="dxa"/>
            <w:shd w:val="clear" w:color="auto" w:fill="auto"/>
            <w:noWrap/>
            <w:vAlign w:val="bottom"/>
            <w:hideMark/>
          </w:tcPr>
          <w:p w14:paraId="29C512F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177</w:t>
            </w:r>
          </w:p>
        </w:tc>
        <w:tc>
          <w:tcPr>
            <w:tcW w:w="660" w:type="dxa"/>
            <w:shd w:val="clear" w:color="auto" w:fill="auto"/>
            <w:noWrap/>
            <w:vAlign w:val="bottom"/>
            <w:hideMark/>
          </w:tcPr>
          <w:p w14:paraId="087665B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162</w:t>
            </w:r>
          </w:p>
        </w:tc>
      </w:tr>
      <w:tr w:rsidR="00F41314" w:rsidRPr="003C1E89" w14:paraId="1F55D669" w14:textId="77777777" w:rsidTr="003C1E89">
        <w:trPr>
          <w:trHeight w:val="255"/>
          <w:jc w:val="center"/>
        </w:trPr>
        <w:tc>
          <w:tcPr>
            <w:tcW w:w="2320" w:type="dxa"/>
            <w:shd w:val="clear" w:color="auto" w:fill="auto"/>
            <w:noWrap/>
            <w:vAlign w:val="bottom"/>
            <w:hideMark/>
          </w:tcPr>
          <w:p w14:paraId="6C62B5A2" w14:textId="7ACCD810"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UN</w:t>
            </w:r>
            <w:r w:rsidR="003C1E89">
              <w:rPr>
                <w:rFonts w:ascii="Arial Narrow" w:hAnsi="Arial Narrow" w:cs="Arial"/>
                <w:b/>
                <w:bCs/>
                <w:color w:val="000000"/>
                <w:sz w:val="20"/>
                <w:szCs w:val="20"/>
              </w:rPr>
              <w:t>M</w:t>
            </w:r>
            <w:r w:rsidRPr="003C1E89">
              <w:rPr>
                <w:rFonts w:ascii="Arial Narrow" w:hAnsi="Arial Narrow" w:cs="Arial"/>
                <w:b/>
                <w:bCs/>
                <w:color w:val="000000"/>
                <w:sz w:val="20"/>
                <w:szCs w:val="20"/>
              </w:rPr>
              <w:t xml:space="preserve"> Martin</w:t>
            </w:r>
          </w:p>
        </w:tc>
        <w:tc>
          <w:tcPr>
            <w:tcW w:w="660" w:type="dxa"/>
            <w:shd w:val="clear" w:color="auto" w:fill="auto"/>
            <w:noWrap/>
            <w:vAlign w:val="bottom"/>
            <w:hideMark/>
          </w:tcPr>
          <w:p w14:paraId="21DF013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237</w:t>
            </w:r>
          </w:p>
        </w:tc>
        <w:tc>
          <w:tcPr>
            <w:tcW w:w="660" w:type="dxa"/>
            <w:shd w:val="clear" w:color="auto" w:fill="auto"/>
            <w:noWrap/>
            <w:vAlign w:val="bottom"/>
            <w:hideMark/>
          </w:tcPr>
          <w:p w14:paraId="033F3E8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265</w:t>
            </w:r>
          </w:p>
        </w:tc>
        <w:tc>
          <w:tcPr>
            <w:tcW w:w="660" w:type="dxa"/>
            <w:shd w:val="clear" w:color="auto" w:fill="auto"/>
            <w:noWrap/>
            <w:vAlign w:val="bottom"/>
            <w:hideMark/>
          </w:tcPr>
          <w:p w14:paraId="2C4E91D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297</w:t>
            </w:r>
          </w:p>
        </w:tc>
        <w:tc>
          <w:tcPr>
            <w:tcW w:w="660" w:type="dxa"/>
            <w:shd w:val="clear" w:color="auto" w:fill="auto"/>
            <w:noWrap/>
            <w:vAlign w:val="bottom"/>
            <w:hideMark/>
          </w:tcPr>
          <w:p w14:paraId="5D3CD16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343</w:t>
            </w:r>
          </w:p>
        </w:tc>
        <w:tc>
          <w:tcPr>
            <w:tcW w:w="660" w:type="dxa"/>
            <w:shd w:val="clear" w:color="auto" w:fill="auto"/>
            <w:noWrap/>
            <w:vAlign w:val="bottom"/>
            <w:hideMark/>
          </w:tcPr>
          <w:p w14:paraId="013B0C8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337</w:t>
            </w:r>
          </w:p>
        </w:tc>
        <w:tc>
          <w:tcPr>
            <w:tcW w:w="660" w:type="dxa"/>
            <w:shd w:val="clear" w:color="auto" w:fill="auto"/>
            <w:noWrap/>
            <w:vAlign w:val="bottom"/>
            <w:hideMark/>
          </w:tcPr>
          <w:p w14:paraId="515D61C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350</w:t>
            </w:r>
          </w:p>
        </w:tc>
        <w:tc>
          <w:tcPr>
            <w:tcW w:w="660" w:type="dxa"/>
            <w:shd w:val="clear" w:color="auto" w:fill="auto"/>
            <w:noWrap/>
            <w:vAlign w:val="bottom"/>
            <w:hideMark/>
          </w:tcPr>
          <w:p w14:paraId="067CDFF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416</w:t>
            </w:r>
          </w:p>
        </w:tc>
        <w:tc>
          <w:tcPr>
            <w:tcW w:w="660" w:type="dxa"/>
            <w:shd w:val="clear" w:color="auto" w:fill="auto"/>
            <w:noWrap/>
            <w:vAlign w:val="bottom"/>
            <w:hideMark/>
          </w:tcPr>
          <w:p w14:paraId="7FA9EA4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391</w:t>
            </w:r>
          </w:p>
        </w:tc>
        <w:tc>
          <w:tcPr>
            <w:tcW w:w="660" w:type="dxa"/>
            <w:shd w:val="clear" w:color="auto" w:fill="auto"/>
            <w:noWrap/>
            <w:vAlign w:val="bottom"/>
            <w:hideMark/>
          </w:tcPr>
          <w:p w14:paraId="348D081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430</w:t>
            </w:r>
          </w:p>
        </w:tc>
        <w:tc>
          <w:tcPr>
            <w:tcW w:w="660" w:type="dxa"/>
            <w:shd w:val="clear" w:color="auto" w:fill="auto"/>
            <w:noWrap/>
            <w:vAlign w:val="bottom"/>
            <w:hideMark/>
          </w:tcPr>
          <w:p w14:paraId="217D69C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422</w:t>
            </w:r>
          </w:p>
        </w:tc>
        <w:tc>
          <w:tcPr>
            <w:tcW w:w="660" w:type="dxa"/>
            <w:shd w:val="clear" w:color="auto" w:fill="auto"/>
            <w:noWrap/>
            <w:vAlign w:val="bottom"/>
            <w:hideMark/>
          </w:tcPr>
          <w:p w14:paraId="63509D7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417</w:t>
            </w:r>
          </w:p>
        </w:tc>
        <w:tc>
          <w:tcPr>
            <w:tcW w:w="660" w:type="dxa"/>
            <w:shd w:val="clear" w:color="auto" w:fill="auto"/>
            <w:noWrap/>
            <w:vAlign w:val="bottom"/>
            <w:hideMark/>
          </w:tcPr>
          <w:p w14:paraId="26B5965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571</w:t>
            </w:r>
          </w:p>
        </w:tc>
      </w:tr>
      <w:tr w:rsidR="00F41314" w:rsidRPr="003C1E89" w14:paraId="42746EF3" w14:textId="77777777" w:rsidTr="003C1E89">
        <w:trPr>
          <w:trHeight w:val="255"/>
          <w:jc w:val="center"/>
        </w:trPr>
        <w:tc>
          <w:tcPr>
            <w:tcW w:w="2320" w:type="dxa"/>
            <w:shd w:val="clear" w:color="auto" w:fill="auto"/>
            <w:noWrap/>
            <w:vAlign w:val="bottom"/>
            <w:hideMark/>
          </w:tcPr>
          <w:p w14:paraId="3B0F3A35" w14:textId="74CB2D9F" w:rsidR="00F41314" w:rsidRPr="003C1E89" w:rsidRDefault="003C1E89" w:rsidP="002968D3">
            <w:pPr>
              <w:spacing w:line="240" w:lineRule="auto"/>
              <w:jc w:val="left"/>
              <w:rPr>
                <w:rFonts w:ascii="Arial Narrow" w:hAnsi="Arial Narrow" w:cs="Arial"/>
                <w:b/>
                <w:bCs/>
                <w:color w:val="000000"/>
                <w:sz w:val="20"/>
                <w:szCs w:val="20"/>
              </w:rPr>
            </w:pPr>
            <w:r>
              <w:rPr>
                <w:rFonts w:ascii="Arial Narrow" w:hAnsi="Arial Narrow" w:cs="Arial"/>
                <w:b/>
                <w:bCs/>
                <w:color w:val="000000"/>
                <w:sz w:val="20"/>
                <w:szCs w:val="20"/>
              </w:rPr>
              <w:t>Ú</w:t>
            </w:r>
            <w:r w:rsidR="00F41314" w:rsidRPr="003C1E89">
              <w:rPr>
                <w:rFonts w:ascii="Arial Narrow" w:hAnsi="Arial Narrow" w:cs="Arial"/>
                <w:b/>
                <w:bCs/>
                <w:color w:val="000000"/>
                <w:sz w:val="20"/>
                <w:szCs w:val="20"/>
              </w:rPr>
              <w:t>VN Ružomberok</w:t>
            </w:r>
          </w:p>
        </w:tc>
        <w:tc>
          <w:tcPr>
            <w:tcW w:w="660" w:type="dxa"/>
            <w:shd w:val="clear" w:color="auto" w:fill="auto"/>
            <w:noWrap/>
            <w:vAlign w:val="bottom"/>
            <w:hideMark/>
          </w:tcPr>
          <w:p w14:paraId="5238E8B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159</w:t>
            </w:r>
          </w:p>
        </w:tc>
        <w:tc>
          <w:tcPr>
            <w:tcW w:w="660" w:type="dxa"/>
            <w:shd w:val="clear" w:color="auto" w:fill="auto"/>
            <w:noWrap/>
            <w:vAlign w:val="bottom"/>
            <w:hideMark/>
          </w:tcPr>
          <w:p w14:paraId="6C443F5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151</w:t>
            </w:r>
          </w:p>
        </w:tc>
        <w:tc>
          <w:tcPr>
            <w:tcW w:w="660" w:type="dxa"/>
            <w:shd w:val="clear" w:color="auto" w:fill="auto"/>
            <w:noWrap/>
            <w:vAlign w:val="bottom"/>
            <w:hideMark/>
          </w:tcPr>
          <w:p w14:paraId="113EF9C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123</w:t>
            </w:r>
          </w:p>
        </w:tc>
        <w:tc>
          <w:tcPr>
            <w:tcW w:w="660" w:type="dxa"/>
            <w:shd w:val="clear" w:color="auto" w:fill="auto"/>
            <w:noWrap/>
            <w:vAlign w:val="bottom"/>
            <w:hideMark/>
          </w:tcPr>
          <w:p w14:paraId="3800DC8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147</w:t>
            </w:r>
          </w:p>
        </w:tc>
        <w:tc>
          <w:tcPr>
            <w:tcW w:w="660" w:type="dxa"/>
            <w:shd w:val="clear" w:color="auto" w:fill="auto"/>
            <w:noWrap/>
            <w:vAlign w:val="bottom"/>
            <w:hideMark/>
          </w:tcPr>
          <w:p w14:paraId="1417DD7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123</w:t>
            </w:r>
          </w:p>
        </w:tc>
        <w:tc>
          <w:tcPr>
            <w:tcW w:w="660" w:type="dxa"/>
            <w:shd w:val="clear" w:color="auto" w:fill="auto"/>
            <w:noWrap/>
            <w:vAlign w:val="bottom"/>
            <w:hideMark/>
          </w:tcPr>
          <w:p w14:paraId="7298C6B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113</w:t>
            </w:r>
          </w:p>
        </w:tc>
        <w:tc>
          <w:tcPr>
            <w:tcW w:w="660" w:type="dxa"/>
            <w:shd w:val="clear" w:color="auto" w:fill="auto"/>
            <w:noWrap/>
            <w:vAlign w:val="bottom"/>
            <w:hideMark/>
          </w:tcPr>
          <w:p w14:paraId="6A0C778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159</w:t>
            </w:r>
          </w:p>
        </w:tc>
        <w:tc>
          <w:tcPr>
            <w:tcW w:w="660" w:type="dxa"/>
            <w:shd w:val="clear" w:color="auto" w:fill="auto"/>
            <w:noWrap/>
            <w:vAlign w:val="bottom"/>
            <w:hideMark/>
          </w:tcPr>
          <w:p w14:paraId="7B526B7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117</w:t>
            </w:r>
          </w:p>
        </w:tc>
        <w:tc>
          <w:tcPr>
            <w:tcW w:w="660" w:type="dxa"/>
            <w:shd w:val="clear" w:color="auto" w:fill="auto"/>
            <w:noWrap/>
            <w:vAlign w:val="bottom"/>
            <w:hideMark/>
          </w:tcPr>
          <w:p w14:paraId="23F1332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139</w:t>
            </w:r>
          </w:p>
        </w:tc>
        <w:tc>
          <w:tcPr>
            <w:tcW w:w="660" w:type="dxa"/>
            <w:shd w:val="clear" w:color="auto" w:fill="auto"/>
            <w:noWrap/>
            <w:vAlign w:val="bottom"/>
            <w:hideMark/>
          </w:tcPr>
          <w:p w14:paraId="7745573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125</w:t>
            </w:r>
          </w:p>
        </w:tc>
        <w:tc>
          <w:tcPr>
            <w:tcW w:w="660" w:type="dxa"/>
            <w:shd w:val="clear" w:color="auto" w:fill="auto"/>
            <w:noWrap/>
            <w:vAlign w:val="bottom"/>
            <w:hideMark/>
          </w:tcPr>
          <w:p w14:paraId="3A30656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195</w:t>
            </w:r>
          </w:p>
        </w:tc>
        <w:tc>
          <w:tcPr>
            <w:tcW w:w="660" w:type="dxa"/>
            <w:shd w:val="clear" w:color="auto" w:fill="auto"/>
            <w:noWrap/>
            <w:vAlign w:val="bottom"/>
            <w:hideMark/>
          </w:tcPr>
          <w:p w14:paraId="6DADDFE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314</w:t>
            </w:r>
          </w:p>
        </w:tc>
      </w:tr>
      <w:tr w:rsidR="00F41314" w:rsidRPr="003C1E89" w14:paraId="5B61D674" w14:textId="77777777" w:rsidTr="003C1E89">
        <w:trPr>
          <w:trHeight w:val="255"/>
          <w:jc w:val="center"/>
        </w:trPr>
        <w:tc>
          <w:tcPr>
            <w:tcW w:w="2320" w:type="dxa"/>
            <w:shd w:val="clear" w:color="auto" w:fill="auto"/>
            <w:noWrap/>
            <w:vAlign w:val="bottom"/>
            <w:hideMark/>
          </w:tcPr>
          <w:p w14:paraId="07D130D4" w14:textId="77777777"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Trstená</w:t>
            </w:r>
          </w:p>
        </w:tc>
        <w:tc>
          <w:tcPr>
            <w:tcW w:w="660" w:type="dxa"/>
            <w:shd w:val="clear" w:color="auto" w:fill="auto"/>
            <w:noWrap/>
            <w:vAlign w:val="bottom"/>
            <w:hideMark/>
          </w:tcPr>
          <w:p w14:paraId="7F4AF29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138</w:t>
            </w:r>
          </w:p>
        </w:tc>
        <w:tc>
          <w:tcPr>
            <w:tcW w:w="660" w:type="dxa"/>
            <w:shd w:val="clear" w:color="auto" w:fill="auto"/>
            <w:noWrap/>
            <w:vAlign w:val="bottom"/>
            <w:hideMark/>
          </w:tcPr>
          <w:p w14:paraId="794A09F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129</w:t>
            </w:r>
          </w:p>
        </w:tc>
        <w:tc>
          <w:tcPr>
            <w:tcW w:w="660" w:type="dxa"/>
            <w:shd w:val="clear" w:color="auto" w:fill="auto"/>
            <w:noWrap/>
            <w:vAlign w:val="bottom"/>
            <w:hideMark/>
          </w:tcPr>
          <w:p w14:paraId="286DF51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114</w:t>
            </w:r>
          </w:p>
        </w:tc>
        <w:tc>
          <w:tcPr>
            <w:tcW w:w="660" w:type="dxa"/>
            <w:shd w:val="clear" w:color="auto" w:fill="auto"/>
            <w:noWrap/>
            <w:vAlign w:val="bottom"/>
            <w:hideMark/>
          </w:tcPr>
          <w:p w14:paraId="1D61616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134</w:t>
            </w:r>
          </w:p>
        </w:tc>
        <w:tc>
          <w:tcPr>
            <w:tcW w:w="660" w:type="dxa"/>
            <w:shd w:val="clear" w:color="auto" w:fill="auto"/>
            <w:noWrap/>
            <w:vAlign w:val="bottom"/>
            <w:hideMark/>
          </w:tcPr>
          <w:p w14:paraId="3BE1AC2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151</w:t>
            </w:r>
          </w:p>
        </w:tc>
        <w:tc>
          <w:tcPr>
            <w:tcW w:w="660" w:type="dxa"/>
            <w:shd w:val="clear" w:color="auto" w:fill="auto"/>
            <w:noWrap/>
            <w:vAlign w:val="bottom"/>
            <w:hideMark/>
          </w:tcPr>
          <w:p w14:paraId="5B95BC1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210</w:t>
            </w:r>
          </w:p>
        </w:tc>
        <w:tc>
          <w:tcPr>
            <w:tcW w:w="660" w:type="dxa"/>
            <w:shd w:val="clear" w:color="auto" w:fill="auto"/>
            <w:noWrap/>
            <w:vAlign w:val="bottom"/>
            <w:hideMark/>
          </w:tcPr>
          <w:p w14:paraId="1A5E98F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196</w:t>
            </w:r>
          </w:p>
        </w:tc>
        <w:tc>
          <w:tcPr>
            <w:tcW w:w="660" w:type="dxa"/>
            <w:shd w:val="clear" w:color="auto" w:fill="auto"/>
            <w:noWrap/>
            <w:vAlign w:val="bottom"/>
            <w:hideMark/>
          </w:tcPr>
          <w:p w14:paraId="3A1F6CA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186</w:t>
            </w:r>
          </w:p>
        </w:tc>
        <w:tc>
          <w:tcPr>
            <w:tcW w:w="660" w:type="dxa"/>
            <w:shd w:val="clear" w:color="auto" w:fill="auto"/>
            <w:noWrap/>
            <w:vAlign w:val="bottom"/>
            <w:hideMark/>
          </w:tcPr>
          <w:p w14:paraId="62977D6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179</w:t>
            </w:r>
          </w:p>
        </w:tc>
        <w:tc>
          <w:tcPr>
            <w:tcW w:w="660" w:type="dxa"/>
            <w:shd w:val="clear" w:color="auto" w:fill="auto"/>
            <w:noWrap/>
            <w:vAlign w:val="bottom"/>
            <w:hideMark/>
          </w:tcPr>
          <w:p w14:paraId="68B3EB7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186</w:t>
            </w:r>
          </w:p>
        </w:tc>
        <w:tc>
          <w:tcPr>
            <w:tcW w:w="660" w:type="dxa"/>
            <w:shd w:val="clear" w:color="auto" w:fill="auto"/>
            <w:noWrap/>
            <w:vAlign w:val="bottom"/>
            <w:hideMark/>
          </w:tcPr>
          <w:p w14:paraId="595CC31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192</w:t>
            </w:r>
          </w:p>
        </w:tc>
        <w:tc>
          <w:tcPr>
            <w:tcW w:w="660" w:type="dxa"/>
            <w:shd w:val="clear" w:color="auto" w:fill="auto"/>
            <w:noWrap/>
            <w:vAlign w:val="bottom"/>
            <w:hideMark/>
          </w:tcPr>
          <w:p w14:paraId="56B43BA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223</w:t>
            </w:r>
          </w:p>
        </w:tc>
      </w:tr>
      <w:tr w:rsidR="00F41314" w:rsidRPr="003C1E89" w14:paraId="12B9BEFE" w14:textId="77777777" w:rsidTr="003C1E89">
        <w:trPr>
          <w:trHeight w:val="255"/>
          <w:jc w:val="center"/>
        </w:trPr>
        <w:tc>
          <w:tcPr>
            <w:tcW w:w="2320" w:type="dxa"/>
            <w:shd w:val="clear" w:color="000000" w:fill="FFFF00"/>
            <w:noWrap/>
            <w:vAlign w:val="bottom"/>
            <w:hideMark/>
          </w:tcPr>
          <w:p w14:paraId="536CF6FB" w14:textId="77777777" w:rsidR="00F41314" w:rsidRPr="003C1E89" w:rsidRDefault="00F41314" w:rsidP="002968D3">
            <w:pPr>
              <w:spacing w:line="240" w:lineRule="auto"/>
              <w:jc w:val="left"/>
              <w:rPr>
                <w:rFonts w:ascii="Arial Narrow" w:hAnsi="Arial Narrow" w:cs="Arial"/>
                <w:b/>
                <w:bCs/>
                <w:color w:val="000000"/>
                <w:sz w:val="20"/>
                <w:szCs w:val="20"/>
              </w:rPr>
            </w:pPr>
            <w:proofErr w:type="spellStart"/>
            <w:r w:rsidRPr="003C1E89">
              <w:rPr>
                <w:rFonts w:ascii="Arial Narrow" w:hAnsi="Arial Narrow" w:cs="Arial"/>
                <w:b/>
                <w:bCs/>
                <w:color w:val="000000"/>
                <w:sz w:val="20"/>
                <w:szCs w:val="20"/>
              </w:rPr>
              <w:t>FNsP</w:t>
            </w:r>
            <w:proofErr w:type="spellEnd"/>
            <w:r w:rsidRPr="003C1E89">
              <w:rPr>
                <w:rFonts w:ascii="Arial Narrow" w:hAnsi="Arial Narrow" w:cs="Arial"/>
                <w:b/>
                <w:bCs/>
                <w:color w:val="000000"/>
                <w:sz w:val="20"/>
                <w:szCs w:val="20"/>
              </w:rPr>
              <w:t xml:space="preserve"> Žilina</w:t>
            </w:r>
          </w:p>
        </w:tc>
        <w:tc>
          <w:tcPr>
            <w:tcW w:w="660" w:type="dxa"/>
            <w:shd w:val="clear" w:color="000000" w:fill="FFFF00"/>
            <w:noWrap/>
            <w:vAlign w:val="bottom"/>
            <w:hideMark/>
          </w:tcPr>
          <w:p w14:paraId="164BE90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180</w:t>
            </w:r>
          </w:p>
        </w:tc>
        <w:tc>
          <w:tcPr>
            <w:tcW w:w="660" w:type="dxa"/>
            <w:shd w:val="clear" w:color="000000" w:fill="FFFF00"/>
            <w:noWrap/>
            <w:vAlign w:val="bottom"/>
            <w:hideMark/>
          </w:tcPr>
          <w:p w14:paraId="7937965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177</w:t>
            </w:r>
          </w:p>
        </w:tc>
        <w:tc>
          <w:tcPr>
            <w:tcW w:w="660" w:type="dxa"/>
            <w:shd w:val="clear" w:color="000000" w:fill="FFFF00"/>
            <w:noWrap/>
            <w:vAlign w:val="bottom"/>
            <w:hideMark/>
          </w:tcPr>
          <w:p w14:paraId="648EAD6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168</w:t>
            </w:r>
          </w:p>
        </w:tc>
        <w:tc>
          <w:tcPr>
            <w:tcW w:w="660" w:type="dxa"/>
            <w:shd w:val="clear" w:color="000000" w:fill="FFFF00"/>
            <w:noWrap/>
            <w:vAlign w:val="bottom"/>
            <w:hideMark/>
          </w:tcPr>
          <w:p w14:paraId="509EBAD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206</w:t>
            </w:r>
          </w:p>
        </w:tc>
        <w:tc>
          <w:tcPr>
            <w:tcW w:w="660" w:type="dxa"/>
            <w:shd w:val="clear" w:color="000000" w:fill="FFFF00"/>
            <w:noWrap/>
            <w:vAlign w:val="bottom"/>
            <w:hideMark/>
          </w:tcPr>
          <w:p w14:paraId="7473421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304</w:t>
            </w:r>
          </w:p>
        </w:tc>
        <w:tc>
          <w:tcPr>
            <w:tcW w:w="660" w:type="dxa"/>
            <w:shd w:val="clear" w:color="000000" w:fill="FFFF00"/>
            <w:noWrap/>
            <w:vAlign w:val="bottom"/>
            <w:hideMark/>
          </w:tcPr>
          <w:p w14:paraId="04BC5B9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268</w:t>
            </w:r>
          </w:p>
        </w:tc>
        <w:tc>
          <w:tcPr>
            <w:tcW w:w="660" w:type="dxa"/>
            <w:shd w:val="clear" w:color="000000" w:fill="FFFF00"/>
            <w:noWrap/>
            <w:vAlign w:val="bottom"/>
            <w:hideMark/>
          </w:tcPr>
          <w:p w14:paraId="49121F2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263</w:t>
            </w:r>
          </w:p>
        </w:tc>
        <w:tc>
          <w:tcPr>
            <w:tcW w:w="660" w:type="dxa"/>
            <w:shd w:val="clear" w:color="000000" w:fill="FFFF00"/>
            <w:noWrap/>
            <w:vAlign w:val="bottom"/>
            <w:hideMark/>
          </w:tcPr>
          <w:p w14:paraId="5741BB3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307</w:t>
            </w:r>
          </w:p>
        </w:tc>
        <w:tc>
          <w:tcPr>
            <w:tcW w:w="660" w:type="dxa"/>
            <w:shd w:val="clear" w:color="000000" w:fill="FFFF00"/>
            <w:noWrap/>
            <w:vAlign w:val="bottom"/>
            <w:hideMark/>
          </w:tcPr>
          <w:p w14:paraId="0FB8E31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273</w:t>
            </w:r>
          </w:p>
        </w:tc>
        <w:tc>
          <w:tcPr>
            <w:tcW w:w="660" w:type="dxa"/>
            <w:shd w:val="clear" w:color="000000" w:fill="FFFF00"/>
            <w:noWrap/>
            <w:vAlign w:val="bottom"/>
            <w:hideMark/>
          </w:tcPr>
          <w:p w14:paraId="42ED7BB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307</w:t>
            </w:r>
          </w:p>
        </w:tc>
        <w:tc>
          <w:tcPr>
            <w:tcW w:w="660" w:type="dxa"/>
            <w:shd w:val="clear" w:color="000000" w:fill="FFFF00"/>
            <w:noWrap/>
            <w:vAlign w:val="bottom"/>
            <w:hideMark/>
          </w:tcPr>
          <w:p w14:paraId="2BB1084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284</w:t>
            </w:r>
          </w:p>
        </w:tc>
        <w:tc>
          <w:tcPr>
            <w:tcW w:w="660" w:type="dxa"/>
            <w:shd w:val="clear" w:color="000000" w:fill="FFFF00"/>
            <w:noWrap/>
            <w:vAlign w:val="bottom"/>
            <w:hideMark/>
          </w:tcPr>
          <w:p w14:paraId="419881D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239</w:t>
            </w:r>
          </w:p>
        </w:tc>
      </w:tr>
    </w:tbl>
    <w:p w14:paraId="7AE0DE5A" w14:textId="3DA3DEC1" w:rsidR="00F41314" w:rsidRPr="00B620DE" w:rsidRDefault="00F41314" w:rsidP="00F41314">
      <w:pPr>
        <w:rPr>
          <w:rFonts w:ascii="Century Gothic" w:hAnsi="Century Gothic"/>
          <w:i/>
          <w:sz w:val="18"/>
          <w:szCs w:val="18"/>
          <w:lang w:eastAsia="cs-CZ"/>
        </w:rPr>
      </w:pPr>
      <w:r w:rsidRPr="00B620DE">
        <w:rPr>
          <w:rFonts w:ascii="Century Gothic" w:hAnsi="Century Gothic"/>
          <w:i/>
          <w:sz w:val="18"/>
          <w:szCs w:val="18"/>
          <w:lang w:eastAsia="cs-CZ"/>
        </w:rPr>
        <w:t xml:space="preserve">Zdroj: NCZI, </w:t>
      </w:r>
      <w:r w:rsidR="00724522">
        <w:rPr>
          <w:rFonts w:ascii="Century Gothic" w:hAnsi="Century Gothic"/>
          <w:i/>
          <w:sz w:val="18"/>
          <w:szCs w:val="18"/>
          <w:lang w:eastAsia="cs-CZ"/>
        </w:rPr>
        <w:t>vlastné spracovanie</w:t>
      </w:r>
    </w:p>
    <w:p w14:paraId="1FBF18DC" w14:textId="77777777" w:rsidR="00F41314" w:rsidRDefault="00F41314" w:rsidP="00F41314">
      <w:pPr>
        <w:rPr>
          <w:rFonts w:ascii="Century Gothic" w:hAnsi="Century Gothic"/>
          <w:lang w:eastAsia="cs-CZ"/>
        </w:rPr>
      </w:pPr>
    </w:p>
    <w:p w14:paraId="7129F653" w14:textId="2D4C8239" w:rsidR="002E2EC5" w:rsidRPr="00610835" w:rsidRDefault="002E2EC5" w:rsidP="002E2EC5">
      <w:pPr>
        <w:keepNext/>
        <w:spacing w:line="240" w:lineRule="auto"/>
        <w:rPr>
          <w:rFonts w:ascii="Century Gothic" w:hAnsi="Century Gothic"/>
          <w:i/>
          <w:sz w:val="20"/>
          <w:szCs w:val="20"/>
        </w:rPr>
      </w:pPr>
      <w:bookmarkStart w:id="89" w:name="_Toc145219924"/>
      <w:r w:rsidRPr="002E2EC5">
        <w:rPr>
          <w:rFonts w:ascii="Century Gothic" w:hAnsi="Century Gothic"/>
          <w:i/>
          <w:sz w:val="20"/>
          <w:szCs w:val="20"/>
        </w:rPr>
        <w:t xml:space="preserve">Tabuľka </w:t>
      </w:r>
      <w:r w:rsidRPr="002E2EC5">
        <w:rPr>
          <w:rFonts w:ascii="Century Gothic" w:hAnsi="Century Gothic"/>
          <w:i/>
          <w:sz w:val="20"/>
          <w:szCs w:val="20"/>
        </w:rPr>
        <w:fldChar w:fldCharType="begin"/>
      </w:r>
      <w:r w:rsidRPr="002E2EC5">
        <w:rPr>
          <w:rFonts w:ascii="Century Gothic" w:hAnsi="Century Gothic"/>
          <w:i/>
          <w:sz w:val="20"/>
          <w:szCs w:val="20"/>
        </w:rPr>
        <w:instrText xml:space="preserve"> SEQ Tabuľka \* ARABIC </w:instrText>
      </w:r>
      <w:r w:rsidRPr="002E2EC5">
        <w:rPr>
          <w:rFonts w:ascii="Century Gothic" w:hAnsi="Century Gothic"/>
          <w:i/>
          <w:sz w:val="20"/>
          <w:szCs w:val="20"/>
        </w:rPr>
        <w:fldChar w:fldCharType="separate"/>
      </w:r>
      <w:r w:rsidR="007D6A44">
        <w:rPr>
          <w:rFonts w:ascii="Century Gothic" w:hAnsi="Century Gothic"/>
          <w:i/>
          <w:noProof/>
          <w:sz w:val="20"/>
          <w:szCs w:val="20"/>
        </w:rPr>
        <w:t>23</w:t>
      </w:r>
      <w:r w:rsidRPr="002E2EC5">
        <w:rPr>
          <w:rFonts w:ascii="Century Gothic" w:hAnsi="Century Gothic"/>
          <w:i/>
          <w:sz w:val="20"/>
          <w:szCs w:val="20"/>
        </w:rPr>
        <w:fldChar w:fldCharType="end"/>
      </w:r>
      <w:r w:rsidRPr="002E2EC5">
        <w:rPr>
          <w:rFonts w:ascii="Century Gothic" w:hAnsi="Century Gothic"/>
          <w:i/>
          <w:sz w:val="20"/>
          <w:szCs w:val="20"/>
        </w:rPr>
        <w:t xml:space="preserve"> </w:t>
      </w:r>
      <w:r w:rsidRPr="00610835">
        <w:rPr>
          <w:rFonts w:ascii="Century Gothic" w:hAnsi="Century Gothic"/>
          <w:i/>
          <w:sz w:val="20"/>
          <w:szCs w:val="20"/>
        </w:rPr>
        <w:t>Priemerná ošetrovacia doba na OAIM 2010-2021</w:t>
      </w:r>
      <w:bookmarkEnd w:id="89"/>
    </w:p>
    <w:tbl>
      <w:tblPr>
        <w:tblW w:w="10240" w:type="dxa"/>
        <w:jc w:val="center"/>
        <w:tblCellMar>
          <w:left w:w="70" w:type="dxa"/>
          <w:right w:w="70" w:type="dxa"/>
        </w:tblCellMar>
        <w:tblLook w:val="04A0" w:firstRow="1" w:lastRow="0" w:firstColumn="1" w:lastColumn="0" w:noHBand="0" w:noVBand="1"/>
      </w:tblPr>
      <w:tblGrid>
        <w:gridCol w:w="2320"/>
        <w:gridCol w:w="660"/>
        <w:gridCol w:w="660"/>
        <w:gridCol w:w="660"/>
        <w:gridCol w:w="660"/>
        <w:gridCol w:w="660"/>
        <w:gridCol w:w="660"/>
        <w:gridCol w:w="660"/>
        <w:gridCol w:w="660"/>
        <w:gridCol w:w="660"/>
        <w:gridCol w:w="660"/>
        <w:gridCol w:w="660"/>
        <w:gridCol w:w="660"/>
      </w:tblGrid>
      <w:tr w:rsidR="00F41314" w:rsidRPr="003C1E89" w14:paraId="1A7D7AC0" w14:textId="77777777" w:rsidTr="003C1E89">
        <w:trPr>
          <w:trHeight w:val="255"/>
          <w:jc w:val="center"/>
        </w:trPr>
        <w:tc>
          <w:tcPr>
            <w:tcW w:w="2320" w:type="dxa"/>
            <w:shd w:val="clear" w:color="auto" w:fill="595959" w:themeFill="text1" w:themeFillTint="A6"/>
            <w:noWrap/>
            <w:vAlign w:val="bottom"/>
            <w:hideMark/>
          </w:tcPr>
          <w:p w14:paraId="081308D1" w14:textId="77777777" w:rsidR="00F41314" w:rsidRPr="003C1E89" w:rsidRDefault="00F41314" w:rsidP="002968D3">
            <w:pPr>
              <w:spacing w:line="240" w:lineRule="auto"/>
              <w:jc w:val="left"/>
              <w:rPr>
                <w:rFonts w:ascii="Arial Narrow" w:hAnsi="Arial Narrow" w:cs="Arial"/>
                <w:color w:val="FFFFFF" w:themeColor="background1"/>
                <w:sz w:val="20"/>
                <w:szCs w:val="20"/>
              </w:rPr>
            </w:pPr>
            <w:r w:rsidRPr="003C1E89">
              <w:rPr>
                <w:rFonts w:ascii="Arial Narrow" w:hAnsi="Arial Narrow" w:cs="Arial"/>
                <w:color w:val="FFFFFF" w:themeColor="background1"/>
                <w:sz w:val="20"/>
                <w:szCs w:val="20"/>
              </w:rPr>
              <w:t> </w:t>
            </w:r>
          </w:p>
        </w:tc>
        <w:tc>
          <w:tcPr>
            <w:tcW w:w="660" w:type="dxa"/>
            <w:shd w:val="clear" w:color="auto" w:fill="595959" w:themeFill="text1" w:themeFillTint="A6"/>
            <w:noWrap/>
            <w:vAlign w:val="bottom"/>
            <w:hideMark/>
          </w:tcPr>
          <w:p w14:paraId="5D45F6BB"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2010</w:t>
            </w:r>
          </w:p>
        </w:tc>
        <w:tc>
          <w:tcPr>
            <w:tcW w:w="660" w:type="dxa"/>
            <w:shd w:val="clear" w:color="auto" w:fill="595959" w:themeFill="text1" w:themeFillTint="A6"/>
            <w:noWrap/>
            <w:vAlign w:val="bottom"/>
            <w:hideMark/>
          </w:tcPr>
          <w:p w14:paraId="601739FD"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2011</w:t>
            </w:r>
          </w:p>
        </w:tc>
        <w:tc>
          <w:tcPr>
            <w:tcW w:w="660" w:type="dxa"/>
            <w:shd w:val="clear" w:color="auto" w:fill="595959" w:themeFill="text1" w:themeFillTint="A6"/>
            <w:noWrap/>
            <w:vAlign w:val="bottom"/>
            <w:hideMark/>
          </w:tcPr>
          <w:p w14:paraId="76187D2B"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2012</w:t>
            </w:r>
          </w:p>
        </w:tc>
        <w:tc>
          <w:tcPr>
            <w:tcW w:w="660" w:type="dxa"/>
            <w:shd w:val="clear" w:color="auto" w:fill="595959" w:themeFill="text1" w:themeFillTint="A6"/>
            <w:noWrap/>
            <w:vAlign w:val="bottom"/>
            <w:hideMark/>
          </w:tcPr>
          <w:p w14:paraId="2486C7CB"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2013</w:t>
            </w:r>
          </w:p>
        </w:tc>
        <w:tc>
          <w:tcPr>
            <w:tcW w:w="660" w:type="dxa"/>
            <w:shd w:val="clear" w:color="auto" w:fill="595959" w:themeFill="text1" w:themeFillTint="A6"/>
            <w:noWrap/>
            <w:vAlign w:val="bottom"/>
            <w:hideMark/>
          </w:tcPr>
          <w:p w14:paraId="61AB833F"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2014</w:t>
            </w:r>
          </w:p>
        </w:tc>
        <w:tc>
          <w:tcPr>
            <w:tcW w:w="660" w:type="dxa"/>
            <w:shd w:val="clear" w:color="auto" w:fill="595959" w:themeFill="text1" w:themeFillTint="A6"/>
            <w:noWrap/>
            <w:vAlign w:val="bottom"/>
            <w:hideMark/>
          </w:tcPr>
          <w:p w14:paraId="0BD6F330"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2015</w:t>
            </w:r>
          </w:p>
        </w:tc>
        <w:tc>
          <w:tcPr>
            <w:tcW w:w="660" w:type="dxa"/>
            <w:shd w:val="clear" w:color="auto" w:fill="595959" w:themeFill="text1" w:themeFillTint="A6"/>
            <w:noWrap/>
            <w:vAlign w:val="bottom"/>
            <w:hideMark/>
          </w:tcPr>
          <w:p w14:paraId="503C301C"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2016</w:t>
            </w:r>
          </w:p>
        </w:tc>
        <w:tc>
          <w:tcPr>
            <w:tcW w:w="660" w:type="dxa"/>
            <w:shd w:val="clear" w:color="auto" w:fill="595959" w:themeFill="text1" w:themeFillTint="A6"/>
            <w:noWrap/>
            <w:vAlign w:val="bottom"/>
            <w:hideMark/>
          </w:tcPr>
          <w:p w14:paraId="300E7A70"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2017</w:t>
            </w:r>
          </w:p>
        </w:tc>
        <w:tc>
          <w:tcPr>
            <w:tcW w:w="660" w:type="dxa"/>
            <w:shd w:val="clear" w:color="auto" w:fill="595959" w:themeFill="text1" w:themeFillTint="A6"/>
            <w:noWrap/>
            <w:vAlign w:val="bottom"/>
            <w:hideMark/>
          </w:tcPr>
          <w:p w14:paraId="367BF37A"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2018</w:t>
            </w:r>
          </w:p>
        </w:tc>
        <w:tc>
          <w:tcPr>
            <w:tcW w:w="660" w:type="dxa"/>
            <w:shd w:val="clear" w:color="auto" w:fill="595959" w:themeFill="text1" w:themeFillTint="A6"/>
            <w:noWrap/>
            <w:vAlign w:val="bottom"/>
            <w:hideMark/>
          </w:tcPr>
          <w:p w14:paraId="4C387286"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2019</w:t>
            </w:r>
          </w:p>
        </w:tc>
        <w:tc>
          <w:tcPr>
            <w:tcW w:w="660" w:type="dxa"/>
            <w:shd w:val="clear" w:color="auto" w:fill="595959" w:themeFill="text1" w:themeFillTint="A6"/>
            <w:noWrap/>
            <w:vAlign w:val="bottom"/>
            <w:hideMark/>
          </w:tcPr>
          <w:p w14:paraId="2C8E6B67"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2020</w:t>
            </w:r>
          </w:p>
        </w:tc>
        <w:tc>
          <w:tcPr>
            <w:tcW w:w="660" w:type="dxa"/>
            <w:shd w:val="clear" w:color="auto" w:fill="595959" w:themeFill="text1" w:themeFillTint="A6"/>
            <w:noWrap/>
            <w:vAlign w:val="bottom"/>
            <w:hideMark/>
          </w:tcPr>
          <w:p w14:paraId="6EBB1765" w14:textId="77777777" w:rsidR="00F41314" w:rsidRPr="003C1E89" w:rsidRDefault="00F41314" w:rsidP="002968D3">
            <w:pPr>
              <w:spacing w:line="240" w:lineRule="auto"/>
              <w:jc w:val="right"/>
              <w:rPr>
                <w:rFonts w:ascii="Arial Narrow" w:hAnsi="Arial Narrow" w:cs="Arial"/>
                <w:b/>
                <w:bCs/>
                <w:color w:val="FFFFFF" w:themeColor="background1"/>
                <w:sz w:val="20"/>
                <w:szCs w:val="20"/>
              </w:rPr>
            </w:pPr>
            <w:r w:rsidRPr="003C1E89">
              <w:rPr>
                <w:rFonts w:ascii="Arial Narrow" w:hAnsi="Arial Narrow" w:cs="Arial"/>
                <w:b/>
                <w:bCs/>
                <w:color w:val="FFFFFF" w:themeColor="background1"/>
                <w:sz w:val="20"/>
                <w:szCs w:val="20"/>
              </w:rPr>
              <w:t>2021</w:t>
            </w:r>
          </w:p>
        </w:tc>
      </w:tr>
      <w:tr w:rsidR="00F41314" w:rsidRPr="003C1E89" w14:paraId="7AF1F625" w14:textId="77777777" w:rsidTr="003C1E89">
        <w:trPr>
          <w:trHeight w:val="255"/>
          <w:jc w:val="center"/>
        </w:trPr>
        <w:tc>
          <w:tcPr>
            <w:tcW w:w="2320" w:type="dxa"/>
            <w:shd w:val="clear" w:color="auto" w:fill="auto"/>
            <w:noWrap/>
            <w:vAlign w:val="bottom"/>
            <w:hideMark/>
          </w:tcPr>
          <w:p w14:paraId="5ADAD15E" w14:textId="77777777"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Považská Bystrica</w:t>
            </w:r>
          </w:p>
        </w:tc>
        <w:tc>
          <w:tcPr>
            <w:tcW w:w="660" w:type="dxa"/>
            <w:shd w:val="clear" w:color="auto" w:fill="auto"/>
            <w:noWrap/>
            <w:vAlign w:val="bottom"/>
            <w:hideMark/>
          </w:tcPr>
          <w:p w14:paraId="179EF72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6,7</w:t>
            </w:r>
          </w:p>
        </w:tc>
        <w:tc>
          <w:tcPr>
            <w:tcW w:w="660" w:type="dxa"/>
            <w:shd w:val="clear" w:color="auto" w:fill="auto"/>
            <w:noWrap/>
            <w:vAlign w:val="bottom"/>
            <w:hideMark/>
          </w:tcPr>
          <w:p w14:paraId="487BDA7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7,8</w:t>
            </w:r>
          </w:p>
        </w:tc>
        <w:tc>
          <w:tcPr>
            <w:tcW w:w="660" w:type="dxa"/>
            <w:shd w:val="clear" w:color="auto" w:fill="auto"/>
            <w:noWrap/>
            <w:vAlign w:val="bottom"/>
            <w:hideMark/>
          </w:tcPr>
          <w:p w14:paraId="5278345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8,5</w:t>
            </w:r>
          </w:p>
        </w:tc>
        <w:tc>
          <w:tcPr>
            <w:tcW w:w="660" w:type="dxa"/>
            <w:shd w:val="clear" w:color="auto" w:fill="auto"/>
            <w:noWrap/>
            <w:vAlign w:val="bottom"/>
            <w:hideMark/>
          </w:tcPr>
          <w:p w14:paraId="687D8B4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7,5</w:t>
            </w:r>
          </w:p>
        </w:tc>
        <w:tc>
          <w:tcPr>
            <w:tcW w:w="660" w:type="dxa"/>
            <w:shd w:val="clear" w:color="auto" w:fill="auto"/>
            <w:noWrap/>
            <w:vAlign w:val="bottom"/>
            <w:hideMark/>
          </w:tcPr>
          <w:p w14:paraId="3356200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8,7</w:t>
            </w:r>
          </w:p>
        </w:tc>
        <w:tc>
          <w:tcPr>
            <w:tcW w:w="660" w:type="dxa"/>
            <w:shd w:val="clear" w:color="auto" w:fill="auto"/>
            <w:noWrap/>
            <w:vAlign w:val="bottom"/>
            <w:hideMark/>
          </w:tcPr>
          <w:p w14:paraId="0A178D9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8,0</w:t>
            </w:r>
          </w:p>
        </w:tc>
        <w:tc>
          <w:tcPr>
            <w:tcW w:w="660" w:type="dxa"/>
            <w:shd w:val="clear" w:color="auto" w:fill="auto"/>
            <w:noWrap/>
            <w:vAlign w:val="bottom"/>
            <w:hideMark/>
          </w:tcPr>
          <w:p w14:paraId="449F22D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8,2</w:t>
            </w:r>
          </w:p>
        </w:tc>
        <w:tc>
          <w:tcPr>
            <w:tcW w:w="660" w:type="dxa"/>
            <w:shd w:val="clear" w:color="auto" w:fill="auto"/>
            <w:noWrap/>
            <w:vAlign w:val="bottom"/>
            <w:hideMark/>
          </w:tcPr>
          <w:p w14:paraId="28091F5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9,6</w:t>
            </w:r>
          </w:p>
        </w:tc>
        <w:tc>
          <w:tcPr>
            <w:tcW w:w="660" w:type="dxa"/>
            <w:shd w:val="clear" w:color="auto" w:fill="auto"/>
            <w:noWrap/>
            <w:vAlign w:val="bottom"/>
            <w:hideMark/>
          </w:tcPr>
          <w:p w14:paraId="01037EF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9,0</w:t>
            </w:r>
          </w:p>
        </w:tc>
        <w:tc>
          <w:tcPr>
            <w:tcW w:w="660" w:type="dxa"/>
            <w:shd w:val="clear" w:color="auto" w:fill="auto"/>
            <w:noWrap/>
            <w:vAlign w:val="bottom"/>
            <w:hideMark/>
          </w:tcPr>
          <w:p w14:paraId="7E2B362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12,4</w:t>
            </w:r>
          </w:p>
        </w:tc>
        <w:tc>
          <w:tcPr>
            <w:tcW w:w="660" w:type="dxa"/>
            <w:shd w:val="clear" w:color="auto" w:fill="auto"/>
            <w:noWrap/>
            <w:vAlign w:val="bottom"/>
            <w:hideMark/>
          </w:tcPr>
          <w:p w14:paraId="5AC86CC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11,0</w:t>
            </w:r>
          </w:p>
        </w:tc>
        <w:tc>
          <w:tcPr>
            <w:tcW w:w="660" w:type="dxa"/>
            <w:shd w:val="clear" w:color="auto" w:fill="auto"/>
            <w:noWrap/>
            <w:vAlign w:val="bottom"/>
            <w:hideMark/>
          </w:tcPr>
          <w:p w14:paraId="5600E22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11,2</w:t>
            </w:r>
          </w:p>
        </w:tc>
      </w:tr>
      <w:tr w:rsidR="00F41314" w:rsidRPr="003C1E89" w14:paraId="0EBD8C85" w14:textId="77777777" w:rsidTr="003C1E89">
        <w:trPr>
          <w:trHeight w:val="255"/>
          <w:jc w:val="center"/>
        </w:trPr>
        <w:tc>
          <w:tcPr>
            <w:tcW w:w="2320" w:type="dxa"/>
            <w:shd w:val="clear" w:color="auto" w:fill="auto"/>
            <w:noWrap/>
            <w:vAlign w:val="bottom"/>
            <w:hideMark/>
          </w:tcPr>
          <w:p w14:paraId="2F7CD7D0" w14:textId="43A3463D" w:rsidR="00F41314" w:rsidRPr="003C1E89" w:rsidRDefault="003C1E89"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w:t>
            </w:r>
            <w:r w:rsidR="00F41314" w:rsidRPr="003C1E89">
              <w:rPr>
                <w:rFonts w:ascii="Arial Narrow" w:hAnsi="Arial Narrow" w:cs="Arial"/>
                <w:b/>
                <w:bCs/>
                <w:color w:val="000000"/>
                <w:sz w:val="20"/>
                <w:szCs w:val="20"/>
              </w:rPr>
              <w:t>sP Čadca</w:t>
            </w:r>
          </w:p>
        </w:tc>
        <w:tc>
          <w:tcPr>
            <w:tcW w:w="660" w:type="dxa"/>
            <w:shd w:val="clear" w:color="auto" w:fill="auto"/>
            <w:noWrap/>
            <w:vAlign w:val="bottom"/>
            <w:hideMark/>
          </w:tcPr>
          <w:p w14:paraId="63700F7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7,3</w:t>
            </w:r>
          </w:p>
        </w:tc>
        <w:tc>
          <w:tcPr>
            <w:tcW w:w="660" w:type="dxa"/>
            <w:shd w:val="clear" w:color="auto" w:fill="auto"/>
            <w:noWrap/>
            <w:vAlign w:val="bottom"/>
            <w:hideMark/>
          </w:tcPr>
          <w:p w14:paraId="5D0E3E5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5,1</w:t>
            </w:r>
          </w:p>
        </w:tc>
        <w:tc>
          <w:tcPr>
            <w:tcW w:w="660" w:type="dxa"/>
            <w:shd w:val="clear" w:color="auto" w:fill="auto"/>
            <w:noWrap/>
            <w:vAlign w:val="bottom"/>
            <w:hideMark/>
          </w:tcPr>
          <w:p w14:paraId="06798D7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5,3</w:t>
            </w:r>
          </w:p>
        </w:tc>
        <w:tc>
          <w:tcPr>
            <w:tcW w:w="660" w:type="dxa"/>
            <w:shd w:val="clear" w:color="auto" w:fill="auto"/>
            <w:noWrap/>
            <w:vAlign w:val="bottom"/>
            <w:hideMark/>
          </w:tcPr>
          <w:p w14:paraId="003487C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6,4</w:t>
            </w:r>
          </w:p>
        </w:tc>
        <w:tc>
          <w:tcPr>
            <w:tcW w:w="660" w:type="dxa"/>
            <w:shd w:val="clear" w:color="auto" w:fill="auto"/>
            <w:noWrap/>
            <w:vAlign w:val="bottom"/>
            <w:hideMark/>
          </w:tcPr>
          <w:p w14:paraId="7A4A126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7,2</w:t>
            </w:r>
          </w:p>
        </w:tc>
        <w:tc>
          <w:tcPr>
            <w:tcW w:w="660" w:type="dxa"/>
            <w:shd w:val="clear" w:color="auto" w:fill="auto"/>
            <w:noWrap/>
            <w:vAlign w:val="bottom"/>
            <w:hideMark/>
          </w:tcPr>
          <w:p w14:paraId="06B0878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6,9</w:t>
            </w:r>
          </w:p>
        </w:tc>
        <w:tc>
          <w:tcPr>
            <w:tcW w:w="660" w:type="dxa"/>
            <w:shd w:val="clear" w:color="auto" w:fill="auto"/>
            <w:noWrap/>
            <w:vAlign w:val="bottom"/>
            <w:hideMark/>
          </w:tcPr>
          <w:p w14:paraId="3D4B4DC9"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6,0</w:t>
            </w:r>
          </w:p>
        </w:tc>
        <w:tc>
          <w:tcPr>
            <w:tcW w:w="660" w:type="dxa"/>
            <w:shd w:val="clear" w:color="auto" w:fill="auto"/>
            <w:noWrap/>
            <w:vAlign w:val="bottom"/>
            <w:hideMark/>
          </w:tcPr>
          <w:p w14:paraId="0CF3DD6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7,1</w:t>
            </w:r>
          </w:p>
        </w:tc>
        <w:tc>
          <w:tcPr>
            <w:tcW w:w="660" w:type="dxa"/>
            <w:shd w:val="clear" w:color="auto" w:fill="auto"/>
            <w:noWrap/>
            <w:vAlign w:val="bottom"/>
            <w:hideMark/>
          </w:tcPr>
          <w:p w14:paraId="028199E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7,4</w:t>
            </w:r>
          </w:p>
        </w:tc>
        <w:tc>
          <w:tcPr>
            <w:tcW w:w="660" w:type="dxa"/>
            <w:shd w:val="clear" w:color="auto" w:fill="auto"/>
            <w:noWrap/>
            <w:vAlign w:val="bottom"/>
            <w:hideMark/>
          </w:tcPr>
          <w:p w14:paraId="40F9F27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7,9</w:t>
            </w:r>
          </w:p>
        </w:tc>
        <w:tc>
          <w:tcPr>
            <w:tcW w:w="660" w:type="dxa"/>
            <w:shd w:val="clear" w:color="auto" w:fill="auto"/>
            <w:noWrap/>
            <w:vAlign w:val="bottom"/>
            <w:hideMark/>
          </w:tcPr>
          <w:p w14:paraId="4FD74D8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8,4</w:t>
            </w:r>
          </w:p>
        </w:tc>
        <w:tc>
          <w:tcPr>
            <w:tcW w:w="660" w:type="dxa"/>
            <w:shd w:val="clear" w:color="auto" w:fill="auto"/>
            <w:noWrap/>
            <w:vAlign w:val="bottom"/>
            <w:hideMark/>
          </w:tcPr>
          <w:p w14:paraId="11C6B29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10,4</w:t>
            </w:r>
          </w:p>
        </w:tc>
      </w:tr>
      <w:tr w:rsidR="00F41314" w:rsidRPr="003C1E89" w14:paraId="15D242AF" w14:textId="77777777" w:rsidTr="003C1E89">
        <w:trPr>
          <w:trHeight w:val="255"/>
          <w:jc w:val="center"/>
        </w:trPr>
        <w:tc>
          <w:tcPr>
            <w:tcW w:w="2320" w:type="dxa"/>
            <w:shd w:val="clear" w:color="auto" w:fill="auto"/>
            <w:noWrap/>
            <w:vAlign w:val="bottom"/>
            <w:hideMark/>
          </w:tcPr>
          <w:p w14:paraId="18C47900" w14:textId="77777777"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Dolný Kubín</w:t>
            </w:r>
          </w:p>
        </w:tc>
        <w:tc>
          <w:tcPr>
            <w:tcW w:w="660" w:type="dxa"/>
            <w:shd w:val="clear" w:color="auto" w:fill="auto"/>
            <w:noWrap/>
            <w:vAlign w:val="bottom"/>
            <w:hideMark/>
          </w:tcPr>
          <w:p w14:paraId="4462AEB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7,0</w:t>
            </w:r>
          </w:p>
        </w:tc>
        <w:tc>
          <w:tcPr>
            <w:tcW w:w="660" w:type="dxa"/>
            <w:shd w:val="clear" w:color="auto" w:fill="auto"/>
            <w:noWrap/>
            <w:vAlign w:val="bottom"/>
            <w:hideMark/>
          </w:tcPr>
          <w:p w14:paraId="18D4B74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9,9</w:t>
            </w:r>
          </w:p>
        </w:tc>
        <w:tc>
          <w:tcPr>
            <w:tcW w:w="660" w:type="dxa"/>
            <w:shd w:val="clear" w:color="auto" w:fill="auto"/>
            <w:noWrap/>
            <w:vAlign w:val="bottom"/>
            <w:hideMark/>
          </w:tcPr>
          <w:p w14:paraId="33873B9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6,8</w:t>
            </w:r>
          </w:p>
        </w:tc>
        <w:tc>
          <w:tcPr>
            <w:tcW w:w="660" w:type="dxa"/>
            <w:shd w:val="clear" w:color="auto" w:fill="auto"/>
            <w:noWrap/>
            <w:vAlign w:val="bottom"/>
            <w:hideMark/>
          </w:tcPr>
          <w:p w14:paraId="6605D6D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7,0</w:t>
            </w:r>
          </w:p>
        </w:tc>
        <w:tc>
          <w:tcPr>
            <w:tcW w:w="660" w:type="dxa"/>
            <w:shd w:val="clear" w:color="auto" w:fill="auto"/>
            <w:noWrap/>
            <w:vAlign w:val="bottom"/>
            <w:hideMark/>
          </w:tcPr>
          <w:p w14:paraId="090EC3E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8,9</w:t>
            </w:r>
          </w:p>
        </w:tc>
        <w:tc>
          <w:tcPr>
            <w:tcW w:w="660" w:type="dxa"/>
            <w:shd w:val="clear" w:color="auto" w:fill="auto"/>
            <w:noWrap/>
            <w:vAlign w:val="bottom"/>
            <w:hideMark/>
          </w:tcPr>
          <w:p w14:paraId="167F373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9,1</w:t>
            </w:r>
          </w:p>
        </w:tc>
        <w:tc>
          <w:tcPr>
            <w:tcW w:w="660" w:type="dxa"/>
            <w:shd w:val="clear" w:color="auto" w:fill="auto"/>
            <w:noWrap/>
            <w:vAlign w:val="bottom"/>
            <w:hideMark/>
          </w:tcPr>
          <w:p w14:paraId="2974E8F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6,5</w:t>
            </w:r>
          </w:p>
        </w:tc>
        <w:tc>
          <w:tcPr>
            <w:tcW w:w="660" w:type="dxa"/>
            <w:shd w:val="clear" w:color="auto" w:fill="auto"/>
            <w:noWrap/>
            <w:vAlign w:val="bottom"/>
            <w:hideMark/>
          </w:tcPr>
          <w:p w14:paraId="051AB609"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7,1</w:t>
            </w:r>
          </w:p>
        </w:tc>
        <w:tc>
          <w:tcPr>
            <w:tcW w:w="660" w:type="dxa"/>
            <w:shd w:val="clear" w:color="auto" w:fill="auto"/>
            <w:noWrap/>
            <w:vAlign w:val="bottom"/>
            <w:hideMark/>
          </w:tcPr>
          <w:p w14:paraId="6CC62A5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6,9</w:t>
            </w:r>
          </w:p>
        </w:tc>
        <w:tc>
          <w:tcPr>
            <w:tcW w:w="660" w:type="dxa"/>
            <w:shd w:val="clear" w:color="auto" w:fill="auto"/>
            <w:noWrap/>
            <w:vAlign w:val="bottom"/>
            <w:hideMark/>
          </w:tcPr>
          <w:p w14:paraId="095453B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5,9</w:t>
            </w:r>
          </w:p>
        </w:tc>
        <w:tc>
          <w:tcPr>
            <w:tcW w:w="660" w:type="dxa"/>
            <w:shd w:val="clear" w:color="auto" w:fill="auto"/>
            <w:noWrap/>
            <w:vAlign w:val="bottom"/>
            <w:hideMark/>
          </w:tcPr>
          <w:p w14:paraId="031C0E7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6,1</w:t>
            </w:r>
          </w:p>
        </w:tc>
        <w:tc>
          <w:tcPr>
            <w:tcW w:w="660" w:type="dxa"/>
            <w:shd w:val="clear" w:color="auto" w:fill="auto"/>
            <w:noWrap/>
            <w:vAlign w:val="bottom"/>
            <w:hideMark/>
          </w:tcPr>
          <w:p w14:paraId="6663982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8,7</w:t>
            </w:r>
          </w:p>
        </w:tc>
      </w:tr>
      <w:tr w:rsidR="00F41314" w:rsidRPr="003C1E89" w14:paraId="4F220A37" w14:textId="77777777" w:rsidTr="003C1E89">
        <w:trPr>
          <w:trHeight w:val="255"/>
          <w:jc w:val="center"/>
        </w:trPr>
        <w:tc>
          <w:tcPr>
            <w:tcW w:w="2320" w:type="dxa"/>
            <w:shd w:val="clear" w:color="auto" w:fill="auto"/>
            <w:noWrap/>
            <w:vAlign w:val="bottom"/>
            <w:hideMark/>
          </w:tcPr>
          <w:p w14:paraId="3E54E481" w14:textId="77777777" w:rsidR="00F41314" w:rsidRPr="003C1E89" w:rsidRDefault="00F41314" w:rsidP="002968D3">
            <w:pPr>
              <w:spacing w:line="240" w:lineRule="auto"/>
              <w:jc w:val="left"/>
              <w:rPr>
                <w:rFonts w:ascii="Arial Narrow" w:hAnsi="Arial Narrow" w:cs="Arial"/>
                <w:b/>
                <w:bCs/>
                <w:color w:val="000000"/>
                <w:sz w:val="20"/>
                <w:szCs w:val="20"/>
              </w:rPr>
            </w:pPr>
            <w:proofErr w:type="spellStart"/>
            <w:r w:rsidRPr="003C1E89">
              <w:rPr>
                <w:rFonts w:ascii="Arial Narrow" w:hAnsi="Arial Narrow" w:cs="Arial"/>
                <w:b/>
                <w:bCs/>
                <w:color w:val="000000"/>
                <w:sz w:val="20"/>
                <w:szCs w:val="20"/>
              </w:rPr>
              <w:t>FNsP</w:t>
            </w:r>
            <w:proofErr w:type="spellEnd"/>
            <w:r w:rsidRPr="003C1E89">
              <w:rPr>
                <w:rFonts w:ascii="Arial Narrow" w:hAnsi="Arial Narrow" w:cs="Arial"/>
                <w:b/>
                <w:bCs/>
                <w:color w:val="000000"/>
                <w:sz w:val="20"/>
                <w:szCs w:val="20"/>
              </w:rPr>
              <w:t xml:space="preserve"> Liptovský Mikuláš</w:t>
            </w:r>
          </w:p>
        </w:tc>
        <w:tc>
          <w:tcPr>
            <w:tcW w:w="660" w:type="dxa"/>
            <w:shd w:val="clear" w:color="auto" w:fill="auto"/>
            <w:noWrap/>
            <w:vAlign w:val="bottom"/>
            <w:hideMark/>
          </w:tcPr>
          <w:p w14:paraId="59CEF3C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6,1</w:t>
            </w:r>
          </w:p>
        </w:tc>
        <w:tc>
          <w:tcPr>
            <w:tcW w:w="660" w:type="dxa"/>
            <w:shd w:val="clear" w:color="auto" w:fill="auto"/>
            <w:noWrap/>
            <w:vAlign w:val="bottom"/>
            <w:hideMark/>
          </w:tcPr>
          <w:p w14:paraId="736B7EC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5,7</w:t>
            </w:r>
          </w:p>
        </w:tc>
        <w:tc>
          <w:tcPr>
            <w:tcW w:w="660" w:type="dxa"/>
            <w:shd w:val="clear" w:color="auto" w:fill="auto"/>
            <w:noWrap/>
            <w:vAlign w:val="bottom"/>
            <w:hideMark/>
          </w:tcPr>
          <w:p w14:paraId="7DEC3FF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6,5</w:t>
            </w:r>
          </w:p>
        </w:tc>
        <w:tc>
          <w:tcPr>
            <w:tcW w:w="660" w:type="dxa"/>
            <w:shd w:val="clear" w:color="auto" w:fill="auto"/>
            <w:noWrap/>
            <w:vAlign w:val="bottom"/>
            <w:hideMark/>
          </w:tcPr>
          <w:p w14:paraId="6B5E90E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7,4</w:t>
            </w:r>
          </w:p>
        </w:tc>
        <w:tc>
          <w:tcPr>
            <w:tcW w:w="660" w:type="dxa"/>
            <w:shd w:val="clear" w:color="auto" w:fill="auto"/>
            <w:noWrap/>
            <w:vAlign w:val="bottom"/>
            <w:hideMark/>
          </w:tcPr>
          <w:p w14:paraId="25EA450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6,9</w:t>
            </w:r>
          </w:p>
        </w:tc>
        <w:tc>
          <w:tcPr>
            <w:tcW w:w="660" w:type="dxa"/>
            <w:shd w:val="clear" w:color="auto" w:fill="auto"/>
            <w:noWrap/>
            <w:vAlign w:val="bottom"/>
            <w:hideMark/>
          </w:tcPr>
          <w:p w14:paraId="276756F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6,1</w:t>
            </w:r>
          </w:p>
        </w:tc>
        <w:tc>
          <w:tcPr>
            <w:tcW w:w="660" w:type="dxa"/>
            <w:shd w:val="clear" w:color="auto" w:fill="auto"/>
            <w:noWrap/>
            <w:vAlign w:val="bottom"/>
            <w:hideMark/>
          </w:tcPr>
          <w:p w14:paraId="4281174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7,0</w:t>
            </w:r>
          </w:p>
        </w:tc>
        <w:tc>
          <w:tcPr>
            <w:tcW w:w="660" w:type="dxa"/>
            <w:shd w:val="clear" w:color="auto" w:fill="auto"/>
            <w:noWrap/>
            <w:vAlign w:val="bottom"/>
            <w:hideMark/>
          </w:tcPr>
          <w:p w14:paraId="6D65EF4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7,6</w:t>
            </w:r>
          </w:p>
        </w:tc>
        <w:tc>
          <w:tcPr>
            <w:tcW w:w="660" w:type="dxa"/>
            <w:shd w:val="clear" w:color="auto" w:fill="auto"/>
            <w:noWrap/>
            <w:vAlign w:val="bottom"/>
            <w:hideMark/>
          </w:tcPr>
          <w:p w14:paraId="7A9A633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6,8</w:t>
            </w:r>
          </w:p>
        </w:tc>
        <w:tc>
          <w:tcPr>
            <w:tcW w:w="660" w:type="dxa"/>
            <w:shd w:val="clear" w:color="auto" w:fill="auto"/>
            <w:noWrap/>
            <w:vAlign w:val="bottom"/>
            <w:hideMark/>
          </w:tcPr>
          <w:p w14:paraId="0FDE2E8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7,5</w:t>
            </w:r>
          </w:p>
        </w:tc>
        <w:tc>
          <w:tcPr>
            <w:tcW w:w="660" w:type="dxa"/>
            <w:shd w:val="clear" w:color="auto" w:fill="auto"/>
            <w:noWrap/>
            <w:vAlign w:val="bottom"/>
            <w:hideMark/>
          </w:tcPr>
          <w:p w14:paraId="59AC6F6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6,0</w:t>
            </w:r>
          </w:p>
        </w:tc>
        <w:tc>
          <w:tcPr>
            <w:tcW w:w="660" w:type="dxa"/>
            <w:shd w:val="clear" w:color="auto" w:fill="auto"/>
            <w:noWrap/>
            <w:vAlign w:val="bottom"/>
            <w:hideMark/>
          </w:tcPr>
          <w:p w14:paraId="473B75C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8,5</w:t>
            </w:r>
          </w:p>
        </w:tc>
      </w:tr>
      <w:tr w:rsidR="00F41314" w:rsidRPr="003C1E89" w14:paraId="2ACE1D24" w14:textId="77777777" w:rsidTr="003C1E89">
        <w:trPr>
          <w:trHeight w:val="255"/>
          <w:jc w:val="center"/>
        </w:trPr>
        <w:tc>
          <w:tcPr>
            <w:tcW w:w="2320" w:type="dxa"/>
            <w:shd w:val="clear" w:color="auto" w:fill="auto"/>
            <w:noWrap/>
            <w:vAlign w:val="bottom"/>
            <w:hideMark/>
          </w:tcPr>
          <w:p w14:paraId="67EEBF4A" w14:textId="0C5E39FA"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UN</w:t>
            </w:r>
            <w:r w:rsidR="003C1E89" w:rsidRPr="003C1E89">
              <w:rPr>
                <w:rFonts w:ascii="Arial Narrow" w:hAnsi="Arial Narrow" w:cs="Arial"/>
                <w:b/>
                <w:bCs/>
                <w:color w:val="000000"/>
                <w:sz w:val="20"/>
                <w:szCs w:val="20"/>
              </w:rPr>
              <w:t>M</w:t>
            </w:r>
            <w:r w:rsidRPr="003C1E89">
              <w:rPr>
                <w:rFonts w:ascii="Arial Narrow" w:hAnsi="Arial Narrow" w:cs="Arial"/>
                <w:b/>
                <w:bCs/>
                <w:color w:val="000000"/>
                <w:sz w:val="20"/>
                <w:szCs w:val="20"/>
              </w:rPr>
              <w:t xml:space="preserve"> Martin</w:t>
            </w:r>
          </w:p>
        </w:tc>
        <w:tc>
          <w:tcPr>
            <w:tcW w:w="660" w:type="dxa"/>
            <w:shd w:val="clear" w:color="auto" w:fill="auto"/>
            <w:noWrap/>
            <w:vAlign w:val="bottom"/>
            <w:hideMark/>
          </w:tcPr>
          <w:p w14:paraId="4D2D558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4,1</w:t>
            </w:r>
          </w:p>
        </w:tc>
        <w:tc>
          <w:tcPr>
            <w:tcW w:w="660" w:type="dxa"/>
            <w:shd w:val="clear" w:color="auto" w:fill="auto"/>
            <w:noWrap/>
            <w:vAlign w:val="bottom"/>
            <w:hideMark/>
          </w:tcPr>
          <w:p w14:paraId="5F36AEC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3,7</w:t>
            </w:r>
          </w:p>
        </w:tc>
        <w:tc>
          <w:tcPr>
            <w:tcW w:w="660" w:type="dxa"/>
            <w:shd w:val="clear" w:color="auto" w:fill="auto"/>
            <w:noWrap/>
            <w:vAlign w:val="bottom"/>
            <w:hideMark/>
          </w:tcPr>
          <w:p w14:paraId="4FDBCB8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3,4</w:t>
            </w:r>
          </w:p>
        </w:tc>
        <w:tc>
          <w:tcPr>
            <w:tcW w:w="660" w:type="dxa"/>
            <w:shd w:val="clear" w:color="auto" w:fill="auto"/>
            <w:noWrap/>
            <w:vAlign w:val="bottom"/>
            <w:hideMark/>
          </w:tcPr>
          <w:p w14:paraId="3E1AEB1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4,1</w:t>
            </w:r>
          </w:p>
        </w:tc>
        <w:tc>
          <w:tcPr>
            <w:tcW w:w="660" w:type="dxa"/>
            <w:shd w:val="clear" w:color="auto" w:fill="auto"/>
            <w:noWrap/>
            <w:vAlign w:val="bottom"/>
            <w:hideMark/>
          </w:tcPr>
          <w:p w14:paraId="29B9489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3,8</w:t>
            </w:r>
          </w:p>
        </w:tc>
        <w:tc>
          <w:tcPr>
            <w:tcW w:w="660" w:type="dxa"/>
            <w:shd w:val="clear" w:color="auto" w:fill="auto"/>
            <w:noWrap/>
            <w:vAlign w:val="bottom"/>
            <w:hideMark/>
          </w:tcPr>
          <w:p w14:paraId="4422990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3,7</w:t>
            </w:r>
          </w:p>
        </w:tc>
        <w:tc>
          <w:tcPr>
            <w:tcW w:w="660" w:type="dxa"/>
            <w:shd w:val="clear" w:color="auto" w:fill="auto"/>
            <w:noWrap/>
            <w:vAlign w:val="bottom"/>
            <w:hideMark/>
          </w:tcPr>
          <w:p w14:paraId="7E55890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4,0</w:t>
            </w:r>
          </w:p>
        </w:tc>
        <w:tc>
          <w:tcPr>
            <w:tcW w:w="660" w:type="dxa"/>
            <w:shd w:val="clear" w:color="auto" w:fill="auto"/>
            <w:noWrap/>
            <w:vAlign w:val="bottom"/>
            <w:hideMark/>
          </w:tcPr>
          <w:p w14:paraId="327658B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4,8</w:t>
            </w:r>
          </w:p>
        </w:tc>
        <w:tc>
          <w:tcPr>
            <w:tcW w:w="660" w:type="dxa"/>
            <w:shd w:val="clear" w:color="auto" w:fill="auto"/>
            <w:noWrap/>
            <w:vAlign w:val="bottom"/>
            <w:hideMark/>
          </w:tcPr>
          <w:p w14:paraId="01370EE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4,8</w:t>
            </w:r>
          </w:p>
        </w:tc>
        <w:tc>
          <w:tcPr>
            <w:tcW w:w="660" w:type="dxa"/>
            <w:shd w:val="clear" w:color="auto" w:fill="auto"/>
            <w:noWrap/>
            <w:vAlign w:val="bottom"/>
            <w:hideMark/>
          </w:tcPr>
          <w:p w14:paraId="3844396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4,4</w:t>
            </w:r>
          </w:p>
        </w:tc>
        <w:tc>
          <w:tcPr>
            <w:tcW w:w="660" w:type="dxa"/>
            <w:shd w:val="clear" w:color="auto" w:fill="auto"/>
            <w:noWrap/>
            <w:vAlign w:val="bottom"/>
            <w:hideMark/>
          </w:tcPr>
          <w:p w14:paraId="2C5B94D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4,7</w:t>
            </w:r>
          </w:p>
        </w:tc>
        <w:tc>
          <w:tcPr>
            <w:tcW w:w="660" w:type="dxa"/>
            <w:shd w:val="clear" w:color="auto" w:fill="auto"/>
            <w:noWrap/>
            <w:vAlign w:val="bottom"/>
            <w:hideMark/>
          </w:tcPr>
          <w:p w14:paraId="506AC32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7,0</w:t>
            </w:r>
          </w:p>
        </w:tc>
      </w:tr>
      <w:tr w:rsidR="00F41314" w:rsidRPr="003C1E89" w14:paraId="5ECC7448" w14:textId="77777777" w:rsidTr="003C1E89">
        <w:trPr>
          <w:trHeight w:val="255"/>
          <w:jc w:val="center"/>
        </w:trPr>
        <w:tc>
          <w:tcPr>
            <w:tcW w:w="2320" w:type="dxa"/>
            <w:shd w:val="clear" w:color="auto" w:fill="auto"/>
            <w:noWrap/>
            <w:vAlign w:val="bottom"/>
            <w:hideMark/>
          </w:tcPr>
          <w:p w14:paraId="4040C3B9" w14:textId="2D936DCE" w:rsidR="00F41314" w:rsidRPr="003C1E89" w:rsidRDefault="003C1E89"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Ú</w:t>
            </w:r>
            <w:r w:rsidR="00F41314" w:rsidRPr="003C1E89">
              <w:rPr>
                <w:rFonts w:ascii="Arial Narrow" w:hAnsi="Arial Narrow" w:cs="Arial"/>
                <w:b/>
                <w:bCs/>
                <w:color w:val="000000"/>
                <w:sz w:val="20"/>
                <w:szCs w:val="20"/>
              </w:rPr>
              <w:t>VN Ružomberok</w:t>
            </w:r>
          </w:p>
        </w:tc>
        <w:tc>
          <w:tcPr>
            <w:tcW w:w="660" w:type="dxa"/>
            <w:shd w:val="clear" w:color="auto" w:fill="auto"/>
            <w:noWrap/>
            <w:vAlign w:val="bottom"/>
            <w:hideMark/>
          </w:tcPr>
          <w:p w14:paraId="0FA15B4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7,1</w:t>
            </w:r>
          </w:p>
        </w:tc>
        <w:tc>
          <w:tcPr>
            <w:tcW w:w="660" w:type="dxa"/>
            <w:shd w:val="clear" w:color="auto" w:fill="auto"/>
            <w:noWrap/>
            <w:vAlign w:val="bottom"/>
            <w:hideMark/>
          </w:tcPr>
          <w:p w14:paraId="3C37D98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7,6</w:t>
            </w:r>
          </w:p>
        </w:tc>
        <w:tc>
          <w:tcPr>
            <w:tcW w:w="660" w:type="dxa"/>
            <w:shd w:val="clear" w:color="auto" w:fill="auto"/>
            <w:noWrap/>
            <w:vAlign w:val="bottom"/>
            <w:hideMark/>
          </w:tcPr>
          <w:p w14:paraId="45A02FD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9,7</w:t>
            </w:r>
          </w:p>
        </w:tc>
        <w:tc>
          <w:tcPr>
            <w:tcW w:w="660" w:type="dxa"/>
            <w:shd w:val="clear" w:color="auto" w:fill="auto"/>
            <w:noWrap/>
            <w:vAlign w:val="bottom"/>
            <w:hideMark/>
          </w:tcPr>
          <w:p w14:paraId="2D57F5E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6,9</w:t>
            </w:r>
          </w:p>
        </w:tc>
        <w:tc>
          <w:tcPr>
            <w:tcW w:w="660" w:type="dxa"/>
            <w:shd w:val="clear" w:color="auto" w:fill="auto"/>
            <w:noWrap/>
            <w:vAlign w:val="bottom"/>
            <w:hideMark/>
          </w:tcPr>
          <w:p w14:paraId="2280FAC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9,4</w:t>
            </w:r>
          </w:p>
        </w:tc>
        <w:tc>
          <w:tcPr>
            <w:tcW w:w="660" w:type="dxa"/>
            <w:shd w:val="clear" w:color="auto" w:fill="auto"/>
            <w:noWrap/>
            <w:vAlign w:val="bottom"/>
            <w:hideMark/>
          </w:tcPr>
          <w:p w14:paraId="4922758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7,5</w:t>
            </w:r>
          </w:p>
        </w:tc>
        <w:tc>
          <w:tcPr>
            <w:tcW w:w="660" w:type="dxa"/>
            <w:shd w:val="clear" w:color="auto" w:fill="auto"/>
            <w:noWrap/>
            <w:vAlign w:val="bottom"/>
            <w:hideMark/>
          </w:tcPr>
          <w:p w14:paraId="4A0444F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6,6</w:t>
            </w:r>
          </w:p>
        </w:tc>
        <w:tc>
          <w:tcPr>
            <w:tcW w:w="660" w:type="dxa"/>
            <w:shd w:val="clear" w:color="auto" w:fill="auto"/>
            <w:noWrap/>
            <w:vAlign w:val="bottom"/>
            <w:hideMark/>
          </w:tcPr>
          <w:p w14:paraId="20D7828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7,6</w:t>
            </w:r>
          </w:p>
        </w:tc>
        <w:tc>
          <w:tcPr>
            <w:tcW w:w="660" w:type="dxa"/>
            <w:shd w:val="clear" w:color="auto" w:fill="auto"/>
            <w:noWrap/>
            <w:vAlign w:val="bottom"/>
            <w:hideMark/>
          </w:tcPr>
          <w:p w14:paraId="06B7BFCE"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6,7</w:t>
            </w:r>
          </w:p>
        </w:tc>
        <w:tc>
          <w:tcPr>
            <w:tcW w:w="660" w:type="dxa"/>
            <w:shd w:val="clear" w:color="auto" w:fill="auto"/>
            <w:noWrap/>
            <w:vAlign w:val="bottom"/>
            <w:hideMark/>
          </w:tcPr>
          <w:p w14:paraId="5245E2E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6,7</w:t>
            </w:r>
          </w:p>
        </w:tc>
        <w:tc>
          <w:tcPr>
            <w:tcW w:w="660" w:type="dxa"/>
            <w:shd w:val="clear" w:color="auto" w:fill="auto"/>
            <w:noWrap/>
            <w:vAlign w:val="bottom"/>
            <w:hideMark/>
          </w:tcPr>
          <w:p w14:paraId="5E1DAF8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9,3</w:t>
            </w:r>
          </w:p>
        </w:tc>
        <w:tc>
          <w:tcPr>
            <w:tcW w:w="660" w:type="dxa"/>
            <w:shd w:val="clear" w:color="auto" w:fill="auto"/>
            <w:noWrap/>
            <w:vAlign w:val="bottom"/>
            <w:hideMark/>
          </w:tcPr>
          <w:p w14:paraId="33E4779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11,9</w:t>
            </w:r>
          </w:p>
        </w:tc>
      </w:tr>
      <w:tr w:rsidR="00F41314" w:rsidRPr="003C1E89" w14:paraId="37AE9123" w14:textId="77777777" w:rsidTr="003C1E89">
        <w:trPr>
          <w:trHeight w:val="255"/>
          <w:jc w:val="center"/>
        </w:trPr>
        <w:tc>
          <w:tcPr>
            <w:tcW w:w="2320" w:type="dxa"/>
            <w:shd w:val="clear" w:color="auto" w:fill="auto"/>
            <w:noWrap/>
            <w:vAlign w:val="bottom"/>
            <w:hideMark/>
          </w:tcPr>
          <w:p w14:paraId="6495D03C" w14:textId="77777777" w:rsidR="00F41314" w:rsidRPr="003C1E89" w:rsidRDefault="00F41314" w:rsidP="002968D3">
            <w:pPr>
              <w:spacing w:line="240" w:lineRule="auto"/>
              <w:jc w:val="left"/>
              <w:rPr>
                <w:rFonts w:ascii="Arial Narrow" w:hAnsi="Arial Narrow" w:cs="Arial"/>
                <w:b/>
                <w:bCs/>
                <w:color w:val="000000"/>
                <w:sz w:val="20"/>
                <w:szCs w:val="20"/>
              </w:rPr>
            </w:pPr>
            <w:r w:rsidRPr="003C1E89">
              <w:rPr>
                <w:rFonts w:ascii="Arial Narrow" w:hAnsi="Arial Narrow" w:cs="Arial"/>
                <w:b/>
                <w:bCs/>
                <w:color w:val="000000"/>
                <w:sz w:val="20"/>
                <w:szCs w:val="20"/>
              </w:rPr>
              <w:t>NsP Trstená</w:t>
            </w:r>
          </w:p>
        </w:tc>
        <w:tc>
          <w:tcPr>
            <w:tcW w:w="660" w:type="dxa"/>
            <w:shd w:val="clear" w:color="auto" w:fill="auto"/>
            <w:noWrap/>
            <w:vAlign w:val="bottom"/>
            <w:hideMark/>
          </w:tcPr>
          <w:p w14:paraId="6262851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6,0</w:t>
            </w:r>
          </w:p>
        </w:tc>
        <w:tc>
          <w:tcPr>
            <w:tcW w:w="660" w:type="dxa"/>
            <w:shd w:val="clear" w:color="auto" w:fill="auto"/>
            <w:noWrap/>
            <w:vAlign w:val="bottom"/>
            <w:hideMark/>
          </w:tcPr>
          <w:p w14:paraId="7898570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7,6</w:t>
            </w:r>
          </w:p>
        </w:tc>
        <w:tc>
          <w:tcPr>
            <w:tcW w:w="660" w:type="dxa"/>
            <w:shd w:val="clear" w:color="auto" w:fill="auto"/>
            <w:noWrap/>
            <w:vAlign w:val="bottom"/>
            <w:hideMark/>
          </w:tcPr>
          <w:p w14:paraId="0750D1E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9,5</w:t>
            </w:r>
          </w:p>
        </w:tc>
        <w:tc>
          <w:tcPr>
            <w:tcW w:w="660" w:type="dxa"/>
            <w:shd w:val="clear" w:color="auto" w:fill="auto"/>
            <w:noWrap/>
            <w:vAlign w:val="bottom"/>
            <w:hideMark/>
          </w:tcPr>
          <w:p w14:paraId="4290B99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6,2</w:t>
            </w:r>
          </w:p>
        </w:tc>
        <w:tc>
          <w:tcPr>
            <w:tcW w:w="660" w:type="dxa"/>
            <w:shd w:val="clear" w:color="auto" w:fill="auto"/>
            <w:noWrap/>
            <w:vAlign w:val="bottom"/>
            <w:hideMark/>
          </w:tcPr>
          <w:p w14:paraId="452DDF8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8,4</w:t>
            </w:r>
          </w:p>
        </w:tc>
        <w:tc>
          <w:tcPr>
            <w:tcW w:w="660" w:type="dxa"/>
            <w:shd w:val="clear" w:color="auto" w:fill="auto"/>
            <w:noWrap/>
            <w:vAlign w:val="bottom"/>
            <w:hideMark/>
          </w:tcPr>
          <w:p w14:paraId="0BE524E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5,8</w:t>
            </w:r>
          </w:p>
        </w:tc>
        <w:tc>
          <w:tcPr>
            <w:tcW w:w="660" w:type="dxa"/>
            <w:shd w:val="clear" w:color="auto" w:fill="auto"/>
            <w:noWrap/>
            <w:vAlign w:val="bottom"/>
            <w:hideMark/>
          </w:tcPr>
          <w:p w14:paraId="70C63445"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5,7</w:t>
            </w:r>
          </w:p>
        </w:tc>
        <w:tc>
          <w:tcPr>
            <w:tcW w:w="660" w:type="dxa"/>
            <w:shd w:val="clear" w:color="auto" w:fill="auto"/>
            <w:noWrap/>
            <w:vAlign w:val="bottom"/>
            <w:hideMark/>
          </w:tcPr>
          <w:p w14:paraId="7ED0204B"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5,5</w:t>
            </w:r>
          </w:p>
        </w:tc>
        <w:tc>
          <w:tcPr>
            <w:tcW w:w="660" w:type="dxa"/>
            <w:shd w:val="clear" w:color="auto" w:fill="auto"/>
            <w:noWrap/>
            <w:vAlign w:val="bottom"/>
            <w:hideMark/>
          </w:tcPr>
          <w:p w14:paraId="1173C66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6,1</w:t>
            </w:r>
          </w:p>
        </w:tc>
        <w:tc>
          <w:tcPr>
            <w:tcW w:w="660" w:type="dxa"/>
            <w:shd w:val="clear" w:color="auto" w:fill="auto"/>
            <w:noWrap/>
            <w:vAlign w:val="bottom"/>
            <w:hideMark/>
          </w:tcPr>
          <w:p w14:paraId="218DFE5C"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5,7</w:t>
            </w:r>
          </w:p>
        </w:tc>
        <w:tc>
          <w:tcPr>
            <w:tcW w:w="660" w:type="dxa"/>
            <w:shd w:val="clear" w:color="auto" w:fill="auto"/>
            <w:noWrap/>
            <w:vAlign w:val="bottom"/>
            <w:hideMark/>
          </w:tcPr>
          <w:p w14:paraId="5F63CCB6"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6,0</w:t>
            </w:r>
          </w:p>
        </w:tc>
        <w:tc>
          <w:tcPr>
            <w:tcW w:w="660" w:type="dxa"/>
            <w:shd w:val="clear" w:color="auto" w:fill="auto"/>
            <w:noWrap/>
            <w:vAlign w:val="bottom"/>
            <w:hideMark/>
          </w:tcPr>
          <w:p w14:paraId="12B1524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6,8</w:t>
            </w:r>
          </w:p>
        </w:tc>
      </w:tr>
      <w:tr w:rsidR="00F41314" w:rsidRPr="003C1E89" w14:paraId="3761C3D9" w14:textId="77777777" w:rsidTr="003C1E89">
        <w:trPr>
          <w:trHeight w:val="255"/>
          <w:jc w:val="center"/>
        </w:trPr>
        <w:tc>
          <w:tcPr>
            <w:tcW w:w="2320" w:type="dxa"/>
            <w:shd w:val="clear" w:color="000000" w:fill="FFFF00"/>
            <w:noWrap/>
            <w:vAlign w:val="bottom"/>
            <w:hideMark/>
          </w:tcPr>
          <w:p w14:paraId="3F02C4A8" w14:textId="77777777" w:rsidR="00F41314" w:rsidRPr="003C1E89" w:rsidRDefault="00F41314" w:rsidP="002968D3">
            <w:pPr>
              <w:spacing w:line="240" w:lineRule="auto"/>
              <w:jc w:val="left"/>
              <w:rPr>
                <w:rFonts w:ascii="Arial Narrow" w:hAnsi="Arial Narrow" w:cs="Arial"/>
                <w:b/>
                <w:bCs/>
                <w:color w:val="000000"/>
                <w:sz w:val="20"/>
                <w:szCs w:val="20"/>
              </w:rPr>
            </w:pPr>
            <w:proofErr w:type="spellStart"/>
            <w:r w:rsidRPr="003C1E89">
              <w:rPr>
                <w:rFonts w:ascii="Arial Narrow" w:hAnsi="Arial Narrow" w:cs="Arial"/>
                <w:b/>
                <w:bCs/>
                <w:color w:val="000000"/>
                <w:sz w:val="20"/>
                <w:szCs w:val="20"/>
              </w:rPr>
              <w:t>FNsP</w:t>
            </w:r>
            <w:proofErr w:type="spellEnd"/>
            <w:r w:rsidRPr="003C1E89">
              <w:rPr>
                <w:rFonts w:ascii="Arial Narrow" w:hAnsi="Arial Narrow" w:cs="Arial"/>
                <w:b/>
                <w:bCs/>
                <w:color w:val="000000"/>
                <w:sz w:val="20"/>
                <w:szCs w:val="20"/>
              </w:rPr>
              <w:t xml:space="preserve"> Žilina</w:t>
            </w:r>
          </w:p>
        </w:tc>
        <w:tc>
          <w:tcPr>
            <w:tcW w:w="660" w:type="dxa"/>
            <w:shd w:val="clear" w:color="000000" w:fill="FFFF00"/>
            <w:noWrap/>
            <w:vAlign w:val="bottom"/>
            <w:hideMark/>
          </w:tcPr>
          <w:p w14:paraId="683F2BC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8,8</w:t>
            </w:r>
          </w:p>
        </w:tc>
        <w:tc>
          <w:tcPr>
            <w:tcW w:w="660" w:type="dxa"/>
            <w:shd w:val="clear" w:color="000000" w:fill="FFFF00"/>
            <w:noWrap/>
            <w:vAlign w:val="bottom"/>
            <w:hideMark/>
          </w:tcPr>
          <w:p w14:paraId="5A8088AD"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9,2</w:t>
            </w:r>
          </w:p>
        </w:tc>
        <w:tc>
          <w:tcPr>
            <w:tcW w:w="660" w:type="dxa"/>
            <w:shd w:val="clear" w:color="000000" w:fill="FFFF00"/>
            <w:noWrap/>
            <w:vAlign w:val="bottom"/>
            <w:hideMark/>
          </w:tcPr>
          <w:p w14:paraId="100844F2"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9,6</w:t>
            </w:r>
          </w:p>
        </w:tc>
        <w:tc>
          <w:tcPr>
            <w:tcW w:w="660" w:type="dxa"/>
            <w:shd w:val="clear" w:color="000000" w:fill="FFFF00"/>
            <w:noWrap/>
            <w:vAlign w:val="bottom"/>
            <w:hideMark/>
          </w:tcPr>
          <w:p w14:paraId="2849A134"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10,5</w:t>
            </w:r>
          </w:p>
        </w:tc>
        <w:tc>
          <w:tcPr>
            <w:tcW w:w="660" w:type="dxa"/>
            <w:shd w:val="clear" w:color="000000" w:fill="FFFF00"/>
            <w:noWrap/>
            <w:vAlign w:val="bottom"/>
            <w:hideMark/>
          </w:tcPr>
          <w:p w14:paraId="2BB9FE97"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6,7</w:t>
            </w:r>
          </w:p>
        </w:tc>
        <w:tc>
          <w:tcPr>
            <w:tcW w:w="660" w:type="dxa"/>
            <w:shd w:val="clear" w:color="000000" w:fill="FFFF00"/>
            <w:noWrap/>
            <w:vAlign w:val="bottom"/>
            <w:hideMark/>
          </w:tcPr>
          <w:p w14:paraId="1968B143"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7,8</w:t>
            </w:r>
          </w:p>
        </w:tc>
        <w:tc>
          <w:tcPr>
            <w:tcW w:w="660" w:type="dxa"/>
            <w:shd w:val="clear" w:color="000000" w:fill="FFFF00"/>
            <w:noWrap/>
            <w:vAlign w:val="bottom"/>
            <w:hideMark/>
          </w:tcPr>
          <w:p w14:paraId="606518FA"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7,1</w:t>
            </w:r>
          </w:p>
        </w:tc>
        <w:tc>
          <w:tcPr>
            <w:tcW w:w="660" w:type="dxa"/>
            <w:shd w:val="clear" w:color="000000" w:fill="FFFF00"/>
            <w:noWrap/>
            <w:vAlign w:val="bottom"/>
            <w:hideMark/>
          </w:tcPr>
          <w:p w14:paraId="217C0D28"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6,2</w:t>
            </w:r>
          </w:p>
        </w:tc>
        <w:tc>
          <w:tcPr>
            <w:tcW w:w="660" w:type="dxa"/>
            <w:shd w:val="clear" w:color="000000" w:fill="FFFF00"/>
            <w:noWrap/>
            <w:vAlign w:val="bottom"/>
            <w:hideMark/>
          </w:tcPr>
          <w:p w14:paraId="2F11854F"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7,3</w:t>
            </w:r>
          </w:p>
        </w:tc>
        <w:tc>
          <w:tcPr>
            <w:tcW w:w="660" w:type="dxa"/>
            <w:shd w:val="clear" w:color="000000" w:fill="FFFF00"/>
            <w:noWrap/>
            <w:vAlign w:val="bottom"/>
            <w:hideMark/>
          </w:tcPr>
          <w:p w14:paraId="4E33F00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6,0</w:t>
            </w:r>
          </w:p>
        </w:tc>
        <w:tc>
          <w:tcPr>
            <w:tcW w:w="660" w:type="dxa"/>
            <w:shd w:val="clear" w:color="000000" w:fill="FFFF00"/>
            <w:noWrap/>
            <w:vAlign w:val="bottom"/>
            <w:hideMark/>
          </w:tcPr>
          <w:p w14:paraId="398B3B11"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5,7</w:t>
            </w:r>
          </w:p>
        </w:tc>
        <w:tc>
          <w:tcPr>
            <w:tcW w:w="660" w:type="dxa"/>
            <w:shd w:val="clear" w:color="000000" w:fill="FFFF00"/>
            <w:noWrap/>
            <w:vAlign w:val="bottom"/>
            <w:hideMark/>
          </w:tcPr>
          <w:p w14:paraId="2D65D9D0" w14:textId="77777777" w:rsidR="00F41314" w:rsidRPr="003C1E89" w:rsidRDefault="00F41314" w:rsidP="002968D3">
            <w:pPr>
              <w:spacing w:line="240" w:lineRule="auto"/>
              <w:jc w:val="right"/>
              <w:rPr>
                <w:rFonts w:ascii="Arial Narrow" w:hAnsi="Arial Narrow" w:cs="Arial"/>
                <w:color w:val="000000"/>
                <w:sz w:val="20"/>
                <w:szCs w:val="20"/>
              </w:rPr>
            </w:pPr>
            <w:r w:rsidRPr="003C1E89">
              <w:rPr>
                <w:rFonts w:ascii="Arial Narrow" w:hAnsi="Arial Narrow" w:cs="Arial"/>
                <w:color w:val="000000"/>
                <w:sz w:val="20"/>
                <w:szCs w:val="20"/>
              </w:rPr>
              <w:t>6,3</w:t>
            </w:r>
          </w:p>
        </w:tc>
      </w:tr>
    </w:tbl>
    <w:p w14:paraId="3CA33A04" w14:textId="68A45B30" w:rsidR="00F41314" w:rsidRPr="00B620DE" w:rsidRDefault="00F41314" w:rsidP="00F41314">
      <w:pPr>
        <w:rPr>
          <w:rFonts w:ascii="Century Gothic" w:hAnsi="Century Gothic"/>
          <w:i/>
          <w:sz w:val="18"/>
          <w:szCs w:val="18"/>
          <w:lang w:eastAsia="cs-CZ"/>
        </w:rPr>
      </w:pPr>
      <w:r w:rsidRPr="00B620DE">
        <w:rPr>
          <w:rFonts w:ascii="Century Gothic" w:hAnsi="Century Gothic"/>
          <w:i/>
          <w:sz w:val="18"/>
          <w:szCs w:val="18"/>
          <w:lang w:eastAsia="cs-CZ"/>
        </w:rPr>
        <w:t xml:space="preserve">Zdroj: NCZI, </w:t>
      </w:r>
      <w:r w:rsidR="009E0B4F">
        <w:rPr>
          <w:rFonts w:ascii="Century Gothic" w:hAnsi="Century Gothic"/>
          <w:i/>
          <w:sz w:val="18"/>
          <w:szCs w:val="18"/>
          <w:lang w:eastAsia="cs-CZ"/>
        </w:rPr>
        <w:t>vlastné spracovanie</w:t>
      </w:r>
    </w:p>
    <w:p w14:paraId="5CF591A7" w14:textId="77777777" w:rsidR="00F41314" w:rsidRDefault="00F41314" w:rsidP="00F41314">
      <w:pPr>
        <w:rPr>
          <w:rFonts w:ascii="Century Gothic" w:hAnsi="Century Gothic"/>
          <w:lang w:eastAsia="cs-CZ"/>
        </w:rPr>
      </w:pPr>
    </w:p>
    <w:p w14:paraId="1359D3B9" w14:textId="63E1A199" w:rsidR="00F41314" w:rsidRPr="00B620DE" w:rsidRDefault="00F41314" w:rsidP="00B620DE">
      <w:pPr>
        <w:spacing w:line="240" w:lineRule="auto"/>
        <w:rPr>
          <w:rFonts w:ascii="Century Gothic" w:hAnsi="Century Gothic"/>
          <w:sz w:val="22"/>
          <w:szCs w:val="22"/>
          <w:lang w:eastAsia="cs-CZ"/>
        </w:rPr>
      </w:pPr>
      <w:r w:rsidRPr="00B620DE">
        <w:rPr>
          <w:rFonts w:ascii="Century Gothic" w:hAnsi="Century Gothic"/>
          <w:sz w:val="22"/>
          <w:szCs w:val="22"/>
          <w:lang w:eastAsia="cs-CZ"/>
        </w:rPr>
        <w:t>Z údajov j</w:t>
      </w:r>
      <w:r w:rsidR="007756C0">
        <w:rPr>
          <w:rFonts w:ascii="Century Gothic" w:hAnsi="Century Gothic"/>
          <w:sz w:val="22"/>
          <w:szCs w:val="22"/>
          <w:lang w:eastAsia="cs-CZ"/>
        </w:rPr>
        <w:t>e</w:t>
      </w:r>
      <w:r w:rsidRPr="00B620DE">
        <w:rPr>
          <w:rFonts w:ascii="Century Gothic" w:hAnsi="Century Gothic"/>
          <w:sz w:val="22"/>
          <w:szCs w:val="22"/>
          <w:lang w:eastAsia="cs-CZ"/>
        </w:rPr>
        <w:t xml:space="preserve"> zároveň zrejmý tlak na vyťaženosť OAIM oddelení najmä vo </w:t>
      </w:r>
      <w:proofErr w:type="spellStart"/>
      <w:r w:rsidRPr="00B620DE">
        <w:rPr>
          <w:rFonts w:ascii="Century Gothic" w:hAnsi="Century Gothic"/>
          <w:sz w:val="22"/>
          <w:szCs w:val="22"/>
          <w:lang w:eastAsia="cs-CZ"/>
        </w:rPr>
        <w:t>FNsP</w:t>
      </w:r>
      <w:proofErr w:type="spellEnd"/>
      <w:r w:rsidRPr="00B620DE">
        <w:rPr>
          <w:rFonts w:ascii="Century Gothic" w:hAnsi="Century Gothic"/>
          <w:sz w:val="22"/>
          <w:szCs w:val="22"/>
          <w:lang w:eastAsia="cs-CZ"/>
        </w:rPr>
        <w:t xml:space="preserve"> Žilina a UN</w:t>
      </w:r>
      <w:r w:rsidR="005C3589">
        <w:rPr>
          <w:rFonts w:ascii="Century Gothic" w:hAnsi="Century Gothic"/>
          <w:sz w:val="22"/>
          <w:szCs w:val="22"/>
          <w:lang w:eastAsia="cs-CZ"/>
        </w:rPr>
        <w:t>M</w:t>
      </w:r>
      <w:r w:rsidRPr="00B620DE">
        <w:rPr>
          <w:rFonts w:ascii="Century Gothic" w:hAnsi="Century Gothic"/>
          <w:sz w:val="22"/>
          <w:szCs w:val="22"/>
          <w:lang w:eastAsia="cs-CZ"/>
        </w:rPr>
        <w:t xml:space="preserve"> Martin, čo súvisí s postupným organickým presunom ťažších a/najmä </w:t>
      </w:r>
      <w:r w:rsidR="00C839CF" w:rsidRPr="00B620DE">
        <w:rPr>
          <w:rFonts w:ascii="Century Gothic" w:hAnsi="Century Gothic"/>
          <w:sz w:val="22"/>
          <w:szCs w:val="22"/>
          <w:lang w:eastAsia="cs-CZ"/>
        </w:rPr>
        <w:t>akútnych</w:t>
      </w:r>
      <w:r w:rsidRPr="00B620DE">
        <w:rPr>
          <w:rFonts w:ascii="Century Gothic" w:hAnsi="Century Gothic"/>
          <w:sz w:val="22"/>
          <w:szCs w:val="22"/>
          <w:lang w:eastAsia="cs-CZ"/>
        </w:rPr>
        <w:t xml:space="preserve"> pacientov do týchto, pre región koncových nemocníc. Bližšie náročnosť hospitalizovaných pacientov rozvedieme z dát DRG.</w:t>
      </w:r>
    </w:p>
    <w:p w14:paraId="781C1F85" w14:textId="77777777" w:rsidR="00F41314" w:rsidRDefault="00F41314" w:rsidP="00F41314">
      <w:pPr>
        <w:rPr>
          <w:rFonts w:ascii="Century Gothic" w:hAnsi="Century Gothic"/>
          <w:lang w:eastAsia="cs-CZ"/>
        </w:rPr>
      </w:pPr>
    </w:p>
    <w:p w14:paraId="21F16E2D" w14:textId="4D06B52E" w:rsidR="00714B9C" w:rsidRPr="00610835" w:rsidRDefault="000E4F94" w:rsidP="000E4F94">
      <w:pPr>
        <w:spacing w:line="240" w:lineRule="auto"/>
        <w:rPr>
          <w:rFonts w:ascii="Century Gothic" w:hAnsi="Century Gothic"/>
          <w:i/>
          <w:sz w:val="20"/>
          <w:szCs w:val="20"/>
        </w:rPr>
      </w:pPr>
      <w:bookmarkStart w:id="90" w:name="_Toc145219891"/>
      <w:r w:rsidRPr="000E4F94">
        <w:rPr>
          <w:rFonts w:ascii="Century Gothic" w:hAnsi="Century Gothic"/>
          <w:i/>
          <w:sz w:val="20"/>
          <w:szCs w:val="20"/>
        </w:rPr>
        <w:t xml:space="preserve">Graf </w:t>
      </w:r>
      <w:r w:rsidRPr="000E4F94">
        <w:rPr>
          <w:rFonts w:ascii="Century Gothic" w:hAnsi="Century Gothic"/>
          <w:i/>
          <w:sz w:val="20"/>
          <w:szCs w:val="20"/>
        </w:rPr>
        <w:fldChar w:fldCharType="begin"/>
      </w:r>
      <w:r w:rsidRPr="000E4F94">
        <w:rPr>
          <w:rFonts w:ascii="Century Gothic" w:hAnsi="Century Gothic"/>
          <w:i/>
          <w:sz w:val="20"/>
          <w:szCs w:val="20"/>
        </w:rPr>
        <w:instrText xml:space="preserve"> SEQ Graf \* ARABIC </w:instrText>
      </w:r>
      <w:r w:rsidRPr="000E4F94">
        <w:rPr>
          <w:rFonts w:ascii="Century Gothic" w:hAnsi="Century Gothic"/>
          <w:i/>
          <w:sz w:val="20"/>
          <w:szCs w:val="20"/>
        </w:rPr>
        <w:fldChar w:fldCharType="separate"/>
      </w:r>
      <w:r w:rsidR="007D6A44">
        <w:rPr>
          <w:rFonts w:ascii="Century Gothic" w:hAnsi="Century Gothic"/>
          <w:i/>
          <w:noProof/>
          <w:sz w:val="20"/>
          <w:szCs w:val="20"/>
        </w:rPr>
        <w:t>20</w:t>
      </w:r>
      <w:r w:rsidRPr="000E4F94">
        <w:rPr>
          <w:rFonts w:ascii="Century Gothic" w:hAnsi="Century Gothic"/>
          <w:i/>
          <w:sz w:val="20"/>
          <w:szCs w:val="20"/>
        </w:rPr>
        <w:fldChar w:fldCharType="end"/>
      </w:r>
      <w:r w:rsidR="00714B9C" w:rsidRPr="00714B9C">
        <w:rPr>
          <w:rFonts w:ascii="Century Gothic" w:hAnsi="Century Gothic"/>
          <w:i/>
          <w:sz w:val="20"/>
          <w:szCs w:val="20"/>
        </w:rPr>
        <w:t xml:space="preserve"> </w:t>
      </w:r>
      <w:r w:rsidR="00714B9C" w:rsidRPr="00610835">
        <w:rPr>
          <w:rFonts w:ascii="Century Gothic" w:hAnsi="Century Gothic"/>
          <w:i/>
          <w:sz w:val="20"/>
          <w:szCs w:val="20"/>
        </w:rPr>
        <w:t xml:space="preserve">Počet hospitalizovaných na OAIM </w:t>
      </w:r>
      <w:proofErr w:type="spellStart"/>
      <w:r w:rsidR="00714B9C" w:rsidRPr="00610835">
        <w:rPr>
          <w:rFonts w:ascii="Century Gothic" w:hAnsi="Century Gothic"/>
          <w:i/>
          <w:sz w:val="20"/>
          <w:szCs w:val="20"/>
        </w:rPr>
        <w:t>FNsP</w:t>
      </w:r>
      <w:proofErr w:type="spellEnd"/>
      <w:r w:rsidR="00714B9C" w:rsidRPr="00610835">
        <w:rPr>
          <w:rFonts w:ascii="Century Gothic" w:hAnsi="Century Gothic"/>
          <w:i/>
          <w:sz w:val="20"/>
          <w:szCs w:val="20"/>
        </w:rPr>
        <w:t xml:space="preserve"> Žilina a </w:t>
      </w:r>
      <w:r w:rsidR="005C3589">
        <w:rPr>
          <w:rFonts w:ascii="Century Gothic" w:hAnsi="Century Gothic"/>
          <w:i/>
          <w:sz w:val="20"/>
          <w:szCs w:val="20"/>
        </w:rPr>
        <w:t>U</w:t>
      </w:r>
      <w:r w:rsidR="00714B9C" w:rsidRPr="00610835">
        <w:rPr>
          <w:rFonts w:ascii="Century Gothic" w:hAnsi="Century Gothic"/>
          <w:i/>
          <w:sz w:val="20"/>
          <w:szCs w:val="20"/>
        </w:rPr>
        <w:t>N</w:t>
      </w:r>
      <w:r w:rsidR="00714B9C">
        <w:rPr>
          <w:rFonts w:ascii="Century Gothic" w:hAnsi="Century Gothic"/>
          <w:i/>
          <w:sz w:val="20"/>
          <w:szCs w:val="20"/>
        </w:rPr>
        <w:t>M</w:t>
      </w:r>
      <w:r w:rsidR="00714B9C" w:rsidRPr="00610835">
        <w:rPr>
          <w:rFonts w:ascii="Century Gothic" w:hAnsi="Century Gothic"/>
          <w:i/>
          <w:sz w:val="20"/>
          <w:szCs w:val="20"/>
        </w:rPr>
        <w:t xml:space="preserve"> Martin</w:t>
      </w:r>
      <w:bookmarkEnd w:id="90"/>
    </w:p>
    <w:p w14:paraId="2D5FD8B2" w14:textId="6E4A027E" w:rsidR="0048719D" w:rsidRDefault="0048719D" w:rsidP="0048719D">
      <w:pPr>
        <w:jc w:val="center"/>
        <w:rPr>
          <w:rFonts w:ascii="Century Gothic" w:hAnsi="Century Gothic"/>
          <w:lang w:eastAsia="cs-CZ"/>
        </w:rPr>
      </w:pPr>
      <w:r>
        <w:rPr>
          <w:noProof/>
        </w:rPr>
        <w:drawing>
          <wp:inline distT="0" distB="0" distL="0" distR="0" wp14:anchorId="284E82BA" wp14:editId="5A8AACC1">
            <wp:extent cx="4750130" cy="2814452"/>
            <wp:effectExtent l="0" t="0" r="0" b="5080"/>
            <wp:docPr id="17" name="Graf 17">
              <a:extLst xmlns:a="http://schemas.openxmlformats.org/drawingml/2006/main">
                <a:ext uri="{FF2B5EF4-FFF2-40B4-BE49-F238E27FC236}">
                  <a16:creationId xmlns:a16="http://schemas.microsoft.com/office/drawing/2014/main" id="{01C18C95-9E88-D1C8-8F0D-A3D13E97F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7D0B5DF" w14:textId="1B1652D5" w:rsidR="00F41314" w:rsidRPr="00B620DE" w:rsidRDefault="00F41314" w:rsidP="00F41314">
      <w:pPr>
        <w:rPr>
          <w:rFonts w:ascii="Century Gothic" w:hAnsi="Century Gothic"/>
          <w:i/>
          <w:sz w:val="18"/>
          <w:szCs w:val="18"/>
          <w:lang w:eastAsia="cs-CZ"/>
        </w:rPr>
      </w:pPr>
      <w:r w:rsidRPr="00B620DE">
        <w:rPr>
          <w:rFonts w:ascii="Century Gothic" w:hAnsi="Century Gothic"/>
          <w:i/>
          <w:sz w:val="18"/>
          <w:szCs w:val="18"/>
          <w:lang w:eastAsia="cs-CZ"/>
        </w:rPr>
        <w:t xml:space="preserve">Zdroj: NCZI, </w:t>
      </w:r>
      <w:r w:rsidR="0048719D">
        <w:rPr>
          <w:rFonts w:ascii="Century Gothic" w:hAnsi="Century Gothic"/>
          <w:i/>
          <w:sz w:val="18"/>
          <w:szCs w:val="18"/>
          <w:lang w:eastAsia="cs-CZ"/>
        </w:rPr>
        <w:t>vlastné spracovanie</w:t>
      </w:r>
    </w:p>
    <w:p w14:paraId="086EC0B2" w14:textId="5E2FCE30" w:rsidR="00943E84" w:rsidRPr="00943E84" w:rsidRDefault="00B10220" w:rsidP="00943E84">
      <w:pPr>
        <w:spacing w:line="240" w:lineRule="auto"/>
        <w:rPr>
          <w:rFonts w:ascii="Century Gothic" w:hAnsi="Century Gothic" w:cstheme="minorHAnsi"/>
          <w:b/>
          <w:sz w:val="22"/>
          <w:szCs w:val="22"/>
        </w:rPr>
      </w:pPr>
      <w:r>
        <w:rPr>
          <w:rFonts w:ascii="Century Gothic" w:hAnsi="Century Gothic" w:cstheme="minorHAnsi"/>
          <w:b/>
          <w:sz w:val="22"/>
          <w:szCs w:val="22"/>
        </w:rPr>
        <w:lastRenderedPageBreak/>
        <w:t xml:space="preserve">COVID </w:t>
      </w:r>
    </w:p>
    <w:p w14:paraId="1BE332A6" w14:textId="77777777" w:rsidR="00943E84" w:rsidRDefault="00943E84" w:rsidP="00943E84">
      <w:pPr>
        <w:spacing w:line="240" w:lineRule="auto"/>
        <w:rPr>
          <w:rFonts w:ascii="Century Gothic" w:hAnsi="Century Gothic" w:cstheme="minorHAnsi"/>
          <w:sz w:val="22"/>
          <w:szCs w:val="22"/>
        </w:rPr>
      </w:pPr>
    </w:p>
    <w:p w14:paraId="761AD6CE" w14:textId="609A380E" w:rsidR="00943E84" w:rsidRDefault="00B10220" w:rsidP="00943E84">
      <w:pPr>
        <w:spacing w:line="240" w:lineRule="auto"/>
        <w:rPr>
          <w:rFonts w:ascii="Century Gothic" w:hAnsi="Century Gothic" w:cstheme="minorHAnsi"/>
          <w:sz w:val="22"/>
          <w:szCs w:val="22"/>
        </w:rPr>
      </w:pPr>
      <w:r>
        <w:rPr>
          <w:rFonts w:ascii="Century Gothic" w:hAnsi="Century Gothic" w:cstheme="minorHAnsi"/>
          <w:sz w:val="22"/>
          <w:szCs w:val="22"/>
        </w:rPr>
        <w:t xml:space="preserve">Epidémia COVID </w:t>
      </w:r>
      <w:r w:rsidR="00943E84">
        <w:rPr>
          <w:rFonts w:ascii="Century Gothic" w:hAnsi="Century Gothic" w:cstheme="minorHAnsi"/>
          <w:sz w:val="22"/>
          <w:szCs w:val="22"/>
        </w:rPr>
        <w:t xml:space="preserve">v priebehu posledného kvartálu roku 2020 a počas roku 2021 s malou prestávkou v letných mesiacoch v podstate paralyzovala výkony celej nemocnice. </w:t>
      </w:r>
      <w:proofErr w:type="spellStart"/>
      <w:r w:rsidR="00943E84">
        <w:rPr>
          <w:rFonts w:ascii="Century Gothic" w:hAnsi="Century Gothic" w:cstheme="minorHAnsi"/>
          <w:sz w:val="22"/>
          <w:szCs w:val="22"/>
        </w:rPr>
        <w:t>Reprofilizácia</w:t>
      </w:r>
      <w:proofErr w:type="spellEnd"/>
      <w:r w:rsidR="00943E84">
        <w:rPr>
          <w:rFonts w:ascii="Century Gothic" w:hAnsi="Century Gothic" w:cstheme="minorHAnsi"/>
          <w:sz w:val="22"/>
          <w:szCs w:val="22"/>
        </w:rPr>
        <w:t xml:space="preserve"> lôžok</w:t>
      </w:r>
      <w:r>
        <w:rPr>
          <w:rFonts w:ascii="Century Gothic" w:hAnsi="Century Gothic" w:cstheme="minorHAnsi"/>
          <w:sz w:val="22"/>
          <w:szCs w:val="22"/>
        </w:rPr>
        <w:t>,</w:t>
      </w:r>
      <w:r w:rsidR="00943E84">
        <w:rPr>
          <w:rFonts w:ascii="Century Gothic" w:hAnsi="Century Gothic" w:cstheme="minorHAnsi"/>
          <w:sz w:val="22"/>
          <w:szCs w:val="22"/>
        </w:rPr>
        <w:t xml:space="preserve"> ale najmä nedostatok infekčných lôžok s možnosťou intenzívnej starostlivosti zásadným spôsobom ovplyvnila chod celej nemocnice. Aj vzhľadom na tieto skutočnosti bola úmrtnosť  pacientov</w:t>
      </w:r>
      <w:r w:rsidR="00B84F10">
        <w:rPr>
          <w:rFonts w:ascii="Century Gothic" w:hAnsi="Century Gothic" w:cstheme="minorHAnsi"/>
          <w:sz w:val="22"/>
          <w:szCs w:val="22"/>
        </w:rPr>
        <w:t xml:space="preserve"> vyššia ako v iných krajinách EÚ</w:t>
      </w:r>
      <w:r w:rsidR="00943E84">
        <w:rPr>
          <w:rFonts w:ascii="Century Gothic" w:hAnsi="Century Gothic" w:cstheme="minorHAnsi"/>
          <w:sz w:val="22"/>
          <w:szCs w:val="22"/>
        </w:rPr>
        <w:t xml:space="preserve">. </w:t>
      </w:r>
    </w:p>
    <w:p w14:paraId="7EAF8821" w14:textId="6E3D91A8" w:rsidR="00943E84" w:rsidRDefault="00943E84" w:rsidP="00943E84">
      <w:pPr>
        <w:spacing w:line="240" w:lineRule="auto"/>
        <w:rPr>
          <w:rFonts w:ascii="Century Gothic" w:hAnsi="Century Gothic" w:cstheme="minorHAnsi"/>
          <w:sz w:val="22"/>
          <w:szCs w:val="22"/>
        </w:rPr>
      </w:pPr>
    </w:p>
    <w:p w14:paraId="39AFAAB1" w14:textId="4D321D2C" w:rsidR="00B84F10" w:rsidRPr="00610835" w:rsidRDefault="0053721C" w:rsidP="0053721C">
      <w:pPr>
        <w:spacing w:line="240" w:lineRule="auto"/>
        <w:rPr>
          <w:rFonts w:ascii="Century Gothic" w:hAnsi="Century Gothic"/>
          <w:i/>
          <w:sz w:val="20"/>
          <w:szCs w:val="20"/>
        </w:rPr>
      </w:pPr>
      <w:bookmarkStart w:id="91" w:name="_Toc145219892"/>
      <w:r w:rsidRPr="0053721C">
        <w:rPr>
          <w:rFonts w:ascii="Century Gothic" w:hAnsi="Century Gothic"/>
          <w:i/>
          <w:sz w:val="20"/>
          <w:szCs w:val="20"/>
        </w:rPr>
        <w:t xml:space="preserve">Graf </w:t>
      </w:r>
      <w:r w:rsidRPr="0053721C">
        <w:rPr>
          <w:rFonts w:ascii="Century Gothic" w:hAnsi="Century Gothic"/>
          <w:i/>
          <w:sz w:val="20"/>
          <w:szCs w:val="20"/>
        </w:rPr>
        <w:fldChar w:fldCharType="begin"/>
      </w:r>
      <w:r w:rsidRPr="0053721C">
        <w:rPr>
          <w:rFonts w:ascii="Century Gothic" w:hAnsi="Century Gothic"/>
          <w:i/>
          <w:sz w:val="20"/>
          <w:szCs w:val="20"/>
        </w:rPr>
        <w:instrText xml:space="preserve"> SEQ Graf \* ARABIC </w:instrText>
      </w:r>
      <w:r w:rsidRPr="0053721C">
        <w:rPr>
          <w:rFonts w:ascii="Century Gothic" w:hAnsi="Century Gothic"/>
          <w:i/>
          <w:sz w:val="20"/>
          <w:szCs w:val="20"/>
        </w:rPr>
        <w:fldChar w:fldCharType="separate"/>
      </w:r>
      <w:r w:rsidR="007D6A44">
        <w:rPr>
          <w:rFonts w:ascii="Century Gothic" w:hAnsi="Century Gothic"/>
          <w:i/>
          <w:noProof/>
          <w:sz w:val="20"/>
          <w:szCs w:val="20"/>
        </w:rPr>
        <w:t>21</w:t>
      </w:r>
      <w:r w:rsidRPr="0053721C">
        <w:rPr>
          <w:rFonts w:ascii="Century Gothic" w:hAnsi="Century Gothic"/>
          <w:i/>
          <w:sz w:val="20"/>
          <w:szCs w:val="20"/>
        </w:rPr>
        <w:fldChar w:fldCharType="end"/>
      </w:r>
      <w:r w:rsidR="00B84F10" w:rsidRPr="00610835">
        <w:rPr>
          <w:rFonts w:ascii="Century Gothic" w:hAnsi="Century Gothic"/>
          <w:i/>
          <w:sz w:val="20"/>
          <w:szCs w:val="20"/>
        </w:rPr>
        <w:t xml:space="preserve"> COVID pacienti </w:t>
      </w:r>
      <w:r w:rsidR="005A0DE9">
        <w:rPr>
          <w:rFonts w:ascii="Century Gothic" w:hAnsi="Century Gothic"/>
          <w:i/>
          <w:sz w:val="20"/>
          <w:szCs w:val="20"/>
        </w:rPr>
        <w:t>8/</w:t>
      </w:r>
      <w:r w:rsidR="00B84F10" w:rsidRPr="00610835">
        <w:rPr>
          <w:rFonts w:ascii="Century Gothic" w:hAnsi="Century Gothic"/>
          <w:i/>
          <w:sz w:val="20"/>
          <w:szCs w:val="20"/>
        </w:rPr>
        <w:t xml:space="preserve">2020 – </w:t>
      </w:r>
      <w:r w:rsidR="005A0DE9">
        <w:rPr>
          <w:rFonts w:ascii="Century Gothic" w:hAnsi="Century Gothic"/>
          <w:i/>
          <w:sz w:val="20"/>
          <w:szCs w:val="20"/>
        </w:rPr>
        <w:t>1/</w:t>
      </w:r>
      <w:r w:rsidR="00B84F10" w:rsidRPr="00610835">
        <w:rPr>
          <w:rFonts w:ascii="Century Gothic" w:hAnsi="Century Gothic"/>
          <w:i/>
          <w:sz w:val="20"/>
          <w:szCs w:val="20"/>
        </w:rPr>
        <w:t>2022</w:t>
      </w:r>
      <w:bookmarkEnd w:id="91"/>
    </w:p>
    <w:p w14:paraId="6397A964" w14:textId="3896561E" w:rsidR="00E7127B" w:rsidRDefault="00E7127B" w:rsidP="005C3589">
      <w:pPr>
        <w:spacing w:line="240" w:lineRule="auto"/>
        <w:jc w:val="center"/>
        <w:rPr>
          <w:rFonts w:ascii="Century Gothic" w:hAnsi="Century Gothic" w:cstheme="minorHAnsi"/>
          <w:sz w:val="22"/>
          <w:szCs w:val="22"/>
        </w:rPr>
      </w:pPr>
      <w:r>
        <w:rPr>
          <w:noProof/>
        </w:rPr>
        <w:drawing>
          <wp:inline distT="0" distB="0" distL="0" distR="0" wp14:anchorId="7A72910A" wp14:editId="18332C2A">
            <wp:extent cx="5748337" cy="3390900"/>
            <wp:effectExtent l="0" t="0" r="5080" b="0"/>
            <wp:docPr id="8" name="Graf 8">
              <a:extLst xmlns:a="http://schemas.openxmlformats.org/drawingml/2006/main">
                <a:ext uri="{FF2B5EF4-FFF2-40B4-BE49-F238E27FC236}">
                  <a16:creationId xmlns:a16="http://schemas.microsoft.com/office/drawing/2014/main" id="{A05D4954-EF93-396F-F6A3-D0B6010D7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F3AC82F" w14:textId="3548D42C" w:rsidR="00B84F10" w:rsidRDefault="00B84F10" w:rsidP="00B84F10">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proofErr w:type="spellStart"/>
      <w:r w:rsidR="005C3589">
        <w:rPr>
          <w:rFonts w:ascii="Century Gothic" w:hAnsi="Century Gothic" w:cstheme="minorHAnsi"/>
          <w:b w:val="0"/>
          <w:i/>
          <w:sz w:val="18"/>
          <w:szCs w:val="18"/>
        </w:rPr>
        <w:t>FNsP</w:t>
      </w:r>
      <w:proofErr w:type="spellEnd"/>
      <w:r w:rsidRPr="006B1505">
        <w:rPr>
          <w:rFonts w:ascii="Century Gothic" w:hAnsi="Century Gothic" w:cstheme="minorHAnsi"/>
          <w:b w:val="0"/>
          <w:i/>
          <w:sz w:val="18"/>
          <w:szCs w:val="18"/>
        </w:rPr>
        <w:t xml:space="preserve"> Žilina</w:t>
      </w:r>
    </w:p>
    <w:p w14:paraId="225FD44F" w14:textId="77777777" w:rsidR="00943E84" w:rsidRDefault="00943E84" w:rsidP="00943E84">
      <w:pPr>
        <w:spacing w:line="240" w:lineRule="auto"/>
        <w:rPr>
          <w:rFonts w:ascii="Century Gothic" w:hAnsi="Century Gothic" w:cstheme="minorHAnsi"/>
          <w:sz w:val="22"/>
          <w:szCs w:val="22"/>
        </w:rPr>
      </w:pPr>
    </w:p>
    <w:p w14:paraId="5DD529C8" w14:textId="6A62B54F" w:rsidR="00F41314" w:rsidRDefault="00F41314" w:rsidP="00F41314">
      <w:pPr>
        <w:spacing w:line="240" w:lineRule="auto"/>
        <w:rPr>
          <w:rFonts w:ascii="Century Gothic" w:hAnsi="Century Gothic" w:cstheme="minorHAnsi"/>
          <w:sz w:val="22"/>
          <w:szCs w:val="22"/>
        </w:rPr>
      </w:pP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Žilina zároveň ošetrila/prijala spolu s UN</w:t>
      </w:r>
      <w:r w:rsidR="005C3589">
        <w:rPr>
          <w:rFonts w:ascii="Century Gothic" w:hAnsi="Century Gothic" w:cstheme="minorHAnsi"/>
          <w:sz w:val="22"/>
          <w:szCs w:val="22"/>
        </w:rPr>
        <w:t>M</w:t>
      </w:r>
      <w:r>
        <w:rPr>
          <w:rFonts w:ascii="Century Gothic" w:hAnsi="Century Gothic" w:cstheme="minorHAnsi"/>
          <w:sz w:val="22"/>
          <w:szCs w:val="22"/>
        </w:rPr>
        <w:t xml:space="preserve"> V Martine najviac pacientov z celého regiónu. </w:t>
      </w:r>
    </w:p>
    <w:p w14:paraId="12B185A0" w14:textId="77777777" w:rsidR="0053721C" w:rsidRDefault="0053721C" w:rsidP="00B11276">
      <w:pPr>
        <w:spacing w:line="240" w:lineRule="auto"/>
        <w:rPr>
          <w:rFonts w:ascii="Century Gothic" w:hAnsi="Century Gothic"/>
          <w:i/>
          <w:sz w:val="20"/>
          <w:szCs w:val="20"/>
        </w:rPr>
      </w:pPr>
    </w:p>
    <w:p w14:paraId="77FACF1D" w14:textId="16FB6D1B" w:rsidR="00F41314" w:rsidRDefault="0053721C" w:rsidP="0053721C">
      <w:pPr>
        <w:spacing w:line="240" w:lineRule="auto"/>
        <w:rPr>
          <w:rFonts w:ascii="Century Gothic" w:hAnsi="Century Gothic"/>
          <w:i/>
          <w:sz w:val="20"/>
          <w:szCs w:val="20"/>
        </w:rPr>
      </w:pPr>
      <w:bookmarkStart w:id="92" w:name="_Toc145219893"/>
      <w:r w:rsidRPr="0053721C">
        <w:rPr>
          <w:rFonts w:ascii="Century Gothic" w:hAnsi="Century Gothic"/>
          <w:i/>
          <w:sz w:val="20"/>
          <w:szCs w:val="20"/>
        </w:rPr>
        <w:t xml:space="preserve">Graf </w:t>
      </w:r>
      <w:r w:rsidRPr="0053721C">
        <w:rPr>
          <w:rFonts w:ascii="Century Gothic" w:hAnsi="Century Gothic"/>
          <w:i/>
          <w:sz w:val="20"/>
          <w:szCs w:val="20"/>
        </w:rPr>
        <w:fldChar w:fldCharType="begin"/>
      </w:r>
      <w:r w:rsidRPr="0053721C">
        <w:rPr>
          <w:rFonts w:ascii="Century Gothic" w:hAnsi="Century Gothic"/>
          <w:i/>
          <w:sz w:val="20"/>
          <w:szCs w:val="20"/>
        </w:rPr>
        <w:instrText xml:space="preserve"> SEQ Graf \* ARABIC </w:instrText>
      </w:r>
      <w:r w:rsidRPr="0053721C">
        <w:rPr>
          <w:rFonts w:ascii="Century Gothic" w:hAnsi="Century Gothic"/>
          <w:i/>
          <w:sz w:val="20"/>
          <w:szCs w:val="20"/>
        </w:rPr>
        <w:fldChar w:fldCharType="separate"/>
      </w:r>
      <w:r w:rsidR="007D6A44">
        <w:rPr>
          <w:rFonts w:ascii="Century Gothic" w:hAnsi="Century Gothic"/>
          <w:i/>
          <w:noProof/>
          <w:sz w:val="20"/>
          <w:szCs w:val="20"/>
        </w:rPr>
        <w:t>22</w:t>
      </w:r>
      <w:r w:rsidRPr="0053721C">
        <w:rPr>
          <w:rFonts w:ascii="Century Gothic" w:hAnsi="Century Gothic"/>
          <w:i/>
          <w:sz w:val="20"/>
          <w:szCs w:val="20"/>
        </w:rPr>
        <w:fldChar w:fldCharType="end"/>
      </w:r>
      <w:r w:rsidR="00B11276" w:rsidRPr="00B11276">
        <w:rPr>
          <w:rFonts w:ascii="Century Gothic" w:hAnsi="Century Gothic"/>
          <w:i/>
          <w:sz w:val="20"/>
          <w:szCs w:val="20"/>
        </w:rPr>
        <w:t xml:space="preserve"> </w:t>
      </w:r>
      <w:r w:rsidR="00F41314" w:rsidRPr="00610835">
        <w:rPr>
          <w:rFonts w:ascii="Century Gothic" w:hAnsi="Century Gothic"/>
          <w:i/>
          <w:sz w:val="20"/>
          <w:szCs w:val="20"/>
        </w:rPr>
        <w:t>Hospitalizovaní na COVID 19 v rámci ŽSK (do 15.1.20</w:t>
      </w:r>
      <w:r w:rsidR="005A0DE9">
        <w:rPr>
          <w:rFonts w:ascii="Century Gothic" w:hAnsi="Century Gothic"/>
          <w:i/>
          <w:sz w:val="20"/>
          <w:szCs w:val="20"/>
        </w:rPr>
        <w:t>22</w:t>
      </w:r>
      <w:r w:rsidR="00F41314" w:rsidRPr="00610835">
        <w:rPr>
          <w:rFonts w:ascii="Century Gothic" w:hAnsi="Century Gothic"/>
          <w:i/>
          <w:sz w:val="20"/>
          <w:szCs w:val="20"/>
        </w:rPr>
        <w:t>)</w:t>
      </w:r>
      <w:bookmarkEnd w:id="92"/>
    </w:p>
    <w:p w14:paraId="36E2766D" w14:textId="6E8FB8A1" w:rsidR="00CC7360" w:rsidRDefault="00CC7360" w:rsidP="00F41314">
      <w:pPr>
        <w:spacing w:line="240" w:lineRule="auto"/>
        <w:rPr>
          <w:rFonts w:ascii="Century Gothic" w:hAnsi="Century Gothic" w:cstheme="minorHAnsi"/>
          <w:sz w:val="22"/>
          <w:szCs w:val="22"/>
        </w:rPr>
      </w:pPr>
      <w:r>
        <w:rPr>
          <w:noProof/>
        </w:rPr>
        <w:drawing>
          <wp:inline distT="0" distB="0" distL="0" distR="0" wp14:anchorId="2E2299DE" wp14:editId="6F347A63">
            <wp:extent cx="5961413" cy="2743200"/>
            <wp:effectExtent l="0" t="0" r="1270" b="0"/>
            <wp:docPr id="1" name="Graf 1">
              <a:extLst xmlns:a="http://schemas.openxmlformats.org/drawingml/2006/main">
                <a:ext uri="{FF2B5EF4-FFF2-40B4-BE49-F238E27FC236}">
                  <a16:creationId xmlns:a16="http://schemas.microsoft.com/office/drawing/2014/main" id="{F6DCDB4F-5B35-6D8C-7FF2-B94A65472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A761A90" w14:textId="7BC71206" w:rsidR="00F41314" w:rsidRPr="00844F12" w:rsidRDefault="00F41314" w:rsidP="00F41314">
      <w:pPr>
        <w:spacing w:line="240" w:lineRule="auto"/>
        <w:rPr>
          <w:rFonts w:ascii="Century Gothic" w:hAnsi="Century Gothic" w:cstheme="minorHAnsi"/>
          <w:i/>
          <w:iCs/>
          <w:sz w:val="18"/>
          <w:szCs w:val="18"/>
        </w:rPr>
      </w:pPr>
      <w:r w:rsidRPr="00844F12">
        <w:rPr>
          <w:rFonts w:ascii="Century Gothic" w:hAnsi="Century Gothic" w:cstheme="minorHAnsi"/>
          <w:i/>
          <w:iCs/>
          <w:sz w:val="18"/>
          <w:szCs w:val="18"/>
        </w:rPr>
        <w:t xml:space="preserve">Zdroj: </w:t>
      </w:r>
      <w:hyperlink r:id="rId52" w:history="1">
        <w:r w:rsidRPr="00844F12">
          <w:rPr>
            <w:rStyle w:val="Hypertextovprepojenie"/>
            <w:rFonts w:ascii="Century Gothic" w:hAnsi="Century Gothic" w:cstheme="minorHAnsi"/>
            <w:i/>
            <w:iCs/>
            <w:noProof w:val="0"/>
            <w:sz w:val="18"/>
            <w:szCs w:val="18"/>
          </w:rPr>
          <w:t>www.korona.gov.sk</w:t>
        </w:r>
      </w:hyperlink>
      <w:r w:rsidR="00B11276">
        <w:rPr>
          <w:rFonts w:ascii="Century Gothic" w:hAnsi="Century Gothic" w:cstheme="minorHAnsi"/>
          <w:i/>
          <w:iCs/>
          <w:sz w:val="18"/>
          <w:szCs w:val="18"/>
        </w:rPr>
        <w:t>, vlastné spracovanie</w:t>
      </w:r>
    </w:p>
    <w:p w14:paraId="1826ECAE" w14:textId="69318CD3"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lastRenderedPageBreak/>
        <w:t>Dáta z prostredia NCZI (</w:t>
      </w:r>
      <w:hyperlink r:id="rId53" w:history="1">
        <w:r w:rsidRPr="0056490E">
          <w:rPr>
            <w:rStyle w:val="Hypertextovprepojenie"/>
            <w:rFonts w:ascii="Century Gothic" w:hAnsi="Century Gothic" w:cstheme="minorHAnsi"/>
            <w:noProof w:val="0"/>
            <w:sz w:val="22"/>
            <w:szCs w:val="22"/>
          </w:rPr>
          <w:t>www.korona.gov.sk</w:t>
        </w:r>
      </w:hyperlink>
      <w:r>
        <w:rPr>
          <w:rFonts w:ascii="Century Gothic" w:hAnsi="Century Gothic" w:cstheme="minorHAnsi"/>
          <w:sz w:val="22"/>
          <w:szCs w:val="22"/>
        </w:rPr>
        <w:t>) sú žiaľ zaťažené dvoma chybami, ktoré napriek upozorneniu zatiaľ neboli celkom odstránené – ide o pravdepodobne nesprávny údaj o počte pacient</w:t>
      </w:r>
      <w:r w:rsidR="00416B1C">
        <w:rPr>
          <w:rFonts w:ascii="Century Gothic" w:hAnsi="Century Gothic" w:cstheme="minorHAnsi"/>
          <w:sz w:val="22"/>
          <w:szCs w:val="22"/>
        </w:rPr>
        <w:t>ov v NsP Čadca a zjavný nesúlad</w:t>
      </w:r>
      <w:r>
        <w:rPr>
          <w:rFonts w:ascii="Century Gothic" w:hAnsi="Century Gothic" w:cstheme="minorHAnsi"/>
          <w:sz w:val="22"/>
          <w:szCs w:val="22"/>
        </w:rPr>
        <w:t xml:space="preserve"> medzi  počtom intenzívnych pacientov a počtom ventilovaných pacientov v NsP Liptovský Mikuláš.</w:t>
      </w:r>
    </w:p>
    <w:p w14:paraId="2CF463DA" w14:textId="77777777" w:rsidR="00416B1C" w:rsidRDefault="00416B1C" w:rsidP="00F41314">
      <w:pPr>
        <w:spacing w:line="240" w:lineRule="auto"/>
        <w:rPr>
          <w:rFonts w:ascii="Century Gothic" w:hAnsi="Century Gothic" w:cstheme="minorHAnsi"/>
          <w:sz w:val="22"/>
          <w:szCs w:val="22"/>
        </w:rPr>
      </w:pPr>
    </w:p>
    <w:p w14:paraId="6C41CC46" w14:textId="77777777" w:rsidR="00F41314" w:rsidRPr="00606773" w:rsidRDefault="00F41314" w:rsidP="00F41314">
      <w:pPr>
        <w:spacing w:line="240" w:lineRule="auto"/>
        <w:rPr>
          <w:rFonts w:ascii="Century Gothic" w:hAnsi="Century Gothic" w:cstheme="minorHAnsi"/>
          <w:b/>
          <w:bCs/>
          <w:sz w:val="22"/>
          <w:szCs w:val="22"/>
        </w:rPr>
      </w:pPr>
      <w:proofErr w:type="spellStart"/>
      <w:r w:rsidRPr="00606773">
        <w:rPr>
          <w:rFonts w:ascii="Century Gothic" w:hAnsi="Century Gothic" w:cstheme="minorHAnsi"/>
          <w:b/>
          <w:bCs/>
          <w:sz w:val="22"/>
          <w:szCs w:val="22"/>
        </w:rPr>
        <w:t>FNsP</w:t>
      </w:r>
      <w:proofErr w:type="spellEnd"/>
      <w:r w:rsidRPr="00606773">
        <w:rPr>
          <w:rFonts w:ascii="Century Gothic" w:hAnsi="Century Gothic" w:cstheme="minorHAnsi"/>
          <w:b/>
          <w:bCs/>
          <w:sz w:val="22"/>
          <w:szCs w:val="22"/>
        </w:rPr>
        <w:t xml:space="preserve"> Žilina v systéme zdravotnej starostlivosti z pohľadu náročnosti pacientov</w:t>
      </w:r>
    </w:p>
    <w:p w14:paraId="33469BBB" w14:textId="77777777" w:rsidR="00F41314" w:rsidRDefault="00F41314" w:rsidP="00F41314">
      <w:pPr>
        <w:spacing w:line="240" w:lineRule="auto"/>
        <w:rPr>
          <w:rFonts w:ascii="Century Gothic" w:hAnsi="Century Gothic" w:cstheme="minorHAnsi"/>
          <w:sz w:val="22"/>
          <w:szCs w:val="22"/>
        </w:rPr>
      </w:pPr>
    </w:p>
    <w:p w14:paraId="36D129FA" w14:textId="77777777"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Zavedenie systému DRG v SR od roku 2017 pri vykazovaní hospitalizácií zdravotným poisťovniam a nastavovanie financovania nemocníc podľa tohto systému nám dáva možnosť hodnotenia nemocníc a ich jednotlivých oddelení z pohľadu náročnosti hospitalizovaných pacientov. Manažment DRG systému má na starosti Klasifikačné centrum pre DRG, ktoré pôvodne pôsobilo na ÚDZS, od roku 2021 je súčasťou MZSR. Každoročne sú celkové CMI (spravidla) za predchádzajúci rok zverejňované v tzv. kalkulačnej príručke a dávajú nám obraz o priemernej miere náročnosti prípadov ošetrovaných v jednotlivých nemocniciach. Vzhľadom na pilotné roky zavádzania systému (2017/2018) prezentujeme dáta až od roku 2019.</w:t>
      </w:r>
    </w:p>
    <w:p w14:paraId="11443BE2" w14:textId="77777777" w:rsidR="00F41314" w:rsidRDefault="00F41314" w:rsidP="00F41314">
      <w:pPr>
        <w:spacing w:line="240" w:lineRule="auto"/>
        <w:rPr>
          <w:rFonts w:ascii="Century Gothic" w:hAnsi="Century Gothic" w:cstheme="minorHAnsi"/>
          <w:sz w:val="22"/>
          <w:szCs w:val="22"/>
        </w:rPr>
      </w:pPr>
    </w:p>
    <w:p w14:paraId="01B9FB56" w14:textId="44F10A4B"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t>Graf uvedený nižšie odzrkadľuje vývoj tzv. efektívneho CMI, tzn. odráža náročnosť úplne všetkých pacientov hospitalizovaných v daných nemocniciach za ročné obdobie. Údaje sú spracované z dát, ktoré zbiera CKS</w:t>
      </w:r>
      <w:r w:rsidR="00482C71">
        <w:rPr>
          <w:rFonts w:ascii="Century Gothic" w:hAnsi="Century Gothic" w:cstheme="minorHAnsi"/>
          <w:sz w:val="22"/>
          <w:szCs w:val="22"/>
        </w:rPr>
        <w:t xml:space="preserve"> každoročne od poskytovateľov zdravotnej starostlivosti</w:t>
      </w:r>
      <w:r>
        <w:rPr>
          <w:rFonts w:ascii="Century Gothic" w:hAnsi="Century Gothic" w:cstheme="minorHAnsi"/>
          <w:sz w:val="22"/>
          <w:szCs w:val="22"/>
        </w:rPr>
        <w:t xml:space="preserve"> po revíziách od zdravotných poisťovní, takže ide o korektné revidované údaje. Na grafe je možné dokumentovať pomerne zásadné rozdiely úrovne jednotlivých nemocníc</w:t>
      </w:r>
      <w:r w:rsidR="00482C71">
        <w:rPr>
          <w:rFonts w:ascii="Century Gothic" w:hAnsi="Century Gothic" w:cstheme="minorHAnsi"/>
          <w:sz w:val="22"/>
          <w:szCs w:val="22"/>
        </w:rPr>
        <w:t>. R</w:t>
      </w:r>
      <w:r>
        <w:rPr>
          <w:rFonts w:ascii="Century Gothic" w:hAnsi="Century Gothic" w:cstheme="minorHAnsi"/>
          <w:sz w:val="22"/>
          <w:szCs w:val="22"/>
        </w:rPr>
        <w:t>egionálne nemocnice ŽSK</w:t>
      </w:r>
      <w:r w:rsidR="006D051C">
        <w:rPr>
          <w:rFonts w:ascii="Century Gothic" w:hAnsi="Century Gothic" w:cstheme="minorHAnsi"/>
          <w:sz w:val="22"/>
          <w:szCs w:val="22"/>
        </w:rPr>
        <w:t xml:space="preserve"> (budúce nemocnice </w:t>
      </w:r>
      <w:proofErr w:type="spellStart"/>
      <w:r w:rsidR="006D051C">
        <w:rPr>
          <w:rFonts w:ascii="Century Gothic" w:hAnsi="Century Gothic" w:cstheme="minorHAnsi"/>
          <w:sz w:val="22"/>
          <w:szCs w:val="22"/>
        </w:rPr>
        <w:t>I.a</w:t>
      </w:r>
      <w:proofErr w:type="spellEnd"/>
      <w:r w:rsidR="006D051C">
        <w:rPr>
          <w:rFonts w:ascii="Century Gothic" w:hAnsi="Century Gothic" w:cstheme="minorHAnsi"/>
          <w:sz w:val="22"/>
          <w:szCs w:val="22"/>
        </w:rPr>
        <w:t xml:space="preserve"> II .typu) </w:t>
      </w:r>
      <w:r>
        <w:rPr>
          <w:rFonts w:ascii="Century Gothic" w:hAnsi="Century Gothic" w:cstheme="minorHAnsi"/>
          <w:sz w:val="22"/>
          <w:szCs w:val="22"/>
        </w:rPr>
        <w:t xml:space="preserve">sa pohybujú na úrovni 0,88 – 1,05, </w:t>
      </w:r>
      <w:r w:rsidR="00482C71">
        <w:rPr>
          <w:rFonts w:ascii="Century Gothic" w:hAnsi="Century Gothic" w:cstheme="minorHAnsi"/>
          <w:sz w:val="22"/>
          <w:szCs w:val="22"/>
        </w:rPr>
        <w:t xml:space="preserve">koncové </w:t>
      </w:r>
      <w:r>
        <w:rPr>
          <w:rFonts w:ascii="Century Gothic" w:hAnsi="Century Gothic" w:cstheme="minorHAnsi"/>
          <w:sz w:val="22"/>
          <w:szCs w:val="22"/>
        </w:rPr>
        <w:t xml:space="preserve">nemocnice pre daný región </w:t>
      </w:r>
      <w:r w:rsidR="00014A5D">
        <w:rPr>
          <w:rFonts w:ascii="Century Gothic" w:hAnsi="Century Gothic" w:cstheme="minorHAnsi"/>
          <w:sz w:val="22"/>
          <w:szCs w:val="22"/>
        </w:rPr>
        <w:t>(budúce nemocnice III. resp. IV. typu)</w:t>
      </w:r>
      <w:r w:rsidR="00482C71">
        <w:rPr>
          <w:rFonts w:ascii="Century Gothic" w:hAnsi="Century Gothic" w:cstheme="minorHAnsi"/>
          <w:sz w:val="22"/>
          <w:szCs w:val="22"/>
        </w:rPr>
        <w:t xml:space="preserve"> </w:t>
      </w:r>
      <w:r>
        <w:rPr>
          <w:rFonts w:ascii="Century Gothic" w:hAnsi="Century Gothic" w:cstheme="minorHAnsi"/>
          <w:sz w:val="22"/>
          <w:szCs w:val="22"/>
        </w:rPr>
        <w:t xml:space="preserve">sa pohybujú od 1,25 – 1,4. Zároveň možno konštatovať, že trend je stabilizovaný a celkový postupný rast </w:t>
      </w:r>
      <w:proofErr w:type="spellStart"/>
      <w:r>
        <w:rPr>
          <w:rFonts w:ascii="Century Gothic" w:hAnsi="Century Gothic" w:cstheme="minorHAnsi"/>
          <w:sz w:val="22"/>
          <w:szCs w:val="22"/>
        </w:rPr>
        <w:t>eCMI</w:t>
      </w:r>
      <w:proofErr w:type="spellEnd"/>
      <w:r>
        <w:rPr>
          <w:rFonts w:ascii="Century Gothic" w:hAnsi="Century Gothic" w:cstheme="minorHAnsi"/>
          <w:sz w:val="22"/>
          <w:szCs w:val="22"/>
        </w:rPr>
        <w:t xml:space="preserve"> súvisí s postupným lepším vykazovaní</w:t>
      </w:r>
      <w:r w:rsidR="00482C71">
        <w:rPr>
          <w:rFonts w:ascii="Century Gothic" w:hAnsi="Century Gothic" w:cstheme="minorHAnsi"/>
          <w:sz w:val="22"/>
          <w:szCs w:val="22"/>
        </w:rPr>
        <w:t>m</w:t>
      </w:r>
      <w:r>
        <w:rPr>
          <w:rFonts w:ascii="Century Gothic" w:hAnsi="Century Gothic" w:cstheme="minorHAnsi"/>
          <w:sz w:val="22"/>
          <w:szCs w:val="22"/>
        </w:rPr>
        <w:t xml:space="preserve"> pacientov a odlive </w:t>
      </w:r>
      <w:r w:rsidR="00014A5D">
        <w:rPr>
          <w:rFonts w:ascii="Century Gothic" w:hAnsi="Century Gothic" w:cstheme="minorHAnsi"/>
          <w:sz w:val="22"/>
          <w:szCs w:val="22"/>
        </w:rPr>
        <w:t xml:space="preserve">jednoduchších </w:t>
      </w:r>
      <w:r>
        <w:rPr>
          <w:rFonts w:ascii="Century Gothic" w:hAnsi="Century Gothic" w:cstheme="minorHAnsi"/>
          <w:sz w:val="22"/>
          <w:szCs w:val="22"/>
        </w:rPr>
        <w:t>pacientov do systému JZS.</w:t>
      </w:r>
      <w:r w:rsidR="00014A5D">
        <w:rPr>
          <w:rFonts w:ascii="Century Gothic" w:hAnsi="Century Gothic" w:cstheme="minorHAnsi"/>
          <w:sz w:val="22"/>
          <w:szCs w:val="22"/>
        </w:rPr>
        <w:t xml:space="preserve"> Zároveň postupným tlakom prijatej legislatívy ohľadom kategorizácie nemocníc sa bude tento rozdiel v blízkej budúcnosti ďalej </w:t>
      </w:r>
      <w:r w:rsidR="00E65E38">
        <w:rPr>
          <w:rFonts w:ascii="Century Gothic" w:hAnsi="Century Gothic" w:cstheme="minorHAnsi"/>
          <w:sz w:val="22"/>
          <w:szCs w:val="22"/>
        </w:rPr>
        <w:t>zvýrazňovať</w:t>
      </w:r>
      <w:r w:rsidR="002A5925">
        <w:rPr>
          <w:rFonts w:ascii="Century Gothic" w:hAnsi="Century Gothic" w:cstheme="minorHAnsi"/>
          <w:sz w:val="22"/>
          <w:szCs w:val="22"/>
        </w:rPr>
        <w:t>.</w:t>
      </w:r>
    </w:p>
    <w:p w14:paraId="263FF6A5" w14:textId="77777777" w:rsidR="001E15BE" w:rsidRDefault="001E15BE" w:rsidP="00B11276">
      <w:pPr>
        <w:spacing w:line="240" w:lineRule="auto"/>
        <w:rPr>
          <w:rFonts w:ascii="Century Gothic" w:hAnsi="Century Gothic"/>
          <w:i/>
          <w:sz w:val="20"/>
          <w:szCs w:val="20"/>
        </w:rPr>
      </w:pPr>
    </w:p>
    <w:p w14:paraId="2EB0EFAA" w14:textId="01657087" w:rsidR="00B11276" w:rsidRPr="00610835" w:rsidRDefault="0053721C" w:rsidP="0053721C">
      <w:pPr>
        <w:spacing w:line="240" w:lineRule="auto"/>
        <w:rPr>
          <w:rFonts w:ascii="Century Gothic" w:hAnsi="Century Gothic"/>
          <w:i/>
          <w:sz w:val="20"/>
          <w:szCs w:val="20"/>
        </w:rPr>
      </w:pPr>
      <w:bookmarkStart w:id="93" w:name="_Toc145219894"/>
      <w:r w:rsidRPr="0053721C">
        <w:rPr>
          <w:rFonts w:ascii="Century Gothic" w:hAnsi="Century Gothic"/>
          <w:i/>
          <w:sz w:val="20"/>
          <w:szCs w:val="20"/>
        </w:rPr>
        <w:t xml:space="preserve">Graf </w:t>
      </w:r>
      <w:r w:rsidRPr="0053721C">
        <w:rPr>
          <w:rFonts w:ascii="Century Gothic" w:hAnsi="Century Gothic"/>
          <w:i/>
          <w:sz w:val="20"/>
          <w:szCs w:val="20"/>
        </w:rPr>
        <w:fldChar w:fldCharType="begin"/>
      </w:r>
      <w:r w:rsidRPr="0053721C">
        <w:rPr>
          <w:rFonts w:ascii="Century Gothic" w:hAnsi="Century Gothic"/>
          <w:i/>
          <w:sz w:val="20"/>
          <w:szCs w:val="20"/>
        </w:rPr>
        <w:instrText xml:space="preserve"> SEQ Graf \* ARABIC </w:instrText>
      </w:r>
      <w:r w:rsidRPr="0053721C">
        <w:rPr>
          <w:rFonts w:ascii="Century Gothic" w:hAnsi="Century Gothic"/>
          <w:i/>
          <w:sz w:val="20"/>
          <w:szCs w:val="20"/>
        </w:rPr>
        <w:fldChar w:fldCharType="separate"/>
      </w:r>
      <w:r w:rsidR="007D6A44">
        <w:rPr>
          <w:rFonts w:ascii="Century Gothic" w:hAnsi="Century Gothic"/>
          <w:i/>
          <w:noProof/>
          <w:sz w:val="20"/>
          <w:szCs w:val="20"/>
        </w:rPr>
        <w:t>23</w:t>
      </w:r>
      <w:r w:rsidRPr="0053721C">
        <w:rPr>
          <w:rFonts w:ascii="Century Gothic" w:hAnsi="Century Gothic"/>
          <w:i/>
          <w:sz w:val="20"/>
          <w:szCs w:val="20"/>
        </w:rPr>
        <w:fldChar w:fldCharType="end"/>
      </w:r>
      <w:r w:rsidR="00B11276" w:rsidRPr="00B11276">
        <w:rPr>
          <w:rFonts w:ascii="Century Gothic" w:hAnsi="Century Gothic"/>
          <w:i/>
          <w:sz w:val="20"/>
          <w:szCs w:val="20"/>
        </w:rPr>
        <w:t xml:space="preserve"> </w:t>
      </w:r>
      <w:proofErr w:type="spellStart"/>
      <w:r w:rsidR="00B11276" w:rsidRPr="00610835">
        <w:rPr>
          <w:rFonts w:ascii="Century Gothic" w:hAnsi="Century Gothic"/>
          <w:i/>
          <w:sz w:val="20"/>
          <w:szCs w:val="20"/>
        </w:rPr>
        <w:t>eCMI</w:t>
      </w:r>
      <w:proofErr w:type="spellEnd"/>
      <w:r w:rsidR="00B11276" w:rsidRPr="00610835">
        <w:rPr>
          <w:rFonts w:ascii="Century Gothic" w:hAnsi="Century Gothic"/>
          <w:i/>
          <w:sz w:val="20"/>
          <w:szCs w:val="20"/>
        </w:rPr>
        <w:t xml:space="preserve"> za jednotlivé nemocnice </w:t>
      </w:r>
      <w:proofErr w:type="spellStart"/>
      <w:r w:rsidR="00B11276" w:rsidRPr="00610835">
        <w:rPr>
          <w:rFonts w:ascii="Century Gothic" w:hAnsi="Century Gothic"/>
          <w:i/>
          <w:sz w:val="20"/>
          <w:szCs w:val="20"/>
        </w:rPr>
        <w:t>ŽSK+Považská</w:t>
      </w:r>
      <w:proofErr w:type="spellEnd"/>
      <w:r w:rsidR="00B11276" w:rsidRPr="00610835">
        <w:rPr>
          <w:rFonts w:ascii="Century Gothic" w:hAnsi="Century Gothic"/>
          <w:i/>
          <w:sz w:val="20"/>
          <w:szCs w:val="20"/>
        </w:rPr>
        <w:t xml:space="preserve"> Bystrica 2019-2021</w:t>
      </w:r>
      <w:bookmarkEnd w:id="93"/>
    </w:p>
    <w:p w14:paraId="49BD6825" w14:textId="45D27537" w:rsidR="00B50260" w:rsidRDefault="00B50260" w:rsidP="00F41314">
      <w:pPr>
        <w:spacing w:line="240" w:lineRule="auto"/>
        <w:rPr>
          <w:rFonts w:ascii="Century Gothic" w:hAnsi="Century Gothic" w:cstheme="minorHAnsi"/>
          <w:sz w:val="22"/>
          <w:szCs w:val="22"/>
        </w:rPr>
      </w:pPr>
      <w:r>
        <w:rPr>
          <w:noProof/>
        </w:rPr>
        <w:drawing>
          <wp:inline distT="0" distB="0" distL="0" distR="0" wp14:anchorId="35E78B1C" wp14:editId="413216CD">
            <wp:extent cx="5760720" cy="3147060"/>
            <wp:effectExtent l="0" t="0" r="0" b="0"/>
            <wp:docPr id="14" name="Graf 14">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A0DDF00" w14:textId="402206C8" w:rsidR="00F41314" w:rsidRPr="00B620DE" w:rsidRDefault="00F41314" w:rsidP="00F41314">
      <w:pPr>
        <w:spacing w:line="240" w:lineRule="auto"/>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sidR="00B11276">
        <w:rPr>
          <w:rFonts w:ascii="Century Gothic" w:hAnsi="Century Gothic" w:cstheme="minorHAnsi"/>
          <w:i/>
          <w:sz w:val="18"/>
          <w:szCs w:val="18"/>
        </w:rPr>
        <w:t>vlastné spracovanie</w:t>
      </w:r>
    </w:p>
    <w:p w14:paraId="4EF8E35C" w14:textId="51EC2386" w:rsidR="00F41314" w:rsidRDefault="00F41314" w:rsidP="00F41314">
      <w:pPr>
        <w:spacing w:line="240" w:lineRule="auto"/>
        <w:rPr>
          <w:rFonts w:ascii="Century Gothic" w:hAnsi="Century Gothic" w:cstheme="minorHAnsi"/>
          <w:sz w:val="22"/>
          <w:szCs w:val="22"/>
        </w:rPr>
      </w:pPr>
      <w:r>
        <w:rPr>
          <w:rFonts w:ascii="Century Gothic" w:hAnsi="Century Gothic" w:cstheme="minorHAnsi"/>
          <w:sz w:val="22"/>
          <w:szCs w:val="22"/>
        </w:rPr>
        <w:lastRenderedPageBreak/>
        <w:t xml:space="preserve">Oveľa zaujímavejšou, ale aj významne zložitejšou je snaha o analýzu náročnosti prípadov podľa jednotlivých medicínskych odborov. Dáta síce vznikajú ako fúzia všetkých prípadov, avšak „nepatria“ jednotlivým oddeleniam, </w:t>
      </w:r>
      <w:r w:rsidR="005A0DE9">
        <w:rPr>
          <w:rFonts w:ascii="Century Gothic" w:hAnsi="Century Gothic" w:cstheme="minorHAnsi"/>
          <w:sz w:val="22"/>
          <w:szCs w:val="22"/>
        </w:rPr>
        <w:t>nakoľko</w:t>
      </w:r>
      <w:r>
        <w:rPr>
          <w:rFonts w:ascii="Century Gothic" w:hAnsi="Century Gothic" w:cstheme="minorHAnsi"/>
          <w:sz w:val="22"/>
          <w:szCs w:val="22"/>
        </w:rPr>
        <w:t xml:space="preserve"> hospitalizačný prípad sa viaže na konkrétneho pacienta, bez ohľadu na to, na koľkých oddeleniach bol v rámci jedného pobytu v nemocnici hospitalizovaný. Napriek tomu, môžeme získať relatívne plastický obraz tak, že zdrojom údajov bude vždy oddelenie, ktoré pacienta </w:t>
      </w:r>
      <w:r w:rsidR="00AD60F4">
        <w:rPr>
          <w:rFonts w:ascii="Century Gothic" w:hAnsi="Century Gothic" w:cstheme="minorHAnsi"/>
          <w:sz w:val="22"/>
          <w:szCs w:val="22"/>
        </w:rPr>
        <w:t>z</w:t>
      </w:r>
      <w:r>
        <w:rPr>
          <w:rFonts w:ascii="Century Gothic" w:hAnsi="Century Gothic" w:cstheme="minorHAnsi"/>
          <w:sz w:val="22"/>
          <w:szCs w:val="22"/>
        </w:rPr>
        <w:t> nemocnice prepúšťalo s očakávaním, že bolo v jeho liečbe meritórne.</w:t>
      </w:r>
    </w:p>
    <w:p w14:paraId="6B1BBE8B" w14:textId="77777777" w:rsidR="005C3589" w:rsidRDefault="005C3589" w:rsidP="00F41314">
      <w:pPr>
        <w:spacing w:line="240" w:lineRule="auto"/>
        <w:rPr>
          <w:rFonts w:ascii="Century Gothic" w:hAnsi="Century Gothic" w:cstheme="minorHAnsi"/>
          <w:sz w:val="22"/>
          <w:szCs w:val="22"/>
        </w:rPr>
      </w:pPr>
    </w:p>
    <w:p w14:paraId="3021025D" w14:textId="40CE1EFA" w:rsidR="00AD60F4" w:rsidRDefault="00AD60F4" w:rsidP="00F41314">
      <w:pPr>
        <w:spacing w:line="240" w:lineRule="auto"/>
        <w:rPr>
          <w:rFonts w:ascii="Century Gothic" w:hAnsi="Century Gothic" w:cstheme="minorHAnsi"/>
          <w:sz w:val="22"/>
          <w:szCs w:val="22"/>
        </w:rPr>
      </w:pPr>
      <w:r>
        <w:rPr>
          <w:rFonts w:ascii="Century Gothic" w:hAnsi="Century Gothic" w:cstheme="minorHAnsi"/>
          <w:sz w:val="22"/>
          <w:szCs w:val="22"/>
        </w:rPr>
        <w:t xml:space="preserve">Ako sme spomenuli vyššie, tie nemocnice, ktoré majú nejaké doliečovacie oddelenie, dlhodobo chorých, lôžkovú rehabilitáciu môžu mať v akútnych odboroch niečo nižšie CMI, resp. </w:t>
      </w:r>
      <w:proofErr w:type="spellStart"/>
      <w:r>
        <w:rPr>
          <w:rFonts w:ascii="Century Gothic" w:hAnsi="Century Gothic" w:cstheme="minorHAnsi"/>
          <w:sz w:val="22"/>
          <w:szCs w:val="22"/>
        </w:rPr>
        <w:t>eCMI</w:t>
      </w:r>
      <w:proofErr w:type="spellEnd"/>
      <w:r>
        <w:rPr>
          <w:rFonts w:ascii="Century Gothic" w:hAnsi="Century Gothic" w:cstheme="minorHAnsi"/>
          <w:sz w:val="22"/>
          <w:szCs w:val="22"/>
        </w:rPr>
        <w:t>, lebo časť ich pacientov (tých náročnejších zväčša) je prepúšťaná práve z týchto oddelení.</w:t>
      </w:r>
    </w:p>
    <w:p w14:paraId="3E874652" w14:textId="66A18809" w:rsidR="006D051C" w:rsidRDefault="006D051C" w:rsidP="00F41314">
      <w:pPr>
        <w:spacing w:line="240" w:lineRule="auto"/>
        <w:rPr>
          <w:rFonts w:ascii="Century Gothic" w:hAnsi="Century Gothic" w:cstheme="minorHAnsi"/>
          <w:sz w:val="22"/>
          <w:szCs w:val="22"/>
        </w:rPr>
      </w:pPr>
    </w:p>
    <w:p w14:paraId="44BA6386" w14:textId="489D63C6" w:rsidR="00B11276" w:rsidRPr="00B11276" w:rsidRDefault="0053721C" w:rsidP="0053721C">
      <w:pPr>
        <w:spacing w:line="240" w:lineRule="auto"/>
        <w:rPr>
          <w:rFonts w:ascii="Century Gothic" w:hAnsi="Century Gothic"/>
          <w:i/>
          <w:sz w:val="20"/>
          <w:szCs w:val="20"/>
        </w:rPr>
      </w:pPr>
      <w:bookmarkStart w:id="94" w:name="_Toc145219895"/>
      <w:r w:rsidRPr="0053721C">
        <w:rPr>
          <w:rFonts w:ascii="Century Gothic" w:hAnsi="Century Gothic"/>
          <w:i/>
          <w:sz w:val="20"/>
          <w:szCs w:val="20"/>
        </w:rPr>
        <w:t xml:space="preserve">Graf </w:t>
      </w:r>
      <w:r w:rsidRPr="0053721C">
        <w:rPr>
          <w:rFonts w:ascii="Century Gothic" w:hAnsi="Century Gothic"/>
          <w:i/>
          <w:sz w:val="20"/>
          <w:szCs w:val="20"/>
        </w:rPr>
        <w:fldChar w:fldCharType="begin"/>
      </w:r>
      <w:r w:rsidRPr="0053721C">
        <w:rPr>
          <w:rFonts w:ascii="Century Gothic" w:hAnsi="Century Gothic"/>
          <w:i/>
          <w:sz w:val="20"/>
          <w:szCs w:val="20"/>
        </w:rPr>
        <w:instrText xml:space="preserve"> SEQ Graf \* ARABIC </w:instrText>
      </w:r>
      <w:r w:rsidRPr="0053721C">
        <w:rPr>
          <w:rFonts w:ascii="Century Gothic" w:hAnsi="Century Gothic"/>
          <w:i/>
          <w:sz w:val="20"/>
          <w:szCs w:val="20"/>
        </w:rPr>
        <w:fldChar w:fldCharType="separate"/>
      </w:r>
      <w:r w:rsidR="007D6A44">
        <w:rPr>
          <w:rFonts w:ascii="Century Gothic" w:hAnsi="Century Gothic"/>
          <w:i/>
          <w:noProof/>
          <w:sz w:val="20"/>
          <w:szCs w:val="20"/>
        </w:rPr>
        <w:t>24</w:t>
      </w:r>
      <w:r w:rsidRPr="0053721C">
        <w:rPr>
          <w:rFonts w:ascii="Century Gothic" w:hAnsi="Century Gothic"/>
          <w:i/>
          <w:sz w:val="20"/>
          <w:szCs w:val="20"/>
        </w:rPr>
        <w:fldChar w:fldCharType="end"/>
      </w:r>
      <w:r w:rsidR="00B11276" w:rsidRPr="00B11276">
        <w:rPr>
          <w:rFonts w:ascii="Century Gothic" w:hAnsi="Century Gothic"/>
          <w:i/>
          <w:sz w:val="20"/>
          <w:szCs w:val="20"/>
        </w:rPr>
        <w:t xml:space="preserve"> </w:t>
      </w:r>
      <w:proofErr w:type="spellStart"/>
      <w:r w:rsidR="00B11276" w:rsidRPr="00610835">
        <w:rPr>
          <w:rFonts w:ascii="Century Gothic" w:hAnsi="Century Gothic"/>
          <w:i/>
          <w:sz w:val="20"/>
          <w:szCs w:val="20"/>
        </w:rPr>
        <w:t>eCMI</w:t>
      </w:r>
      <w:proofErr w:type="spellEnd"/>
      <w:r w:rsidR="00B11276" w:rsidRPr="00610835">
        <w:rPr>
          <w:rFonts w:ascii="Century Gothic" w:hAnsi="Century Gothic"/>
          <w:i/>
          <w:sz w:val="20"/>
          <w:szCs w:val="20"/>
        </w:rPr>
        <w:t xml:space="preserve"> za jednotlivé nemocnice</w:t>
      </w:r>
      <w:r w:rsidR="00B11276">
        <w:rPr>
          <w:rFonts w:ascii="Century Gothic" w:hAnsi="Century Gothic"/>
          <w:i/>
          <w:sz w:val="20"/>
          <w:szCs w:val="20"/>
        </w:rPr>
        <w:t xml:space="preserve"> v odbore chirurgia</w:t>
      </w:r>
      <w:r w:rsidR="00B11276" w:rsidRPr="00610835">
        <w:rPr>
          <w:rFonts w:ascii="Century Gothic" w:hAnsi="Century Gothic"/>
          <w:i/>
          <w:sz w:val="20"/>
          <w:szCs w:val="20"/>
        </w:rPr>
        <w:t xml:space="preserve"> </w:t>
      </w:r>
      <w:proofErr w:type="spellStart"/>
      <w:r w:rsidR="00B11276" w:rsidRPr="00610835">
        <w:rPr>
          <w:rFonts w:ascii="Century Gothic" w:hAnsi="Century Gothic"/>
          <w:i/>
          <w:sz w:val="20"/>
          <w:szCs w:val="20"/>
        </w:rPr>
        <w:t>ŽSK+Považská</w:t>
      </w:r>
      <w:proofErr w:type="spellEnd"/>
      <w:r w:rsidR="00B11276" w:rsidRPr="00610835">
        <w:rPr>
          <w:rFonts w:ascii="Century Gothic" w:hAnsi="Century Gothic"/>
          <w:i/>
          <w:sz w:val="20"/>
          <w:szCs w:val="20"/>
        </w:rPr>
        <w:t xml:space="preserve"> Bystrica 2019-2021</w:t>
      </w:r>
      <w:bookmarkEnd w:id="94"/>
    </w:p>
    <w:p w14:paraId="4916942B" w14:textId="7FE803FF" w:rsidR="00724522" w:rsidRDefault="00724522" w:rsidP="00B50260">
      <w:pPr>
        <w:spacing w:line="240" w:lineRule="auto"/>
        <w:jc w:val="center"/>
        <w:rPr>
          <w:rFonts w:ascii="Century Gothic" w:hAnsi="Century Gothic" w:cstheme="minorHAnsi"/>
          <w:sz w:val="22"/>
          <w:szCs w:val="22"/>
        </w:rPr>
      </w:pPr>
      <w:r>
        <w:rPr>
          <w:noProof/>
        </w:rPr>
        <w:drawing>
          <wp:inline distT="0" distB="0" distL="0" distR="0" wp14:anchorId="02EE4F91" wp14:editId="63F253F1">
            <wp:extent cx="5760720" cy="3721100"/>
            <wp:effectExtent l="0" t="0" r="0" b="0"/>
            <wp:docPr id="12" name="Graf 12">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9F4D333" w14:textId="60EAECF6" w:rsidR="007B7154" w:rsidRDefault="006D051C" w:rsidP="007B7154">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sidR="00B11276">
        <w:rPr>
          <w:rFonts w:ascii="Century Gothic" w:hAnsi="Century Gothic" w:cstheme="minorHAnsi"/>
          <w:i/>
          <w:sz w:val="18"/>
          <w:szCs w:val="18"/>
        </w:rPr>
        <w:t>vlastné spracovanie</w:t>
      </w:r>
    </w:p>
    <w:p w14:paraId="77D2E127" w14:textId="5321A0FB" w:rsidR="006D051C" w:rsidRDefault="006D051C" w:rsidP="006D051C">
      <w:pPr>
        <w:spacing w:line="240" w:lineRule="auto"/>
        <w:rPr>
          <w:rFonts w:ascii="Century Gothic" w:hAnsi="Century Gothic"/>
          <w:i/>
          <w:sz w:val="20"/>
          <w:szCs w:val="20"/>
        </w:rPr>
      </w:pPr>
    </w:p>
    <w:p w14:paraId="19B97D53" w14:textId="77777777" w:rsidR="00724522" w:rsidRDefault="00724522" w:rsidP="0053721C">
      <w:pPr>
        <w:spacing w:line="240" w:lineRule="auto"/>
        <w:rPr>
          <w:rFonts w:ascii="Century Gothic" w:hAnsi="Century Gothic"/>
          <w:i/>
          <w:sz w:val="20"/>
          <w:szCs w:val="20"/>
        </w:rPr>
      </w:pPr>
    </w:p>
    <w:p w14:paraId="60023C00" w14:textId="77777777" w:rsidR="00724522" w:rsidRDefault="00724522" w:rsidP="0053721C">
      <w:pPr>
        <w:spacing w:line="240" w:lineRule="auto"/>
        <w:rPr>
          <w:rFonts w:ascii="Century Gothic" w:hAnsi="Century Gothic"/>
          <w:i/>
          <w:sz w:val="20"/>
          <w:szCs w:val="20"/>
        </w:rPr>
      </w:pPr>
    </w:p>
    <w:p w14:paraId="753D3EE0" w14:textId="77777777" w:rsidR="00724522" w:rsidRDefault="00724522" w:rsidP="0053721C">
      <w:pPr>
        <w:spacing w:line="240" w:lineRule="auto"/>
        <w:rPr>
          <w:rFonts w:ascii="Century Gothic" w:hAnsi="Century Gothic"/>
          <w:i/>
          <w:sz w:val="20"/>
          <w:szCs w:val="20"/>
        </w:rPr>
      </w:pPr>
    </w:p>
    <w:p w14:paraId="36972F1C" w14:textId="77777777" w:rsidR="00724522" w:rsidRDefault="00724522" w:rsidP="0053721C">
      <w:pPr>
        <w:spacing w:line="240" w:lineRule="auto"/>
        <w:rPr>
          <w:rFonts w:ascii="Century Gothic" w:hAnsi="Century Gothic"/>
          <w:i/>
          <w:sz w:val="20"/>
          <w:szCs w:val="20"/>
        </w:rPr>
      </w:pPr>
    </w:p>
    <w:p w14:paraId="192E94AC" w14:textId="77777777" w:rsidR="00724522" w:rsidRDefault="00724522" w:rsidP="0053721C">
      <w:pPr>
        <w:spacing w:line="240" w:lineRule="auto"/>
        <w:rPr>
          <w:rFonts w:ascii="Century Gothic" w:hAnsi="Century Gothic"/>
          <w:i/>
          <w:sz w:val="20"/>
          <w:szCs w:val="20"/>
        </w:rPr>
      </w:pPr>
    </w:p>
    <w:p w14:paraId="0B2A2C4C" w14:textId="78E64954" w:rsidR="00724522" w:rsidRDefault="00724522" w:rsidP="0053721C">
      <w:pPr>
        <w:spacing w:line="240" w:lineRule="auto"/>
        <w:rPr>
          <w:rFonts w:ascii="Century Gothic" w:hAnsi="Century Gothic"/>
          <w:i/>
          <w:sz w:val="20"/>
          <w:szCs w:val="20"/>
        </w:rPr>
      </w:pPr>
    </w:p>
    <w:p w14:paraId="35981B1F" w14:textId="0730A98A" w:rsidR="00554317" w:rsidRDefault="00554317" w:rsidP="0053721C">
      <w:pPr>
        <w:spacing w:line="240" w:lineRule="auto"/>
        <w:rPr>
          <w:rFonts w:ascii="Century Gothic" w:hAnsi="Century Gothic"/>
          <w:i/>
          <w:sz w:val="20"/>
          <w:szCs w:val="20"/>
        </w:rPr>
      </w:pPr>
    </w:p>
    <w:p w14:paraId="70E4C3C2" w14:textId="22D4D0C6" w:rsidR="00554317" w:rsidRDefault="00554317" w:rsidP="0053721C">
      <w:pPr>
        <w:spacing w:line="240" w:lineRule="auto"/>
        <w:rPr>
          <w:rFonts w:ascii="Century Gothic" w:hAnsi="Century Gothic"/>
          <w:i/>
          <w:sz w:val="20"/>
          <w:szCs w:val="20"/>
        </w:rPr>
      </w:pPr>
    </w:p>
    <w:p w14:paraId="5959FA45" w14:textId="7B90744C" w:rsidR="00554317" w:rsidRDefault="00554317" w:rsidP="0053721C">
      <w:pPr>
        <w:spacing w:line="240" w:lineRule="auto"/>
        <w:rPr>
          <w:rFonts w:ascii="Century Gothic" w:hAnsi="Century Gothic"/>
          <w:i/>
          <w:sz w:val="20"/>
          <w:szCs w:val="20"/>
        </w:rPr>
      </w:pPr>
    </w:p>
    <w:p w14:paraId="6FCA7381" w14:textId="18E8CC2B" w:rsidR="00554317" w:rsidRDefault="00554317" w:rsidP="0053721C">
      <w:pPr>
        <w:spacing w:line="240" w:lineRule="auto"/>
        <w:rPr>
          <w:rFonts w:ascii="Century Gothic" w:hAnsi="Century Gothic"/>
          <w:i/>
          <w:sz w:val="20"/>
          <w:szCs w:val="20"/>
        </w:rPr>
      </w:pPr>
    </w:p>
    <w:p w14:paraId="35ED3DCD" w14:textId="5BEC165D" w:rsidR="00554317" w:rsidRDefault="00554317" w:rsidP="0053721C">
      <w:pPr>
        <w:spacing w:line="240" w:lineRule="auto"/>
        <w:rPr>
          <w:rFonts w:ascii="Century Gothic" w:hAnsi="Century Gothic"/>
          <w:i/>
          <w:sz w:val="20"/>
          <w:szCs w:val="20"/>
        </w:rPr>
      </w:pPr>
    </w:p>
    <w:p w14:paraId="0B22C2D5" w14:textId="0496C891" w:rsidR="00554317" w:rsidRDefault="00554317" w:rsidP="0053721C">
      <w:pPr>
        <w:spacing w:line="240" w:lineRule="auto"/>
        <w:rPr>
          <w:rFonts w:ascii="Century Gothic" w:hAnsi="Century Gothic"/>
          <w:i/>
          <w:sz w:val="20"/>
          <w:szCs w:val="20"/>
        </w:rPr>
      </w:pPr>
    </w:p>
    <w:p w14:paraId="279907EB" w14:textId="328F2FE1" w:rsidR="00554317" w:rsidRDefault="00554317" w:rsidP="0053721C">
      <w:pPr>
        <w:spacing w:line="240" w:lineRule="auto"/>
        <w:rPr>
          <w:rFonts w:ascii="Century Gothic" w:hAnsi="Century Gothic"/>
          <w:i/>
          <w:sz w:val="20"/>
          <w:szCs w:val="20"/>
        </w:rPr>
      </w:pPr>
    </w:p>
    <w:p w14:paraId="3A2C99DD" w14:textId="012226DA" w:rsidR="00554317" w:rsidRDefault="00554317" w:rsidP="0053721C">
      <w:pPr>
        <w:spacing w:line="240" w:lineRule="auto"/>
        <w:rPr>
          <w:rFonts w:ascii="Century Gothic" w:hAnsi="Century Gothic"/>
          <w:i/>
          <w:sz w:val="20"/>
          <w:szCs w:val="20"/>
        </w:rPr>
      </w:pPr>
    </w:p>
    <w:p w14:paraId="16393764" w14:textId="7C305A6D" w:rsidR="00554317" w:rsidRDefault="00554317" w:rsidP="0053721C">
      <w:pPr>
        <w:spacing w:line="240" w:lineRule="auto"/>
        <w:rPr>
          <w:rFonts w:ascii="Century Gothic" w:hAnsi="Century Gothic"/>
          <w:i/>
          <w:sz w:val="20"/>
          <w:szCs w:val="20"/>
        </w:rPr>
      </w:pPr>
    </w:p>
    <w:p w14:paraId="2E6081B8" w14:textId="6B7E7FA3" w:rsidR="00B11276" w:rsidRPr="006D051C" w:rsidRDefault="0053721C" w:rsidP="0053721C">
      <w:pPr>
        <w:spacing w:line="240" w:lineRule="auto"/>
        <w:rPr>
          <w:rFonts w:ascii="Century Gothic" w:hAnsi="Century Gothic"/>
          <w:i/>
          <w:sz w:val="20"/>
          <w:szCs w:val="20"/>
        </w:rPr>
      </w:pPr>
      <w:bookmarkStart w:id="95" w:name="_Toc145219896"/>
      <w:r w:rsidRPr="0053721C">
        <w:rPr>
          <w:rFonts w:ascii="Century Gothic" w:hAnsi="Century Gothic"/>
          <w:i/>
          <w:sz w:val="20"/>
          <w:szCs w:val="20"/>
        </w:rPr>
        <w:lastRenderedPageBreak/>
        <w:t xml:space="preserve">Graf </w:t>
      </w:r>
      <w:r w:rsidRPr="0053721C">
        <w:rPr>
          <w:rFonts w:ascii="Century Gothic" w:hAnsi="Century Gothic"/>
          <w:i/>
          <w:sz w:val="20"/>
          <w:szCs w:val="20"/>
        </w:rPr>
        <w:fldChar w:fldCharType="begin"/>
      </w:r>
      <w:r w:rsidRPr="0053721C">
        <w:rPr>
          <w:rFonts w:ascii="Century Gothic" w:hAnsi="Century Gothic"/>
          <w:i/>
          <w:sz w:val="20"/>
          <w:szCs w:val="20"/>
        </w:rPr>
        <w:instrText xml:space="preserve"> SEQ Graf \* ARABIC </w:instrText>
      </w:r>
      <w:r w:rsidRPr="0053721C">
        <w:rPr>
          <w:rFonts w:ascii="Century Gothic" w:hAnsi="Century Gothic"/>
          <w:i/>
          <w:sz w:val="20"/>
          <w:szCs w:val="20"/>
        </w:rPr>
        <w:fldChar w:fldCharType="separate"/>
      </w:r>
      <w:r w:rsidR="007D6A44">
        <w:rPr>
          <w:rFonts w:ascii="Century Gothic" w:hAnsi="Century Gothic"/>
          <w:i/>
          <w:noProof/>
          <w:sz w:val="20"/>
          <w:szCs w:val="20"/>
        </w:rPr>
        <w:t>25</w:t>
      </w:r>
      <w:r w:rsidRPr="0053721C">
        <w:rPr>
          <w:rFonts w:ascii="Century Gothic" w:hAnsi="Century Gothic"/>
          <w:i/>
          <w:sz w:val="20"/>
          <w:szCs w:val="20"/>
        </w:rPr>
        <w:fldChar w:fldCharType="end"/>
      </w:r>
      <w:r w:rsidR="00B11276" w:rsidRPr="00B11276">
        <w:rPr>
          <w:rFonts w:ascii="Century Gothic" w:hAnsi="Century Gothic"/>
          <w:i/>
          <w:sz w:val="20"/>
          <w:szCs w:val="20"/>
        </w:rPr>
        <w:t xml:space="preserve"> </w:t>
      </w:r>
      <w:proofErr w:type="spellStart"/>
      <w:r w:rsidR="00B11276" w:rsidRPr="00610835">
        <w:rPr>
          <w:rFonts w:ascii="Century Gothic" w:hAnsi="Century Gothic"/>
          <w:i/>
          <w:sz w:val="20"/>
          <w:szCs w:val="20"/>
        </w:rPr>
        <w:t>eCMI</w:t>
      </w:r>
      <w:proofErr w:type="spellEnd"/>
      <w:r w:rsidR="00B11276" w:rsidRPr="00610835">
        <w:rPr>
          <w:rFonts w:ascii="Century Gothic" w:hAnsi="Century Gothic"/>
          <w:i/>
          <w:sz w:val="20"/>
          <w:szCs w:val="20"/>
        </w:rPr>
        <w:t xml:space="preserve"> za jednotlivé nemocnice</w:t>
      </w:r>
      <w:r w:rsidR="00B11276">
        <w:rPr>
          <w:rFonts w:ascii="Century Gothic" w:hAnsi="Century Gothic"/>
          <w:i/>
          <w:sz w:val="20"/>
          <w:szCs w:val="20"/>
        </w:rPr>
        <w:t xml:space="preserve"> v odbore úrazová chirurgia ŽSK</w:t>
      </w:r>
      <w:r w:rsidR="00B11276" w:rsidRPr="00610835">
        <w:rPr>
          <w:rFonts w:ascii="Century Gothic" w:hAnsi="Century Gothic"/>
          <w:i/>
          <w:sz w:val="20"/>
          <w:szCs w:val="20"/>
        </w:rPr>
        <w:t xml:space="preserve"> 2019-2021</w:t>
      </w:r>
      <w:bookmarkEnd w:id="95"/>
    </w:p>
    <w:p w14:paraId="76E6C828" w14:textId="689A22AF" w:rsidR="004344B9" w:rsidRDefault="004344B9" w:rsidP="004344B9">
      <w:pPr>
        <w:jc w:val="center"/>
        <w:rPr>
          <w:rFonts w:ascii="Century Gothic" w:hAnsi="Century Gothic" w:cstheme="minorHAnsi"/>
          <w:i/>
          <w:sz w:val="18"/>
          <w:szCs w:val="18"/>
        </w:rPr>
      </w:pPr>
      <w:r>
        <w:rPr>
          <w:noProof/>
        </w:rPr>
        <w:drawing>
          <wp:inline distT="0" distB="0" distL="0" distR="0" wp14:anchorId="7C31847D" wp14:editId="2C93BD03">
            <wp:extent cx="5771408" cy="2743200"/>
            <wp:effectExtent l="0" t="0" r="1270" b="0"/>
            <wp:docPr id="10" name="Graf 10">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D00C53E" w14:textId="7122C671" w:rsidR="006D051C" w:rsidRDefault="006D051C" w:rsidP="006D051C">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sidR="00B11276">
        <w:rPr>
          <w:rFonts w:ascii="Century Gothic" w:hAnsi="Century Gothic" w:cstheme="minorHAnsi"/>
          <w:i/>
          <w:sz w:val="18"/>
          <w:szCs w:val="18"/>
        </w:rPr>
        <w:t>vlastné spracovanie</w:t>
      </w:r>
    </w:p>
    <w:p w14:paraId="69838E07" w14:textId="1E21AEB8" w:rsidR="006D051C" w:rsidRDefault="006D051C" w:rsidP="006D051C">
      <w:pPr>
        <w:rPr>
          <w:rFonts w:ascii="Century Gothic" w:hAnsi="Century Gothic" w:cstheme="minorHAnsi"/>
          <w:i/>
          <w:sz w:val="18"/>
          <w:szCs w:val="18"/>
        </w:rPr>
      </w:pPr>
    </w:p>
    <w:p w14:paraId="14B92903" w14:textId="78BAC0B3" w:rsidR="00B11276" w:rsidRPr="006D051C" w:rsidRDefault="0053721C" w:rsidP="0053721C">
      <w:pPr>
        <w:spacing w:line="240" w:lineRule="auto"/>
        <w:rPr>
          <w:rFonts w:ascii="Century Gothic" w:hAnsi="Century Gothic"/>
          <w:i/>
          <w:sz w:val="20"/>
          <w:szCs w:val="20"/>
        </w:rPr>
      </w:pPr>
      <w:bookmarkStart w:id="96" w:name="_Toc145219897"/>
      <w:r w:rsidRPr="0053721C">
        <w:rPr>
          <w:rFonts w:ascii="Century Gothic" w:hAnsi="Century Gothic"/>
          <w:i/>
          <w:sz w:val="20"/>
          <w:szCs w:val="20"/>
        </w:rPr>
        <w:t xml:space="preserve">Graf </w:t>
      </w:r>
      <w:r w:rsidRPr="0053721C">
        <w:rPr>
          <w:rFonts w:ascii="Century Gothic" w:hAnsi="Century Gothic"/>
          <w:i/>
          <w:sz w:val="20"/>
          <w:szCs w:val="20"/>
        </w:rPr>
        <w:fldChar w:fldCharType="begin"/>
      </w:r>
      <w:r w:rsidRPr="0053721C">
        <w:rPr>
          <w:rFonts w:ascii="Century Gothic" w:hAnsi="Century Gothic"/>
          <w:i/>
          <w:sz w:val="20"/>
          <w:szCs w:val="20"/>
        </w:rPr>
        <w:instrText xml:space="preserve"> SEQ Graf \* ARABIC </w:instrText>
      </w:r>
      <w:r w:rsidRPr="0053721C">
        <w:rPr>
          <w:rFonts w:ascii="Century Gothic" w:hAnsi="Century Gothic"/>
          <w:i/>
          <w:sz w:val="20"/>
          <w:szCs w:val="20"/>
        </w:rPr>
        <w:fldChar w:fldCharType="separate"/>
      </w:r>
      <w:r w:rsidR="007D6A44">
        <w:rPr>
          <w:rFonts w:ascii="Century Gothic" w:hAnsi="Century Gothic"/>
          <w:i/>
          <w:noProof/>
          <w:sz w:val="20"/>
          <w:szCs w:val="20"/>
        </w:rPr>
        <w:t>26</w:t>
      </w:r>
      <w:r w:rsidRPr="0053721C">
        <w:rPr>
          <w:rFonts w:ascii="Century Gothic" w:hAnsi="Century Gothic"/>
          <w:i/>
          <w:sz w:val="20"/>
          <w:szCs w:val="20"/>
        </w:rPr>
        <w:fldChar w:fldCharType="end"/>
      </w:r>
      <w:r w:rsidR="00B11276" w:rsidRPr="00B11276">
        <w:rPr>
          <w:rFonts w:ascii="Century Gothic" w:hAnsi="Century Gothic"/>
          <w:i/>
          <w:sz w:val="20"/>
          <w:szCs w:val="20"/>
        </w:rPr>
        <w:t xml:space="preserve"> </w:t>
      </w:r>
      <w:proofErr w:type="spellStart"/>
      <w:r w:rsidR="00B11276" w:rsidRPr="00610835">
        <w:rPr>
          <w:rFonts w:ascii="Century Gothic" w:hAnsi="Century Gothic"/>
          <w:i/>
          <w:sz w:val="20"/>
          <w:szCs w:val="20"/>
        </w:rPr>
        <w:t>eCMI</w:t>
      </w:r>
      <w:proofErr w:type="spellEnd"/>
      <w:r w:rsidR="00B11276" w:rsidRPr="00610835">
        <w:rPr>
          <w:rFonts w:ascii="Century Gothic" w:hAnsi="Century Gothic"/>
          <w:i/>
          <w:sz w:val="20"/>
          <w:szCs w:val="20"/>
        </w:rPr>
        <w:t xml:space="preserve"> za jednotlivé nemocnice</w:t>
      </w:r>
      <w:r w:rsidR="00B11276">
        <w:rPr>
          <w:rFonts w:ascii="Century Gothic" w:hAnsi="Century Gothic"/>
          <w:i/>
          <w:sz w:val="20"/>
          <w:szCs w:val="20"/>
        </w:rPr>
        <w:t xml:space="preserve"> v odbore gynekológia a pôrodníctvo</w:t>
      </w:r>
      <w:r w:rsidR="00B11276" w:rsidRPr="00610835">
        <w:rPr>
          <w:rFonts w:ascii="Century Gothic" w:hAnsi="Century Gothic"/>
          <w:i/>
          <w:sz w:val="20"/>
          <w:szCs w:val="20"/>
        </w:rPr>
        <w:t xml:space="preserve"> </w:t>
      </w:r>
      <w:proofErr w:type="spellStart"/>
      <w:r w:rsidR="00B11276" w:rsidRPr="00610835">
        <w:rPr>
          <w:rFonts w:ascii="Century Gothic" w:hAnsi="Century Gothic"/>
          <w:i/>
          <w:sz w:val="20"/>
          <w:szCs w:val="20"/>
        </w:rPr>
        <w:t>ŽSK+Považská</w:t>
      </w:r>
      <w:proofErr w:type="spellEnd"/>
      <w:r w:rsidR="00B11276" w:rsidRPr="00610835">
        <w:rPr>
          <w:rFonts w:ascii="Century Gothic" w:hAnsi="Century Gothic"/>
          <w:i/>
          <w:sz w:val="20"/>
          <w:szCs w:val="20"/>
        </w:rPr>
        <w:t xml:space="preserve"> Bystrica 2019-2021</w:t>
      </w:r>
      <w:bookmarkEnd w:id="96"/>
    </w:p>
    <w:p w14:paraId="6CAB47E5" w14:textId="7CE99ECD" w:rsidR="006D051C" w:rsidRDefault="006D051C" w:rsidP="00B50260">
      <w:pPr>
        <w:jc w:val="center"/>
        <w:rPr>
          <w:rFonts w:ascii="Century Gothic" w:hAnsi="Century Gothic" w:cstheme="minorHAnsi"/>
          <w:i/>
          <w:sz w:val="18"/>
          <w:szCs w:val="18"/>
        </w:rPr>
      </w:pPr>
      <w:r>
        <w:rPr>
          <w:noProof/>
        </w:rPr>
        <w:drawing>
          <wp:inline distT="0" distB="0" distL="0" distR="0" wp14:anchorId="297E21E6" wp14:editId="10D9DB3E">
            <wp:extent cx="5760720" cy="3582670"/>
            <wp:effectExtent l="0" t="0" r="0" b="0"/>
            <wp:docPr id="44" name="Graf 44">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625C7C9" w14:textId="6C407A25" w:rsidR="00014A5D" w:rsidRDefault="00014A5D" w:rsidP="00014A5D">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sidR="00B11276">
        <w:rPr>
          <w:rFonts w:ascii="Century Gothic" w:hAnsi="Century Gothic" w:cstheme="minorHAnsi"/>
          <w:i/>
          <w:sz w:val="18"/>
          <w:szCs w:val="18"/>
        </w:rPr>
        <w:t>vlastné spracovanie</w:t>
      </w:r>
    </w:p>
    <w:p w14:paraId="641614DF" w14:textId="3D2956C0" w:rsidR="006D051C" w:rsidRDefault="006D051C" w:rsidP="007B7154">
      <w:pPr>
        <w:rPr>
          <w:lang w:eastAsia="cs-CZ"/>
        </w:rPr>
      </w:pPr>
    </w:p>
    <w:p w14:paraId="399D964B" w14:textId="3DFD62B5" w:rsidR="00B11276" w:rsidRPr="0053721C" w:rsidRDefault="0053721C" w:rsidP="0053721C">
      <w:pPr>
        <w:pStyle w:val="Popis"/>
        <w:spacing w:before="0" w:after="0" w:line="240" w:lineRule="auto"/>
        <w:rPr>
          <w:rFonts w:ascii="Century Gothic" w:hAnsi="Century Gothic"/>
          <w:b w:val="0"/>
          <w:bCs w:val="0"/>
          <w:i/>
          <w:lang w:eastAsia="sk-SK"/>
        </w:rPr>
      </w:pPr>
      <w:bookmarkStart w:id="97" w:name="_Toc145219898"/>
      <w:r w:rsidRPr="0053721C">
        <w:rPr>
          <w:rFonts w:ascii="Century Gothic" w:hAnsi="Century Gothic"/>
          <w:b w:val="0"/>
          <w:bCs w:val="0"/>
          <w:i/>
          <w:lang w:eastAsia="sk-SK"/>
        </w:rPr>
        <w:t xml:space="preserve">Graf </w:t>
      </w:r>
      <w:r w:rsidRPr="0053721C">
        <w:rPr>
          <w:rFonts w:ascii="Century Gothic" w:hAnsi="Century Gothic"/>
          <w:b w:val="0"/>
          <w:bCs w:val="0"/>
          <w:i/>
          <w:lang w:eastAsia="sk-SK"/>
        </w:rPr>
        <w:fldChar w:fldCharType="begin"/>
      </w:r>
      <w:r w:rsidRPr="0053721C">
        <w:rPr>
          <w:rFonts w:ascii="Century Gothic" w:hAnsi="Century Gothic"/>
          <w:b w:val="0"/>
          <w:bCs w:val="0"/>
          <w:i/>
          <w:lang w:eastAsia="sk-SK"/>
        </w:rPr>
        <w:instrText xml:space="preserve"> SEQ Graf \* ARABIC </w:instrText>
      </w:r>
      <w:r w:rsidRPr="0053721C">
        <w:rPr>
          <w:rFonts w:ascii="Century Gothic" w:hAnsi="Century Gothic"/>
          <w:b w:val="0"/>
          <w:bCs w:val="0"/>
          <w:i/>
          <w:lang w:eastAsia="sk-SK"/>
        </w:rPr>
        <w:fldChar w:fldCharType="separate"/>
      </w:r>
      <w:r w:rsidR="007D6A44">
        <w:rPr>
          <w:rFonts w:ascii="Century Gothic" w:hAnsi="Century Gothic"/>
          <w:b w:val="0"/>
          <w:bCs w:val="0"/>
          <w:i/>
          <w:noProof/>
          <w:lang w:eastAsia="sk-SK"/>
        </w:rPr>
        <w:t>27</w:t>
      </w:r>
      <w:r w:rsidRPr="0053721C">
        <w:rPr>
          <w:rFonts w:ascii="Century Gothic" w:hAnsi="Century Gothic"/>
          <w:b w:val="0"/>
          <w:bCs w:val="0"/>
          <w:i/>
          <w:lang w:eastAsia="sk-SK"/>
        </w:rPr>
        <w:fldChar w:fldCharType="end"/>
      </w:r>
      <w:r w:rsidR="00B11276" w:rsidRPr="0053721C">
        <w:rPr>
          <w:rFonts w:ascii="Century Gothic" w:hAnsi="Century Gothic"/>
          <w:b w:val="0"/>
          <w:bCs w:val="0"/>
          <w:i/>
          <w:lang w:eastAsia="sk-SK"/>
        </w:rPr>
        <w:t xml:space="preserve"> </w:t>
      </w:r>
      <w:proofErr w:type="spellStart"/>
      <w:r w:rsidR="00B11276" w:rsidRPr="0053721C">
        <w:rPr>
          <w:rFonts w:ascii="Century Gothic" w:hAnsi="Century Gothic"/>
          <w:b w:val="0"/>
          <w:bCs w:val="0"/>
          <w:i/>
          <w:lang w:eastAsia="sk-SK"/>
        </w:rPr>
        <w:t>eCMI</w:t>
      </w:r>
      <w:proofErr w:type="spellEnd"/>
      <w:r w:rsidR="00B11276" w:rsidRPr="0053721C">
        <w:rPr>
          <w:rFonts w:ascii="Century Gothic" w:hAnsi="Century Gothic"/>
          <w:b w:val="0"/>
          <w:bCs w:val="0"/>
          <w:i/>
          <w:lang w:eastAsia="sk-SK"/>
        </w:rPr>
        <w:t xml:space="preserve"> za jednotlivé nemocnice v odbore vnútorné </w:t>
      </w:r>
      <w:proofErr w:type="spellStart"/>
      <w:r w:rsidR="00B11276" w:rsidRPr="0053721C">
        <w:rPr>
          <w:rFonts w:ascii="Century Gothic" w:hAnsi="Century Gothic"/>
          <w:b w:val="0"/>
          <w:bCs w:val="0"/>
          <w:i/>
          <w:lang w:eastAsia="sk-SK"/>
        </w:rPr>
        <w:t>lekárstvoo</w:t>
      </w:r>
      <w:proofErr w:type="spellEnd"/>
      <w:r w:rsidR="00B11276" w:rsidRPr="0053721C">
        <w:rPr>
          <w:rFonts w:ascii="Century Gothic" w:hAnsi="Century Gothic"/>
          <w:b w:val="0"/>
          <w:bCs w:val="0"/>
          <w:i/>
          <w:lang w:eastAsia="sk-SK"/>
        </w:rPr>
        <w:t xml:space="preserve"> </w:t>
      </w:r>
      <w:proofErr w:type="spellStart"/>
      <w:r w:rsidR="00B11276" w:rsidRPr="0053721C">
        <w:rPr>
          <w:rFonts w:ascii="Century Gothic" w:hAnsi="Century Gothic"/>
          <w:b w:val="0"/>
          <w:bCs w:val="0"/>
          <w:i/>
          <w:lang w:eastAsia="sk-SK"/>
        </w:rPr>
        <w:t>ŽSK+Považská</w:t>
      </w:r>
      <w:proofErr w:type="spellEnd"/>
      <w:r w:rsidR="00B11276" w:rsidRPr="0053721C">
        <w:rPr>
          <w:rFonts w:ascii="Century Gothic" w:hAnsi="Century Gothic"/>
          <w:b w:val="0"/>
          <w:bCs w:val="0"/>
          <w:i/>
          <w:lang w:eastAsia="sk-SK"/>
        </w:rPr>
        <w:t xml:space="preserve"> Bystrica 2019-2021</w:t>
      </w:r>
      <w:bookmarkEnd w:id="97"/>
    </w:p>
    <w:p w14:paraId="3CA6C6A8" w14:textId="50133A34" w:rsidR="00014A5D" w:rsidRDefault="00562055" w:rsidP="00B50260">
      <w:pPr>
        <w:jc w:val="center"/>
        <w:rPr>
          <w:lang w:eastAsia="cs-CZ"/>
        </w:rPr>
      </w:pPr>
      <w:r>
        <w:rPr>
          <w:noProof/>
        </w:rPr>
        <w:lastRenderedPageBreak/>
        <w:drawing>
          <wp:inline distT="0" distB="0" distL="0" distR="0" wp14:anchorId="33C5F713" wp14:editId="783B19C8">
            <wp:extent cx="5597484" cy="3286125"/>
            <wp:effectExtent l="0" t="0" r="3810" b="0"/>
            <wp:docPr id="46" name="Graf 46">
              <a:extLst xmlns:a="http://schemas.openxmlformats.org/drawingml/2006/main">
                <a:ext uri="{FF2B5EF4-FFF2-40B4-BE49-F238E27FC236}">
                  <a16:creationId xmlns:a16="http://schemas.microsoft.com/office/drawing/2014/main" id="{B29CE6F1-C92E-756D-A638-005B528804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AF616FE" w14:textId="6BDAA0F0" w:rsidR="00B11276" w:rsidRDefault="00B11276" w:rsidP="00B11276">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Pr>
          <w:rFonts w:ascii="Century Gothic" w:hAnsi="Century Gothic" w:cstheme="minorHAnsi"/>
          <w:i/>
          <w:sz w:val="18"/>
          <w:szCs w:val="18"/>
        </w:rPr>
        <w:t>vlastné spracovanie</w:t>
      </w:r>
    </w:p>
    <w:p w14:paraId="5E66D87F" w14:textId="2A666823" w:rsidR="006D051C" w:rsidRDefault="006D051C" w:rsidP="007B7154">
      <w:pPr>
        <w:rPr>
          <w:lang w:eastAsia="cs-CZ"/>
        </w:rPr>
      </w:pPr>
    </w:p>
    <w:p w14:paraId="316A3E5F" w14:textId="77777777" w:rsidR="0053721C" w:rsidRDefault="0053721C" w:rsidP="0053721C">
      <w:pPr>
        <w:pStyle w:val="Popis"/>
        <w:spacing w:before="0" w:after="0" w:line="240" w:lineRule="auto"/>
        <w:rPr>
          <w:rFonts w:ascii="Century Gothic" w:hAnsi="Century Gothic"/>
          <w:b w:val="0"/>
          <w:bCs w:val="0"/>
          <w:i/>
          <w:lang w:eastAsia="sk-SK"/>
        </w:rPr>
      </w:pPr>
    </w:p>
    <w:p w14:paraId="1493C4D7" w14:textId="38B5B8DF" w:rsidR="00B11276" w:rsidRPr="0053721C" w:rsidRDefault="0053721C" w:rsidP="0053721C">
      <w:pPr>
        <w:pStyle w:val="Popis"/>
        <w:spacing w:before="0" w:after="0" w:line="240" w:lineRule="auto"/>
        <w:rPr>
          <w:rFonts w:ascii="Century Gothic" w:hAnsi="Century Gothic"/>
          <w:b w:val="0"/>
          <w:bCs w:val="0"/>
          <w:i/>
          <w:lang w:eastAsia="sk-SK"/>
        </w:rPr>
      </w:pPr>
      <w:bookmarkStart w:id="98" w:name="_Toc145219899"/>
      <w:r w:rsidRPr="0053721C">
        <w:rPr>
          <w:rFonts w:ascii="Century Gothic" w:hAnsi="Century Gothic"/>
          <w:b w:val="0"/>
          <w:bCs w:val="0"/>
          <w:i/>
          <w:lang w:eastAsia="sk-SK"/>
        </w:rPr>
        <w:t xml:space="preserve">Graf </w:t>
      </w:r>
      <w:r w:rsidRPr="0053721C">
        <w:rPr>
          <w:rFonts w:ascii="Century Gothic" w:hAnsi="Century Gothic"/>
          <w:b w:val="0"/>
          <w:bCs w:val="0"/>
          <w:i/>
          <w:lang w:eastAsia="sk-SK"/>
        </w:rPr>
        <w:fldChar w:fldCharType="begin"/>
      </w:r>
      <w:r w:rsidRPr="0053721C">
        <w:rPr>
          <w:rFonts w:ascii="Century Gothic" w:hAnsi="Century Gothic"/>
          <w:b w:val="0"/>
          <w:bCs w:val="0"/>
          <w:i/>
          <w:lang w:eastAsia="sk-SK"/>
        </w:rPr>
        <w:instrText xml:space="preserve"> SEQ Graf \* ARABIC </w:instrText>
      </w:r>
      <w:r w:rsidRPr="0053721C">
        <w:rPr>
          <w:rFonts w:ascii="Century Gothic" w:hAnsi="Century Gothic"/>
          <w:b w:val="0"/>
          <w:bCs w:val="0"/>
          <w:i/>
          <w:lang w:eastAsia="sk-SK"/>
        </w:rPr>
        <w:fldChar w:fldCharType="separate"/>
      </w:r>
      <w:r w:rsidR="007D6A44">
        <w:rPr>
          <w:rFonts w:ascii="Century Gothic" w:hAnsi="Century Gothic"/>
          <w:b w:val="0"/>
          <w:bCs w:val="0"/>
          <w:i/>
          <w:noProof/>
          <w:lang w:eastAsia="sk-SK"/>
        </w:rPr>
        <w:t>28</w:t>
      </w:r>
      <w:r w:rsidRPr="0053721C">
        <w:rPr>
          <w:rFonts w:ascii="Century Gothic" w:hAnsi="Century Gothic"/>
          <w:b w:val="0"/>
          <w:bCs w:val="0"/>
          <w:i/>
          <w:lang w:eastAsia="sk-SK"/>
        </w:rPr>
        <w:fldChar w:fldCharType="end"/>
      </w:r>
      <w:r w:rsidR="00B11276" w:rsidRPr="0053721C">
        <w:rPr>
          <w:rFonts w:ascii="Century Gothic" w:hAnsi="Century Gothic"/>
          <w:b w:val="0"/>
          <w:bCs w:val="0"/>
          <w:i/>
          <w:lang w:eastAsia="sk-SK"/>
        </w:rPr>
        <w:t xml:space="preserve"> </w:t>
      </w:r>
      <w:proofErr w:type="spellStart"/>
      <w:r w:rsidR="00B11276" w:rsidRPr="0053721C">
        <w:rPr>
          <w:rFonts w:ascii="Century Gothic" w:hAnsi="Century Gothic"/>
          <w:b w:val="0"/>
          <w:bCs w:val="0"/>
          <w:i/>
          <w:lang w:eastAsia="sk-SK"/>
        </w:rPr>
        <w:t>eCMI</w:t>
      </w:r>
      <w:proofErr w:type="spellEnd"/>
      <w:r w:rsidR="00B11276" w:rsidRPr="0053721C">
        <w:rPr>
          <w:rFonts w:ascii="Century Gothic" w:hAnsi="Century Gothic"/>
          <w:b w:val="0"/>
          <w:bCs w:val="0"/>
          <w:i/>
          <w:lang w:eastAsia="sk-SK"/>
        </w:rPr>
        <w:t xml:space="preserve"> za jednotlivé nemocnice v odbore ortopédia  ŽSK 2019-2021</w:t>
      </w:r>
      <w:bookmarkEnd w:id="98"/>
    </w:p>
    <w:p w14:paraId="06AE1328" w14:textId="3EEC1747" w:rsidR="00704FCC" w:rsidRDefault="00562055" w:rsidP="00B50260">
      <w:pPr>
        <w:spacing w:line="240" w:lineRule="auto"/>
        <w:jc w:val="center"/>
        <w:rPr>
          <w:rFonts w:ascii="Century Gothic" w:hAnsi="Century Gothic" w:cstheme="minorHAnsi"/>
          <w:sz w:val="22"/>
          <w:szCs w:val="22"/>
        </w:rPr>
      </w:pPr>
      <w:r>
        <w:rPr>
          <w:noProof/>
        </w:rPr>
        <w:drawing>
          <wp:inline distT="0" distB="0" distL="0" distR="0" wp14:anchorId="33165066" wp14:editId="5334FA68">
            <wp:extent cx="4572000" cy="2743200"/>
            <wp:effectExtent l="0" t="0" r="0" b="0"/>
            <wp:docPr id="47" name="Graf 47">
              <a:extLst xmlns:a="http://schemas.openxmlformats.org/drawingml/2006/main">
                <a:ext uri="{FF2B5EF4-FFF2-40B4-BE49-F238E27FC236}">
                  <a16:creationId xmlns:a16="http://schemas.microsoft.com/office/drawing/2014/main" id="{066B8C66-0411-24B9-898C-22963B7A6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6556D73" w14:textId="30205C2A" w:rsidR="00B11276" w:rsidRDefault="00B11276" w:rsidP="00B11276">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Pr>
          <w:rFonts w:ascii="Century Gothic" w:hAnsi="Century Gothic" w:cstheme="minorHAnsi"/>
          <w:i/>
          <w:sz w:val="18"/>
          <w:szCs w:val="18"/>
        </w:rPr>
        <w:t>vlastné spracovanie</w:t>
      </w:r>
    </w:p>
    <w:p w14:paraId="0245DBC8" w14:textId="161D2911" w:rsidR="00B11276" w:rsidRDefault="00B11276" w:rsidP="00704FCC">
      <w:pPr>
        <w:spacing w:line="240" w:lineRule="auto"/>
        <w:rPr>
          <w:rFonts w:ascii="Century Gothic" w:hAnsi="Century Gothic" w:cstheme="minorHAnsi"/>
          <w:sz w:val="22"/>
          <w:szCs w:val="22"/>
        </w:rPr>
      </w:pPr>
    </w:p>
    <w:p w14:paraId="2B25C04E" w14:textId="374980F6" w:rsidR="00B11276" w:rsidRPr="0053721C" w:rsidRDefault="0053721C" w:rsidP="0053721C">
      <w:pPr>
        <w:pStyle w:val="Popis"/>
        <w:spacing w:before="0" w:after="0" w:line="240" w:lineRule="auto"/>
        <w:rPr>
          <w:rFonts w:ascii="Century Gothic" w:hAnsi="Century Gothic"/>
          <w:b w:val="0"/>
          <w:bCs w:val="0"/>
          <w:i/>
          <w:lang w:eastAsia="sk-SK"/>
        </w:rPr>
      </w:pPr>
      <w:bookmarkStart w:id="99" w:name="_Toc145219900"/>
      <w:r w:rsidRPr="0053721C">
        <w:rPr>
          <w:rFonts w:ascii="Century Gothic" w:hAnsi="Century Gothic"/>
          <w:b w:val="0"/>
          <w:bCs w:val="0"/>
          <w:i/>
          <w:lang w:eastAsia="sk-SK"/>
        </w:rPr>
        <w:t xml:space="preserve">Graf </w:t>
      </w:r>
      <w:r w:rsidRPr="0053721C">
        <w:rPr>
          <w:rFonts w:ascii="Century Gothic" w:hAnsi="Century Gothic"/>
          <w:b w:val="0"/>
          <w:bCs w:val="0"/>
          <w:i/>
          <w:lang w:eastAsia="sk-SK"/>
        </w:rPr>
        <w:fldChar w:fldCharType="begin"/>
      </w:r>
      <w:r w:rsidRPr="0053721C">
        <w:rPr>
          <w:rFonts w:ascii="Century Gothic" w:hAnsi="Century Gothic"/>
          <w:b w:val="0"/>
          <w:bCs w:val="0"/>
          <w:i/>
          <w:lang w:eastAsia="sk-SK"/>
        </w:rPr>
        <w:instrText xml:space="preserve"> SEQ Graf \* ARABIC </w:instrText>
      </w:r>
      <w:r w:rsidRPr="0053721C">
        <w:rPr>
          <w:rFonts w:ascii="Century Gothic" w:hAnsi="Century Gothic"/>
          <w:b w:val="0"/>
          <w:bCs w:val="0"/>
          <w:i/>
          <w:lang w:eastAsia="sk-SK"/>
        </w:rPr>
        <w:fldChar w:fldCharType="separate"/>
      </w:r>
      <w:r w:rsidR="007D6A44">
        <w:rPr>
          <w:rFonts w:ascii="Century Gothic" w:hAnsi="Century Gothic"/>
          <w:b w:val="0"/>
          <w:bCs w:val="0"/>
          <w:i/>
          <w:noProof/>
          <w:lang w:eastAsia="sk-SK"/>
        </w:rPr>
        <w:t>29</w:t>
      </w:r>
      <w:r w:rsidRPr="0053721C">
        <w:rPr>
          <w:rFonts w:ascii="Century Gothic" w:hAnsi="Century Gothic"/>
          <w:b w:val="0"/>
          <w:bCs w:val="0"/>
          <w:i/>
          <w:lang w:eastAsia="sk-SK"/>
        </w:rPr>
        <w:fldChar w:fldCharType="end"/>
      </w:r>
      <w:r w:rsidR="00B11276" w:rsidRPr="0053721C">
        <w:rPr>
          <w:rFonts w:ascii="Century Gothic" w:hAnsi="Century Gothic"/>
          <w:b w:val="0"/>
          <w:bCs w:val="0"/>
          <w:i/>
          <w:lang w:eastAsia="sk-SK"/>
        </w:rPr>
        <w:t xml:space="preserve"> </w:t>
      </w:r>
      <w:proofErr w:type="spellStart"/>
      <w:r w:rsidR="00B11276" w:rsidRPr="0053721C">
        <w:rPr>
          <w:rFonts w:ascii="Century Gothic" w:hAnsi="Century Gothic"/>
          <w:b w:val="0"/>
          <w:bCs w:val="0"/>
          <w:i/>
          <w:lang w:eastAsia="sk-SK"/>
        </w:rPr>
        <w:t>eCMI</w:t>
      </w:r>
      <w:proofErr w:type="spellEnd"/>
      <w:r w:rsidR="00B11276" w:rsidRPr="0053721C">
        <w:rPr>
          <w:rFonts w:ascii="Century Gothic" w:hAnsi="Century Gothic"/>
          <w:b w:val="0"/>
          <w:bCs w:val="0"/>
          <w:i/>
          <w:lang w:eastAsia="sk-SK"/>
        </w:rPr>
        <w:t xml:space="preserve"> za jednotlivé nemocnice v odbore </w:t>
      </w:r>
      <w:r w:rsidR="007756C0">
        <w:rPr>
          <w:rFonts w:ascii="Century Gothic" w:hAnsi="Century Gothic"/>
          <w:b w:val="0"/>
          <w:bCs w:val="0"/>
          <w:i/>
          <w:lang w:eastAsia="sk-SK"/>
        </w:rPr>
        <w:t>neurochirurgia</w:t>
      </w:r>
      <w:r w:rsidR="00B11276" w:rsidRPr="0053721C">
        <w:rPr>
          <w:rFonts w:ascii="Century Gothic" w:hAnsi="Century Gothic"/>
          <w:b w:val="0"/>
          <w:bCs w:val="0"/>
          <w:i/>
          <w:lang w:eastAsia="sk-SK"/>
        </w:rPr>
        <w:t xml:space="preserve">  ŽSK 2019-2021</w:t>
      </w:r>
      <w:bookmarkEnd w:id="99"/>
    </w:p>
    <w:p w14:paraId="327E4B57" w14:textId="11DD07BA" w:rsidR="004344B9" w:rsidRDefault="004344B9" w:rsidP="004344B9">
      <w:pPr>
        <w:spacing w:line="240" w:lineRule="auto"/>
        <w:jc w:val="center"/>
        <w:rPr>
          <w:rFonts w:ascii="Century Gothic" w:hAnsi="Century Gothic" w:cstheme="minorHAnsi"/>
          <w:sz w:val="22"/>
          <w:szCs w:val="22"/>
        </w:rPr>
      </w:pPr>
      <w:r>
        <w:rPr>
          <w:noProof/>
        </w:rPr>
        <w:lastRenderedPageBreak/>
        <w:drawing>
          <wp:inline distT="0" distB="0" distL="0" distR="0" wp14:anchorId="677E2084" wp14:editId="7BCB29A2">
            <wp:extent cx="4572000" cy="2743200"/>
            <wp:effectExtent l="0" t="0" r="0" b="0"/>
            <wp:docPr id="9" name="Graf 9">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1329C5B" w14:textId="77777777" w:rsidR="00B11276" w:rsidRDefault="00B11276" w:rsidP="00B11276">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Pr>
          <w:rFonts w:ascii="Century Gothic" w:hAnsi="Century Gothic" w:cstheme="minorHAnsi"/>
          <w:i/>
          <w:sz w:val="18"/>
          <w:szCs w:val="18"/>
        </w:rPr>
        <w:t>vlastné spracovanie</w:t>
      </w:r>
    </w:p>
    <w:p w14:paraId="72103B60" w14:textId="650686EB" w:rsidR="00562055" w:rsidRDefault="00562055" w:rsidP="00704FCC">
      <w:pPr>
        <w:spacing w:line="240" w:lineRule="auto"/>
        <w:rPr>
          <w:rFonts w:ascii="Century Gothic" w:hAnsi="Century Gothic" w:cstheme="minorHAnsi"/>
          <w:sz w:val="22"/>
          <w:szCs w:val="22"/>
        </w:rPr>
      </w:pPr>
    </w:p>
    <w:p w14:paraId="20585D5E" w14:textId="24946C8E" w:rsidR="00B11276" w:rsidRPr="0053721C" w:rsidRDefault="0053721C" w:rsidP="0053721C">
      <w:pPr>
        <w:pStyle w:val="Popis"/>
        <w:spacing w:before="0" w:after="0" w:line="240" w:lineRule="auto"/>
        <w:rPr>
          <w:rFonts w:ascii="Century Gothic" w:hAnsi="Century Gothic"/>
          <w:b w:val="0"/>
          <w:bCs w:val="0"/>
          <w:i/>
          <w:lang w:eastAsia="sk-SK"/>
        </w:rPr>
      </w:pPr>
      <w:bookmarkStart w:id="100" w:name="_Toc145219901"/>
      <w:r w:rsidRPr="0053721C">
        <w:rPr>
          <w:rFonts w:ascii="Century Gothic" w:hAnsi="Century Gothic"/>
          <w:b w:val="0"/>
          <w:bCs w:val="0"/>
          <w:i/>
          <w:lang w:eastAsia="sk-SK"/>
        </w:rPr>
        <w:t xml:space="preserve">Graf </w:t>
      </w:r>
      <w:r w:rsidRPr="0053721C">
        <w:rPr>
          <w:rFonts w:ascii="Century Gothic" w:hAnsi="Century Gothic"/>
          <w:b w:val="0"/>
          <w:bCs w:val="0"/>
          <w:i/>
          <w:lang w:eastAsia="sk-SK"/>
        </w:rPr>
        <w:fldChar w:fldCharType="begin"/>
      </w:r>
      <w:r w:rsidRPr="0053721C">
        <w:rPr>
          <w:rFonts w:ascii="Century Gothic" w:hAnsi="Century Gothic"/>
          <w:b w:val="0"/>
          <w:bCs w:val="0"/>
          <w:i/>
          <w:lang w:eastAsia="sk-SK"/>
        </w:rPr>
        <w:instrText xml:space="preserve"> SEQ Graf \* ARABIC </w:instrText>
      </w:r>
      <w:r w:rsidRPr="0053721C">
        <w:rPr>
          <w:rFonts w:ascii="Century Gothic" w:hAnsi="Century Gothic"/>
          <w:b w:val="0"/>
          <w:bCs w:val="0"/>
          <w:i/>
          <w:lang w:eastAsia="sk-SK"/>
        </w:rPr>
        <w:fldChar w:fldCharType="separate"/>
      </w:r>
      <w:r w:rsidR="007D6A44">
        <w:rPr>
          <w:rFonts w:ascii="Century Gothic" w:hAnsi="Century Gothic"/>
          <w:b w:val="0"/>
          <w:bCs w:val="0"/>
          <w:i/>
          <w:noProof/>
          <w:lang w:eastAsia="sk-SK"/>
        </w:rPr>
        <w:t>30</w:t>
      </w:r>
      <w:r w:rsidRPr="0053721C">
        <w:rPr>
          <w:rFonts w:ascii="Century Gothic" w:hAnsi="Century Gothic"/>
          <w:b w:val="0"/>
          <w:bCs w:val="0"/>
          <w:i/>
          <w:lang w:eastAsia="sk-SK"/>
        </w:rPr>
        <w:fldChar w:fldCharType="end"/>
      </w:r>
      <w:r w:rsidR="00B11276" w:rsidRPr="0053721C">
        <w:rPr>
          <w:rFonts w:ascii="Century Gothic" w:hAnsi="Century Gothic"/>
          <w:b w:val="0"/>
          <w:bCs w:val="0"/>
          <w:i/>
          <w:lang w:eastAsia="sk-SK"/>
        </w:rPr>
        <w:t xml:space="preserve"> </w:t>
      </w:r>
      <w:proofErr w:type="spellStart"/>
      <w:r w:rsidR="00B11276" w:rsidRPr="0053721C">
        <w:rPr>
          <w:rFonts w:ascii="Century Gothic" w:hAnsi="Century Gothic"/>
          <w:b w:val="0"/>
          <w:bCs w:val="0"/>
          <w:i/>
          <w:lang w:eastAsia="sk-SK"/>
        </w:rPr>
        <w:t>eCMI</w:t>
      </w:r>
      <w:proofErr w:type="spellEnd"/>
      <w:r w:rsidR="00B11276" w:rsidRPr="0053721C">
        <w:rPr>
          <w:rFonts w:ascii="Century Gothic" w:hAnsi="Century Gothic"/>
          <w:b w:val="0"/>
          <w:bCs w:val="0"/>
          <w:i/>
          <w:lang w:eastAsia="sk-SK"/>
        </w:rPr>
        <w:t xml:space="preserve"> za jednotlivé nemocnice v odbore </w:t>
      </w:r>
      <w:r w:rsidR="007756C0">
        <w:rPr>
          <w:rFonts w:ascii="Century Gothic" w:hAnsi="Century Gothic"/>
          <w:b w:val="0"/>
          <w:bCs w:val="0"/>
          <w:i/>
          <w:lang w:eastAsia="sk-SK"/>
        </w:rPr>
        <w:t>urológia</w:t>
      </w:r>
      <w:r w:rsidR="00B11276" w:rsidRPr="0053721C">
        <w:rPr>
          <w:rFonts w:ascii="Century Gothic" w:hAnsi="Century Gothic"/>
          <w:b w:val="0"/>
          <w:bCs w:val="0"/>
          <w:i/>
          <w:lang w:eastAsia="sk-SK"/>
        </w:rPr>
        <w:t xml:space="preserve">  ŽSK 2019-2021</w:t>
      </w:r>
      <w:bookmarkEnd w:id="100"/>
    </w:p>
    <w:p w14:paraId="489B870D" w14:textId="3A5837FF" w:rsidR="00562055" w:rsidRDefault="00AF33CF" w:rsidP="00B50260">
      <w:pPr>
        <w:spacing w:line="240" w:lineRule="auto"/>
        <w:jc w:val="center"/>
        <w:rPr>
          <w:rFonts w:ascii="Century Gothic" w:hAnsi="Century Gothic" w:cstheme="minorHAnsi"/>
          <w:sz w:val="22"/>
          <w:szCs w:val="22"/>
        </w:rPr>
      </w:pPr>
      <w:r>
        <w:rPr>
          <w:noProof/>
        </w:rPr>
        <w:drawing>
          <wp:inline distT="0" distB="0" distL="0" distR="0" wp14:anchorId="6569052E" wp14:editId="5AFBAFA0">
            <wp:extent cx="4572000" cy="2743200"/>
            <wp:effectExtent l="0" t="0" r="0" b="0"/>
            <wp:docPr id="49" name="Graf 49">
              <a:extLst xmlns:a="http://schemas.openxmlformats.org/drawingml/2006/main">
                <a:ext uri="{FF2B5EF4-FFF2-40B4-BE49-F238E27FC236}">
                  <a16:creationId xmlns:a16="http://schemas.microsoft.com/office/drawing/2014/main" id="{4F8828F0-23B8-DA7B-E819-CCCBDEF95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A9961EE" w14:textId="6994B5D8" w:rsidR="00B11276" w:rsidRDefault="00B11276" w:rsidP="00B11276">
      <w:pPr>
        <w:rPr>
          <w:rFonts w:ascii="Century Gothic" w:hAnsi="Century Gothic" w:cstheme="minorHAnsi"/>
          <w:i/>
          <w:sz w:val="18"/>
          <w:szCs w:val="18"/>
        </w:rPr>
      </w:pPr>
      <w:r w:rsidRPr="00B620DE">
        <w:rPr>
          <w:rFonts w:ascii="Century Gothic" w:hAnsi="Century Gothic" w:cstheme="minorHAnsi"/>
          <w:i/>
          <w:sz w:val="18"/>
          <w:szCs w:val="18"/>
        </w:rPr>
        <w:t xml:space="preserve">Zdroj: MZSR – CKS, </w:t>
      </w:r>
      <w:r>
        <w:rPr>
          <w:rFonts w:ascii="Century Gothic" w:hAnsi="Century Gothic" w:cstheme="minorHAnsi"/>
          <w:i/>
          <w:sz w:val="18"/>
          <w:szCs w:val="18"/>
        </w:rPr>
        <w:t>vlastné spracovanie</w:t>
      </w:r>
    </w:p>
    <w:p w14:paraId="241E0871" w14:textId="77777777" w:rsidR="0048719D" w:rsidRDefault="0048719D">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6F7CDCA0" w14:textId="49D24E98" w:rsidR="007B7154" w:rsidRPr="00B46658" w:rsidRDefault="007B7154" w:rsidP="00B46658">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101" w:name="_Toc145219950"/>
      <w:r w:rsidRPr="00B46658">
        <w:rPr>
          <w:rFonts w:ascii="Century Gothic" w:hAnsi="Century Gothic" w:cs="Calibri Light"/>
          <w:b w:val="0"/>
          <w:bCs w:val="0"/>
          <w:sz w:val="32"/>
          <w:szCs w:val="32"/>
          <w:lang w:eastAsia="en-US"/>
        </w:rPr>
        <w:lastRenderedPageBreak/>
        <w:t>Súčasný stav existujúcej celej nemocnice</w:t>
      </w:r>
      <w:bookmarkEnd w:id="101"/>
    </w:p>
    <w:p w14:paraId="2428EA9A" w14:textId="77777777" w:rsidR="007B7154" w:rsidRDefault="007B7154" w:rsidP="007B7154">
      <w:pPr>
        <w:spacing w:line="240" w:lineRule="auto"/>
        <w:rPr>
          <w:rFonts w:ascii="Century Gothic" w:hAnsi="Century Gothic"/>
          <w:b/>
        </w:rPr>
      </w:pPr>
    </w:p>
    <w:p w14:paraId="50BCCED1" w14:textId="77777777" w:rsidR="007B7154" w:rsidRPr="003A5EB0" w:rsidRDefault="007B7154" w:rsidP="003A5EB0">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102" w:name="_Toc145219951"/>
      <w:r w:rsidRPr="003A5EB0">
        <w:rPr>
          <w:rFonts w:ascii="Century Gothic" w:hAnsi="Century Gothic" w:cs="Calibri Light"/>
          <w:b w:val="0"/>
          <w:bCs w:val="0"/>
          <w:color w:val="365F91" w:themeColor="accent1" w:themeShade="BF"/>
          <w:lang w:eastAsia="en-US"/>
        </w:rPr>
        <w:t>Súčasný stav nemocnice</w:t>
      </w:r>
      <w:bookmarkEnd w:id="102"/>
    </w:p>
    <w:p w14:paraId="7656FC97" w14:textId="77777777" w:rsidR="007B7154" w:rsidRPr="003A5EB0" w:rsidRDefault="007B7154" w:rsidP="007B7154">
      <w:pPr>
        <w:spacing w:line="240" w:lineRule="auto"/>
        <w:rPr>
          <w:rFonts w:ascii="Century Gothic" w:hAnsi="Century Gothic"/>
          <w:b/>
          <w:sz w:val="22"/>
          <w:szCs w:val="22"/>
        </w:rPr>
      </w:pPr>
    </w:p>
    <w:p w14:paraId="022536CD" w14:textId="77777777" w:rsidR="007B7154" w:rsidRPr="003A5EB0" w:rsidRDefault="007B7154" w:rsidP="007B7154">
      <w:pPr>
        <w:spacing w:line="240" w:lineRule="auto"/>
        <w:rPr>
          <w:rFonts w:ascii="Century Gothic" w:hAnsi="Century Gothic" w:cstheme="minorHAnsi"/>
          <w:sz w:val="22"/>
          <w:szCs w:val="22"/>
        </w:rPr>
      </w:pPr>
      <w:r w:rsidRPr="003A5EB0">
        <w:rPr>
          <w:rFonts w:ascii="Century Gothic" w:hAnsi="Century Gothic" w:cstheme="minorHAnsi"/>
          <w:sz w:val="22"/>
          <w:szCs w:val="22"/>
        </w:rPr>
        <w:t xml:space="preserve">Súčasný areál </w:t>
      </w:r>
      <w:proofErr w:type="spellStart"/>
      <w:r w:rsidRPr="003A5EB0">
        <w:rPr>
          <w:rFonts w:ascii="Century Gothic" w:hAnsi="Century Gothic" w:cstheme="minorHAnsi"/>
          <w:sz w:val="22"/>
          <w:szCs w:val="22"/>
        </w:rPr>
        <w:t>FNsP</w:t>
      </w:r>
      <w:proofErr w:type="spellEnd"/>
      <w:r w:rsidRPr="003A5EB0">
        <w:rPr>
          <w:rFonts w:ascii="Century Gothic" w:hAnsi="Century Gothic" w:cstheme="minorHAnsi"/>
          <w:sz w:val="22"/>
          <w:szCs w:val="22"/>
        </w:rPr>
        <w:t xml:space="preserve"> Žilina na adrese V. </w:t>
      </w:r>
      <w:proofErr w:type="spellStart"/>
      <w:r w:rsidRPr="003A5EB0">
        <w:rPr>
          <w:rFonts w:ascii="Century Gothic" w:hAnsi="Century Gothic" w:cstheme="minorHAnsi"/>
          <w:sz w:val="22"/>
          <w:szCs w:val="22"/>
        </w:rPr>
        <w:t>Spanyola</w:t>
      </w:r>
      <w:proofErr w:type="spellEnd"/>
      <w:r w:rsidRPr="003A5EB0">
        <w:rPr>
          <w:rFonts w:ascii="Century Gothic" w:hAnsi="Century Gothic" w:cstheme="minorHAnsi"/>
          <w:sz w:val="22"/>
          <w:szCs w:val="22"/>
        </w:rPr>
        <w:t xml:space="preserve"> pozostáva zo 17tich budov, okrem toho nemocnica prevádzkuje samostatný malý areál pre liečbu drogových závislostí v Považskom Chlmci. </w:t>
      </w:r>
    </w:p>
    <w:p w14:paraId="68B41962" w14:textId="77777777" w:rsidR="007B7154" w:rsidRPr="003A5EB0" w:rsidRDefault="007B7154" w:rsidP="002A5F23">
      <w:pPr>
        <w:pStyle w:val="Odsekzoznamu"/>
        <w:numPr>
          <w:ilvl w:val="0"/>
          <w:numId w:val="39"/>
        </w:numPr>
        <w:autoSpaceDE w:val="0"/>
        <w:autoSpaceDN w:val="0"/>
        <w:adjustRightInd w:val="0"/>
        <w:spacing w:line="240" w:lineRule="auto"/>
        <w:rPr>
          <w:rFonts w:ascii="Century Gothic" w:hAnsi="Century Gothic" w:cs="Arial"/>
          <w:sz w:val="22"/>
          <w:szCs w:val="22"/>
        </w:rPr>
      </w:pPr>
      <w:r w:rsidRPr="003A5EB0">
        <w:rPr>
          <w:rFonts w:ascii="Century Gothic" w:hAnsi="Century Gothic" w:cs="Arial"/>
          <w:sz w:val="22"/>
          <w:szCs w:val="22"/>
        </w:rPr>
        <w:t xml:space="preserve">v 11tich budovách sa poskytuje zdravotná starostlivosť, </w:t>
      </w:r>
    </w:p>
    <w:p w14:paraId="603EA64F" w14:textId="77777777" w:rsidR="007B7154" w:rsidRPr="003A5EB0" w:rsidRDefault="007B7154" w:rsidP="002A5F23">
      <w:pPr>
        <w:pStyle w:val="Odsekzoznamu"/>
        <w:numPr>
          <w:ilvl w:val="0"/>
          <w:numId w:val="39"/>
        </w:numPr>
        <w:autoSpaceDE w:val="0"/>
        <w:autoSpaceDN w:val="0"/>
        <w:adjustRightInd w:val="0"/>
        <w:spacing w:line="240" w:lineRule="auto"/>
        <w:rPr>
          <w:rFonts w:ascii="Century Gothic" w:hAnsi="Century Gothic" w:cs="Arial"/>
          <w:sz w:val="22"/>
          <w:szCs w:val="22"/>
        </w:rPr>
      </w:pPr>
      <w:r w:rsidRPr="003A5EB0">
        <w:rPr>
          <w:rFonts w:ascii="Century Gothic" w:hAnsi="Century Gothic" w:cs="Arial"/>
          <w:sz w:val="22"/>
          <w:szCs w:val="22"/>
        </w:rPr>
        <w:t xml:space="preserve">z toho v 6tich z nich lôžková zdravotná starostlivosť, </w:t>
      </w:r>
    </w:p>
    <w:p w14:paraId="5E7F1025" w14:textId="77777777" w:rsidR="007B7154" w:rsidRPr="003A5EB0" w:rsidRDefault="007B7154" w:rsidP="002A5F23">
      <w:pPr>
        <w:pStyle w:val="Odsekzoznamu"/>
        <w:numPr>
          <w:ilvl w:val="0"/>
          <w:numId w:val="39"/>
        </w:numPr>
        <w:autoSpaceDE w:val="0"/>
        <w:autoSpaceDN w:val="0"/>
        <w:adjustRightInd w:val="0"/>
        <w:spacing w:line="240" w:lineRule="auto"/>
        <w:rPr>
          <w:rFonts w:ascii="Century Gothic" w:hAnsi="Century Gothic" w:cs="Arial"/>
          <w:sz w:val="22"/>
          <w:szCs w:val="22"/>
        </w:rPr>
      </w:pPr>
      <w:r w:rsidRPr="003A5EB0">
        <w:rPr>
          <w:rFonts w:ascii="Century Gothic" w:hAnsi="Century Gothic" w:cs="Arial"/>
          <w:sz w:val="22"/>
          <w:szCs w:val="22"/>
        </w:rPr>
        <w:t>v 5tich budovách sú umiestnené operačné sály,</w:t>
      </w:r>
    </w:p>
    <w:p w14:paraId="4B9B476A" w14:textId="77777777" w:rsidR="007B7154" w:rsidRPr="003A5EB0" w:rsidRDefault="007B7154" w:rsidP="002A5F23">
      <w:pPr>
        <w:pStyle w:val="Odsekzoznamu"/>
        <w:numPr>
          <w:ilvl w:val="0"/>
          <w:numId w:val="39"/>
        </w:numPr>
        <w:autoSpaceDE w:val="0"/>
        <w:autoSpaceDN w:val="0"/>
        <w:adjustRightInd w:val="0"/>
        <w:spacing w:line="240" w:lineRule="auto"/>
        <w:rPr>
          <w:rFonts w:ascii="Century Gothic" w:hAnsi="Century Gothic" w:cs="Arial"/>
          <w:sz w:val="22"/>
          <w:szCs w:val="22"/>
        </w:rPr>
      </w:pPr>
      <w:r w:rsidRPr="003A5EB0">
        <w:rPr>
          <w:rFonts w:ascii="Century Gothic" w:hAnsi="Century Gothic" w:cs="Arial"/>
          <w:sz w:val="22"/>
          <w:szCs w:val="22"/>
        </w:rPr>
        <w:t xml:space="preserve">v 5tich budovách sú umiestnené intenzívne a resuscitačné lôžka. </w:t>
      </w:r>
    </w:p>
    <w:p w14:paraId="1F0F7D89" w14:textId="77777777" w:rsidR="007B7154" w:rsidRPr="003A5EB0" w:rsidRDefault="007B7154" w:rsidP="007B7154">
      <w:pPr>
        <w:spacing w:line="240" w:lineRule="auto"/>
        <w:rPr>
          <w:rFonts w:ascii="Century Gothic" w:hAnsi="Century Gothic" w:cstheme="minorHAnsi"/>
          <w:sz w:val="22"/>
          <w:szCs w:val="22"/>
        </w:rPr>
      </w:pPr>
    </w:p>
    <w:p w14:paraId="304FA3F2" w14:textId="75A9BAA0" w:rsidR="007B7154" w:rsidRPr="000E4F94" w:rsidRDefault="000E4F94" w:rsidP="000E4F94">
      <w:pPr>
        <w:pStyle w:val="Popis"/>
        <w:spacing w:before="0" w:after="0" w:line="240" w:lineRule="auto"/>
        <w:rPr>
          <w:rFonts w:ascii="Century Gothic" w:hAnsi="Century Gothic"/>
          <w:b w:val="0"/>
          <w:bCs w:val="0"/>
          <w:i/>
          <w:lang w:eastAsia="sk-SK"/>
        </w:rPr>
      </w:pPr>
      <w:bookmarkStart w:id="103" w:name="_Toc145219855"/>
      <w:r w:rsidRPr="000E4F94">
        <w:rPr>
          <w:rFonts w:ascii="Century Gothic" w:hAnsi="Century Gothic"/>
          <w:b w:val="0"/>
          <w:bCs w:val="0"/>
          <w:i/>
          <w:lang w:eastAsia="sk-SK"/>
        </w:rPr>
        <w:t xml:space="preserve">Obrázok </w:t>
      </w:r>
      <w:r w:rsidRPr="000E4F94">
        <w:rPr>
          <w:rFonts w:ascii="Century Gothic" w:hAnsi="Century Gothic"/>
          <w:b w:val="0"/>
          <w:bCs w:val="0"/>
          <w:i/>
          <w:lang w:eastAsia="sk-SK"/>
        </w:rPr>
        <w:fldChar w:fldCharType="begin"/>
      </w:r>
      <w:r w:rsidRPr="000E4F94">
        <w:rPr>
          <w:rFonts w:ascii="Century Gothic" w:hAnsi="Century Gothic"/>
          <w:b w:val="0"/>
          <w:bCs w:val="0"/>
          <w:i/>
          <w:lang w:eastAsia="sk-SK"/>
        </w:rPr>
        <w:instrText xml:space="preserve"> SEQ Obrázok \* ARABIC </w:instrText>
      </w:r>
      <w:r w:rsidRPr="000E4F94">
        <w:rPr>
          <w:rFonts w:ascii="Century Gothic" w:hAnsi="Century Gothic"/>
          <w:b w:val="0"/>
          <w:bCs w:val="0"/>
          <w:i/>
          <w:lang w:eastAsia="sk-SK"/>
        </w:rPr>
        <w:fldChar w:fldCharType="separate"/>
      </w:r>
      <w:r w:rsidR="007D6A44">
        <w:rPr>
          <w:rFonts w:ascii="Century Gothic" w:hAnsi="Century Gothic"/>
          <w:b w:val="0"/>
          <w:bCs w:val="0"/>
          <w:i/>
          <w:noProof/>
          <w:lang w:eastAsia="sk-SK"/>
        </w:rPr>
        <w:t>3</w:t>
      </w:r>
      <w:r w:rsidRPr="000E4F94">
        <w:rPr>
          <w:rFonts w:ascii="Century Gothic" w:hAnsi="Century Gothic"/>
          <w:b w:val="0"/>
          <w:bCs w:val="0"/>
          <w:i/>
          <w:lang w:eastAsia="sk-SK"/>
        </w:rPr>
        <w:fldChar w:fldCharType="end"/>
      </w:r>
      <w:r w:rsidR="007B7154" w:rsidRPr="000E4F94">
        <w:rPr>
          <w:rFonts w:ascii="Century Gothic" w:hAnsi="Century Gothic"/>
          <w:b w:val="0"/>
          <w:bCs w:val="0"/>
          <w:i/>
          <w:lang w:eastAsia="sk-SK"/>
        </w:rPr>
        <w:t xml:space="preserve"> Mapa areálu </w:t>
      </w:r>
      <w:proofErr w:type="spellStart"/>
      <w:r w:rsidR="007B7154" w:rsidRPr="000E4F94">
        <w:rPr>
          <w:rFonts w:ascii="Century Gothic" w:hAnsi="Century Gothic"/>
          <w:b w:val="0"/>
          <w:bCs w:val="0"/>
          <w:i/>
          <w:lang w:eastAsia="sk-SK"/>
        </w:rPr>
        <w:t>FNsP</w:t>
      </w:r>
      <w:proofErr w:type="spellEnd"/>
      <w:r w:rsidR="007B7154" w:rsidRPr="000E4F94">
        <w:rPr>
          <w:rFonts w:ascii="Century Gothic" w:hAnsi="Century Gothic"/>
          <w:b w:val="0"/>
          <w:bCs w:val="0"/>
          <w:i/>
          <w:lang w:eastAsia="sk-SK"/>
        </w:rPr>
        <w:t xml:space="preserve"> Žilina</w:t>
      </w:r>
      <w:bookmarkEnd w:id="103"/>
    </w:p>
    <w:p w14:paraId="2356AA34" w14:textId="220EA52A" w:rsidR="007748A6" w:rsidRDefault="007748A6" w:rsidP="007B7154">
      <w:pPr>
        <w:spacing w:line="240" w:lineRule="auto"/>
        <w:jc w:val="center"/>
        <w:rPr>
          <w:rFonts w:ascii="Century Gothic" w:hAnsi="Century Gothic" w:cstheme="minorHAnsi"/>
        </w:rPr>
      </w:pPr>
      <w:r>
        <w:rPr>
          <w:noProof/>
        </w:rPr>
        <w:drawing>
          <wp:inline distT="0" distB="0" distL="0" distR="0" wp14:anchorId="056B3A3B" wp14:editId="6DB472B4">
            <wp:extent cx="4607541" cy="5807034"/>
            <wp:effectExtent l="0" t="0" r="3175" b="3810"/>
            <wp:docPr id="22" name="Obrázok 22" descr="Mapa areálu F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hotspot-image-151" descr="Mapa areálu FNsP"/>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14806" cy="5816190"/>
                    </a:xfrm>
                    <a:prstGeom prst="rect">
                      <a:avLst/>
                    </a:prstGeom>
                    <a:noFill/>
                    <a:ln>
                      <a:noFill/>
                    </a:ln>
                  </pic:spPr>
                </pic:pic>
              </a:graphicData>
            </a:graphic>
          </wp:inline>
        </w:drawing>
      </w:r>
    </w:p>
    <w:p w14:paraId="1D865DC7" w14:textId="0E22DEE8" w:rsidR="007B7154" w:rsidRDefault="007B7154" w:rsidP="007B715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sidR="00105F87">
        <w:rPr>
          <w:rFonts w:ascii="Century Gothic" w:hAnsi="Century Gothic" w:cstheme="minorHAnsi"/>
          <w:b w:val="0"/>
          <w:i/>
          <w:sz w:val="18"/>
          <w:szCs w:val="18"/>
        </w:rPr>
        <w:t>Fakultná nemocnica s poliklinikou</w:t>
      </w:r>
      <w:r w:rsidR="007748A6">
        <w:rPr>
          <w:rFonts w:ascii="Century Gothic" w:hAnsi="Century Gothic" w:cstheme="minorHAnsi"/>
          <w:b w:val="0"/>
          <w:i/>
          <w:sz w:val="18"/>
          <w:szCs w:val="18"/>
        </w:rPr>
        <w:t xml:space="preserve"> Žilina</w:t>
      </w:r>
    </w:p>
    <w:p w14:paraId="46C86818" w14:textId="77777777" w:rsidR="007B7154" w:rsidRPr="00C03D5E" w:rsidRDefault="007B7154" w:rsidP="007B7154">
      <w:pPr>
        <w:spacing w:line="240" w:lineRule="auto"/>
        <w:jc w:val="center"/>
        <w:rPr>
          <w:rFonts w:ascii="Century Gothic" w:hAnsi="Century Gothic" w:cstheme="minorHAnsi"/>
        </w:rPr>
      </w:pPr>
    </w:p>
    <w:p w14:paraId="0234A599" w14:textId="697E5BAC" w:rsidR="007B7154" w:rsidRDefault="007B7154" w:rsidP="007B7154">
      <w:pPr>
        <w:spacing w:line="240" w:lineRule="auto"/>
        <w:rPr>
          <w:rFonts w:ascii="Century Gothic" w:hAnsi="Century Gothic" w:cstheme="minorHAnsi"/>
          <w:color w:val="0070C0"/>
          <w:sz w:val="22"/>
          <w:szCs w:val="22"/>
          <w:u w:val="single"/>
        </w:rPr>
      </w:pPr>
      <w:r w:rsidRPr="003A5EB0">
        <w:rPr>
          <w:rFonts w:ascii="Century Gothic" w:hAnsi="Century Gothic" w:cstheme="minorHAnsi"/>
          <w:sz w:val="22"/>
          <w:szCs w:val="22"/>
        </w:rPr>
        <w:t xml:space="preserve">Bližšiu distribúciu a skladbu oddelení možno nájsť na webovom sídle nemocnice tu: </w:t>
      </w:r>
    </w:p>
    <w:p w14:paraId="6BFCAE80" w14:textId="2695F9DB" w:rsidR="00C7037F" w:rsidRPr="00C7037F" w:rsidRDefault="003F238F" w:rsidP="007B7154">
      <w:pPr>
        <w:spacing w:line="240" w:lineRule="auto"/>
        <w:rPr>
          <w:rFonts w:ascii="Century Gothic" w:hAnsi="Century Gothic"/>
          <w:sz w:val="22"/>
          <w:szCs w:val="22"/>
        </w:rPr>
      </w:pPr>
      <w:hyperlink r:id="rId63" w:history="1">
        <w:r w:rsidR="00C7037F" w:rsidRPr="00C7037F">
          <w:rPr>
            <w:rStyle w:val="Hypertextovprepojenie"/>
            <w:rFonts w:ascii="Century Gothic" w:hAnsi="Century Gothic"/>
            <w:noProof w:val="0"/>
            <w:sz w:val="22"/>
            <w:szCs w:val="22"/>
          </w:rPr>
          <w:t>https://www.fnspza.sk/pre-pacientov-a-navstevnikov/areal-a-parkovanie</w:t>
        </w:r>
      </w:hyperlink>
    </w:p>
    <w:p w14:paraId="750A3B40" w14:textId="54A96462" w:rsidR="007B7154" w:rsidRPr="003A5EB0" w:rsidRDefault="007B7154" w:rsidP="007B7154">
      <w:pPr>
        <w:spacing w:line="240" w:lineRule="auto"/>
        <w:rPr>
          <w:rFonts w:cstheme="minorHAnsi"/>
          <w:sz w:val="22"/>
          <w:szCs w:val="22"/>
        </w:rPr>
      </w:pPr>
      <w:r w:rsidRPr="003A5EB0">
        <w:rPr>
          <w:rFonts w:ascii="Century Gothic" w:hAnsi="Century Gothic" w:cstheme="minorHAnsi"/>
          <w:sz w:val="22"/>
          <w:szCs w:val="22"/>
        </w:rPr>
        <w:lastRenderedPageBreak/>
        <w:t xml:space="preserve">Celý </w:t>
      </w:r>
      <w:r w:rsidR="007756C0">
        <w:rPr>
          <w:rFonts w:ascii="Century Gothic" w:hAnsi="Century Gothic" w:cstheme="minorHAnsi"/>
          <w:sz w:val="22"/>
          <w:szCs w:val="22"/>
        </w:rPr>
        <w:t>areál má</w:t>
      </w:r>
      <w:r w:rsidRPr="000E08E0">
        <w:rPr>
          <w:rFonts w:ascii="Century Gothic" w:hAnsi="Century Gothic" w:cstheme="minorHAnsi"/>
          <w:sz w:val="22"/>
          <w:szCs w:val="22"/>
        </w:rPr>
        <w:t xml:space="preserve"> plochu </w:t>
      </w:r>
      <w:r w:rsidR="002F04B8" w:rsidRPr="000E08E0">
        <w:rPr>
          <w:rFonts w:ascii="Century Gothic" w:hAnsi="Century Gothic" w:cstheme="minorHAnsi"/>
          <w:sz w:val="22"/>
          <w:szCs w:val="22"/>
        </w:rPr>
        <w:t xml:space="preserve">viac ako 13 </w:t>
      </w:r>
      <w:r w:rsidRPr="000E08E0">
        <w:rPr>
          <w:rFonts w:ascii="Century Gothic" w:hAnsi="Century Gothic" w:cstheme="minorHAnsi"/>
          <w:sz w:val="22"/>
          <w:szCs w:val="22"/>
        </w:rPr>
        <w:t>ha, čo samo osebe definuje veľmi náročnú logistiku</w:t>
      </w:r>
      <w:r w:rsidR="001E714D">
        <w:rPr>
          <w:rFonts w:ascii="Century Gothic" w:hAnsi="Century Gothic" w:cstheme="minorHAnsi"/>
          <w:sz w:val="22"/>
          <w:szCs w:val="22"/>
        </w:rPr>
        <w:t>.</w:t>
      </w:r>
      <w:r w:rsidRPr="000E08E0">
        <w:rPr>
          <w:rFonts w:ascii="Century Gothic" w:hAnsi="Century Gothic" w:cstheme="minorHAnsi"/>
          <w:sz w:val="22"/>
          <w:szCs w:val="22"/>
        </w:rPr>
        <w:t xml:space="preserve"> </w:t>
      </w:r>
      <w:r w:rsidR="001E714D">
        <w:rPr>
          <w:rFonts w:ascii="Century Gothic" w:hAnsi="Century Gothic" w:cstheme="minorHAnsi"/>
          <w:sz w:val="22"/>
          <w:szCs w:val="22"/>
        </w:rPr>
        <w:t>D</w:t>
      </w:r>
      <w:r w:rsidRPr="000E08E0">
        <w:rPr>
          <w:rFonts w:ascii="Century Gothic" w:hAnsi="Century Gothic" w:cstheme="minorHAnsi"/>
          <w:sz w:val="22"/>
          <w:szCs w:val="22"/>
        </w:rPr>
        <w:t xml:space="preserve">istribúcia zdravotnej starostlivosti, z ktorej </w:t>
      </w:r>
      <w:r w:rsidRPr="003A5EB0">
        <w:rPr>
          <w:rFonts w:ascii="Century Gothic" w:hAnsi="Century Gothic" w:cstheme="minorHAnsi"/>
          <w:sz w:val="22"/>
          <w:szCs w:val="22"/>
        </w:rPr>
        <w:t xml:space="preserve">veľkú časť možno pokladať ako urgentnú, je z pohľadu moderného </w:t>
      </w:r>
      <w:proofErr w:type="spellStart"/>
      <w:r w:rsidRPr="003A5EB0">
        <w:rPr>
          <w:rFonts w:ascii="Century Gothic" w:hAnsi="Century Gothic" w:cstheme="minorHAnsi"/>
          <w:sz w:val="22"/>
          <w:szCs w:val="22"/>
        </w:rPr>
        <w:t>timingu</w:t>
      </w:r>
      <w:proofErr w:type="spellEnd"/>
      <w:r w:rsidRPr="003A5EB0">
        <w:rPr>
          <w:rFonts w:ascii="Century Gothic" w:hAnsi="Century Gothic" w:cstheme="minorHAnsi"/>
          <w:sz w:val="22"/>
          <w:szCs w:val="22"/>
        </w:rPr>
        <w:t xml:space="preserve"> diagnostiky a liečby </w:t>
      </w:r>
      <w:r w:rsidR="00251E36">
        <w:rPr>
          <w:rFonts w:ascii="Century Gothic" w:hAnsi="Century Gothic" w:cstheme="minorHAnsi"/>
          <w:sz w:val="22"/>
          <w:szCs w:val="22"/>
        </w:rPr>
        <w:t xml:space="preserve"> </w:t>
      </w:r>
      <w:r w:rsidR="00D9475F">
        <w:rPr>
          <w:rFonts w:ascii="Century Gothic" w:hAnsi="Century Gothic" w:cstheme="minorHAnsi"/>
          <w:sz w:val="22"/>
          <w:szCs w:val="22"/>
        </w:rPr>
        <w:t>l</w:t>
      </w:r>
      <w:r w:rsidR="00251E36">
        <w:rPr>
          <w:rFonts w:ascii="Century Gothic" w:hAnsi="Century Gothic" w:cstheme="minorHAnsi"/>
          <w:sz w:val="22"/>
          <w:szCs w:val="22"/>
        </w:rPr>
        <w:t>imitujúca pre záchranu života a zdravia pacienta.</w:t>
      </w:r>
    </w:p>
    <w:p w14:paraId="773B98FB" w14:textId="574A53EC" w:rsidR="007748A6" w:rsidRDefault="007748A6" w:rsidP="00A62CD9">
      <w:pPr>
        <w:spacing w:line="240" w:lineRule="auto"/>
        <w:rPr>
          <w:rFonts w:ascii="Century Gothic" w:hAnsi="Century Gothic" w:cstheme="minorHAnsi"/>
          <w:sz w:val="22"/>
          <w:szCs w:val="22"/>
          <w:highlight w:val="cyan"/>
        </w:rPr>
      </w:pPr>
    </w:p>
    <w:p w14:paraId="59826697" w14:textId="65286444" w:rsidR="000E08E0" w:rsidRDefault="000E08E0" w:rsidP="000E08E0">
      <w:pPr>
        <w:pStyle w:val="Popis"/>
        <w:spacing w:before="0" w:after="0" w:line="240" w:lineRule="auto"/>
        <w:rPr>
          <w:rFonts w:ascii="Century Gothic" w:hAnsi="Century Gothic"/>
          <w:b w:val="0"/>
          <w:bCs w:val="0"/>
          <w:i/>
          <w:lang w:eastAsia="sk-SK"/>
        </w:rPr>
      </w:pPr>
      <w:bookmarkStart w:id="104" w:name="_Toc145219856"/>
      <w:r w:rsidRPr="000E08E0">
        <w:rPr>
          <w:rFonts w:ascii="Century Gothic" w:hAnsi="Century Gothic"/>
          <w:b w:val="0"/>
          <w:bCs w:val="0"/>
          <w:i/>
          <w:lang w:eastAsia="sk-SK"/>
        </w:rPr>
        <w:t xml:space="preserve">Obrázok </w:t>
      </w:r>
      <w:r w:rsidRPr="000E08E0">
        <w:rPr>
          <w:rFonts w:ascii="Century Gothic" w:hAnsi="Century Gothic"/>
          <w:b w:val="0"/>
          <w:bCs w:val="0"/>
          <w:i/>
          <w:lang w:eastAsia="sk-SK"/>
        </w:rPr>
        <w:fldChar w:fldCharType="begin"/>
      </w:r>
      <w:r w:rsidRPr="000E08E0">
        <w:rPr>
          <w:rFonts w:ascii="Century Gothic" w:hAnsi="Century Gothic"/>
          <w:b w:val="0"/>
          <w:bCs w:val="0"/>
          <w:i/>
          <w:lang w:eastAsia="sk-SK"/>
        </w:rPr>
        <w:instrText xml:space="preserve"> SEQ Obrázok \* ARABIC </w:instrText>
      </w:r>
      <w:r w:rsidRPr="000E08E0">
        <w:rPr>
          <w:rFonts w:ascii="Century Gothic" w:hAnsi="Century Gothic"/>
          <w:b w:val="0"/>
          <w:bCs w:val="0"/>
          <w:i/>
          <w:lang w:eastAsia="sk-SK"/>
        </w:rPr>
        <w:fldChar w:fldCharType="separate"/>
      </w:r>
      <w:r w:rsidR="007D6A44">
        <w:rPr>
          <w:rFonts w:ascii="Century Gothic" w:hAnsi="Century Gothic"/>
          <w:b w:val="0"/>
          <w:bCs w:val="0"/>
          <w:i/>
          <w:noProof/>
          <w:lang w:eastAsia="sk-SK"/>
        </w:rPr>
        <w:t>4</w:t>
      </w:r>
      <w:r w:rsidRPr="000E08E0">
        <w:rPr>
          <w:rFonts w:ascii="Century Gothic" w:hAnsi="Century Gothic"/>
          <w:b w:val="0"/>
          <w:bCs w:val="0"/>
          <w:i/>
          <w:lang w:eastAsia="sk-SK"/>
        </w:rPr>
        <w:fldChar w:fldCharType="end"/>
      </w:r>
      <w:r w:rsidRPr="000E08E0">
        <w:rPr>
          <w:rFonts w:ascii="Century Gothic" w:hAnsi="Century Gothic"/>
          <w:b w:val="0"/>
          <w:bCs w:val="0"/>
          <w:i/>
          <w:lang w:eastAsia="sk-SK"/>
        </w:rPr>
        <w:t xml:space="preserve"> Poloha stavby-širšie vzťahy</w:t>
      </w:r>
      <w:bookmarkEnd w:id="104"/>
    </w:p>
    <w:p w14:paraId="32E3EE9A" w14:textId="50AEF15A" w:rsidR="000E08E0" w:rsidRDefault="000E08E0" w:rsidP="00D43498">
      <w:pPr>
        <w:jc w:val="center"/>
      </w:pPr>
      <w:r w:rsidRPr="003F63FD">
        <w:rPr>
          <w:noProof/>
        </w:rPr>
        <mc:AlternateContent>
          <mc:Choice Requires="wps">
            <w:drawing>
              <wp:anchor distT="0" distB="0" distL="114300" distR="114300" simplePos="0" relativeHeight="251661312" behindDoc="0" locked="0" layoutInCell="1" allowOverlap="1" wp14:anchorId="16E3087A" wp14:editId="66E0F800">
                <wp:simplePos x="0" y="0"/>
                <wp:positionH relativeFrom="column">
                  <wp:posOffset>2976615</wp:posOffset>
                </wp:positionH>
                <wp:positionV relativeFrom="paragraph">
                  <wp:posOffset>1673556</wp:posOffset>
                </wp:positionV>
                <wp:extent cx="661670" cy="597535"/>
                <wp:effectExtent l="19050" t="19050" r="5080" b="0"/>
                <wp:wrapNone/>
                <wp:docPr id="4" name="Ová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670" cy="597535"/>
                        </a:xfrm>
                        <a:prstGeom prst="ellipse">
                          <a:avLst/>
                        </a:prstGeom>
                        <a:noFill/>
                        <a:ln w="38100">
                          <a:solidFill>
                            <a:srgbClr val="FF000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2742323" id="Ovál 4" o:spid="_x0000_s1026" style="position:absolute;margin-left:234.4pt;margin-top:131.8pt;width:52.1pt;height:4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" filled="f" strokecolor="red" strokeweight="3pt">
                <v:path arrowok="t"/>
              </v:oval>
            </w:pict>
          </mc:Fallback>
        </mc:AlternateContent>
      </w:r>
      <w:r w:rsidRPr="003F63FD">
        <w:rPr>
          <w:noProof/>
        </w:rPr>
        <w:drawing>
          <wp:inline distT="0" distB="0" distL="0" distR="0" wp14:anchorId="317A48F8" wp14:editId="67E34C29">
            <wp:extent cx="5499260" cy="3794077"/>
            <wp:effectExtent l="0" t="0" r="635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503587" cy="3797062"/>
                    </a:xfrm>
                    <a:prstGeom prst="rect">
                      <a:avLst/>
                    </a:prstGeom>
                  </pic:spPr>
                </pic:pic>
              </a:graphicData>
            </a:graphic>
          </wp:inline>
        </w:drawing>
      </w:r>
    </w:p>
    <w:p w14:paraId="30828B6B" w14:textId="483DD826" w:rsidR="004821F1" w:rsidRDefault="004821F1" w:rsidP="004821F1">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Pr>
          <w:rFonts w:ascii="Century Gothic" w:hAnsi="Century Gothic" w:cstheme="minorHAnsi"/>
          <w:b w:val="0"/>
          <w:i/>
          <w:sz w:val="18"/>
          <w:szCs w:val="18"/>
        </w:rPr>
        <w:t>vlastné spracovanie</w:t>
      </w:r>
    </w:p>
    <w:p w14:paraId="73314FC1" w14:textId="360AA4D0" w:rsidR="000E08E0" w:rsidRDefault="000E08E0" w:rsidP="000E08E0"/>
    <w:p w14:paraId="20C5E290" w14:textId="317BEEA1" w:rsidR="000E08E0" w:rsidRDefault="000E08E0" w:rsidP="000E08E0">
      <w:pPr>
        <w:pStyle w:val="Popis"/>
        <w:spacing w:before="0" w:after="0" w:line="240" w:lineRule="auto"/>
        <w:rPr>
          <w:rFonts w:ascii="Century Gothic" w:hAnsi="Century Gothic"/>
          <w:b w:val="0"/>
          <w:bCs w:val="0"/>
          <w:i/>
          <w:lang w:eastAsia="sk-SK"/>
        </w:rPr>
      </w:pPr>
      <w:bookmarkStart w:id="105" w:name="_Toc145219857"/>
      <w:r w:rsidRPr="000E08E0">
        <w:rPr>
          <w:rFonts w:ascii="Century Gothic" w:hAnsi="Century Gothic"/>
          <w:b w:val="0"/>
          <w:bCs w:val="0"/>
          <w:i/>
          <w:lang w:eastAsia="sk-SK"/>
        </w:rPr>
        <w:t xml:space="preserve">Obrázok </w:t>
      </w:r>
      <w:r w:rsidRPr="000E08E0">
        <w:rPr>
          <w:rFonts w:ascii="Century Gothic" w:hAnsi="Century Gothic"/>
          <w:b w:val="0"/>
          <w:bCs w:val="0"/>
          <w:i/>
          <w:lang w:eastAsia="sk-SK"/>
        </w:rPr>
        <w:fldChar w:fldCharType="begin"/>
      </w:r>
      <w:r w:rsidRPr="000E08E0">
        <w:rPr>
          <w:rFonts w:ascii="Century Gothic" w:hAnsi="Century Gothic"/>
          <w:b w:val="0"/>
          <w:bCs w:val="0"/>
          <w:i/>
          <w:lang w:eastAsia="sk-SK"/>
        </w:rPr>
        <w:instrText xml:space="preserve"> SEQ Obrázok \* ARABIC </w:instrText>
      </w:r>
      <w:r w:rsidRPr="000E08E0">
        <w:rPr>
          <w:rFonts w:ascii="Century Gothic" w:hAnsi="Century Gothic"/>
          <w:b w:val="0"/>
          <w:bCs w:val="0"/>
          <w:i/>
          <w:lang w:eastAsia="sk-SK"/>
        </w:rPr>
        <w:fldChar w:fldCharType="separate"/>
      </w:r>
      <w:r w:rsidR="007D6A44">
        <w:rPr>
          <w:rFonts w:ascii="Century Gothic" w:hAnsi="Century Gothic"/>
          <w:b w:val="0"/>
          <w:bCs w:val="0"/>
          <w:i/>
          <w:noProof/>
          <w:lang w:eastAsia="sk-SK"/>
        </w:rPr>
        <w:t>5</w:t>
      </w:r>
      <w:r w:rsidRPr="000E08E0">
        <w:rPr>
          <w:rFonts w:ascii="Century Gothic" w:hAnsi="Century Gothic"/>
          <w:b w:val="0"/>
          <w:bCs w:val="0"/>
          <w:i/>
          <w:lang w:eastAsia="sk-SK"/>
        </w:rPr>
        <w:fldChar w:fldCharType="end"/>
      </w:r>
      <w:r w:rsidRPr="000E08E0">
        <w:rPr>
          <w:rFonts w:ascii="Century Gothic" w:hAnsi="Century Gothic"/>
          <w:b w:val="0"/>
          <w:bCs w:val="0"/>
          <w:i/>
          <w:lang w:eastAsia="sk-SK"/>
        </w:rPr>
        <w:t xml:space="preserve"> Poloha stavby-širšie vzťahy</w:t>
      </w:r>
      <w:bookmarkEnd w:id="105"/>
    </w:p>
    <w:p w14:paraId="3D70752C" w14:textId="6B9BFE84" w:rsidR="003E480E" w:rsidRPr="003E480E" w:rsidRDefault="003E480E" w:rsidP="00D43498">
      <w:pPr>
        <w:jc w:val="center"/>
      </w:pPr>
      <w:r>
        <w:rPr>
          <w:noProof/>
        </w:rPr>
        <w:drawing>
          <wp:inline distT="0" distB="0" distL="0" distR="0" wp14:anchorId="460D176A" wp14:editId="30C75F33">
            <wp:extent cx="5759450" cy="3159125"/>
            <wp:effectExtent l="0" t="0" r="0" b="317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9450" cy="3159125"/>
                    </a:xfrm>
                    <a:prstGeom prst="rect">
                      <a:avLst/>
                    </a:prstGeom>
                    <a:noFill/>
                    <a:ln>
                      <a:noFill/>
                    </a:ln>
                  </pic:spPr>
                </pic:pic>
              </a:graphicData>
            </a:graphic>
          </wp:inline>
        </w:drawing>
      </w:r>
    </w:p>
    <w:p w14:paraId="618D5D8A" w14:textId="3716767A" w:rsidR="004821F1" w:rsidRDefault="004821F1" w:rsidP="004821F1">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sidR="00554317">
        <w:rPr>
          <w:rFonts w:ascii="Century Gothic" w:hAnsi="Century Gothic" w:cstheme="minorHAnsi"/>
          <w:b w:val="0"/>
          <w:i/>
          <w:sz w:val="18"/>
          <w:szCs w:val="18"/>
        </w:rPr>
        <w:t>vlastné spracovanie</w:t>
      </w:r>
    </w:p>
    <w:p w14:paraId="73CBFFB5" w14:textId="77777777" w:rsidR="003E480E" w:rsidRPr="003E480E" w:rsidRDefault="003E480E" w:rsidP="003E480E">
      <w:pPr>
        <w:rPr>
          <w:lang w:eastAsia="cs-CZ"/>
        </w:rPr>
      </w:pPr>
    </w:p>
    <w:p w14:paraId="4293F610" w14:textId="77777777" w:rsidR="007B7154" w:rsidRPr="003A5EB0" w:rsidRDefault="007B7154" w:rsidP="003A5EB0">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106" w:name="_Toc145219952"/>
      <w:r w:rsidRPr="003A5EB0">
        <w:rPr>
          <w:rFonts w:ascii="Century Gothic" w:hAnsi="Century Gothic" w:cs="Calibri Light"/>
          <w:b w:val="0"/>
          <w:bCs w:val="0"/>
          <w:color w:val="365F91" w:themeColor="accent1" w:themeShade="BF"/>
          <w:lang w:eastAsia="en-US"/>
        </w:rPr>
        <w:lastRenderedPageBreak/>
        <w:t>SWOT analýza</w:t>
      </w:r>
      <w:bookmarkEnd w:id="106"/>
    </w:p>
    <w:p w14:paraId="41539AE1" w14:textId="658BD150" w:rsidR="007B7154" w:rsidRDefault="007B7154" w:rsidP="007B7154">
      <w:pPr>
        <w:spacing w:line="240" w:lineRule="auto"/>
        <w:rPr>
          <w:rFonts w:ascii="Century Gothic" w:hAnsi="Century Gothic"/>
        </w:rPr>
      </w:pPr>
    </w:p>
    <w:tbl>
      <w:tblPr>
        <w:tblStyle w:val="Mriekatabuky"/>
        <w:tblW w:w="0" w:type="auto"/>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4521"/>
        <w:gridCol w:w="4521"/>
      </w:tblGrid>
      <w:tr w:rsidR="00E46526" w:rsidRPr="00E46526" w14:paraId="636E4757" w14:textId="77777777" w:rsidTr="00E46526">
        <w:tc>
          <w:tcPr>
            <w:tcW w:w="4531" w:type="dxa"/>
          </w:tcPr>
          <w:p w14:paraId="7A8781E0" w14:textId="006D479D" w:rsidR="00E46526" w:rsidRPr="005A6BE8" w:rsidRDefault="00E46526" w:rsidP="00E46526">
            <w:pPr>
              <w:pStyle w:val="Default"/>
              <w:jc w:val="center"/>
              <w:rPr>
                <w:rFonts w:ascii="Century Gothic" w:hAnsi="Century Gothic" w:cstheme="minorHAnsi"/>
                <w:b/>
                <w:color w:val="365F91" w:themeColor="accent1" w:themeShade="BF"/>
                <w:sz w:val="20"/>
                <w:szCs w:val="20"/>
              </w:rPr>
            </w:pPr>
            <w:r w:rsidRPr="005A6BE8">
              <w:rPr>
                <w:rFonts w:ascii="Century Gothic" w:hAnsi="Century Gothic" w:cstheme="minorHAnsi"/>
                <w:b/>
                <w:color w:val="365F91" w:themeColor="accent1" w:themeShade="BF"/>
                <w:sz w:val="20"/>
                <w:szCs w:val="20"/>
              </w:rPr>
              <w:t xml:space="preserve">Silné stránky </w:t>
            </w:r>
          </w:p>
        </w:tc>
        <w:tc>
          <w:tcPr>
            <w:tcW w:w="4531" w:type="dxa"/>
          </w:tcPr>
          <w:p w14:paraId="3B8E76BF" w14:textId="080EE55F" w:rsidR="00E46526" w:rsidRPr="005A6BE8" w:rsidRDefault="00E46526" w:rsidP="00E46526">
            <w:pPr>
              <w:jc w:val="center"/>
              <w:rPr>
                <w:rFonts w:ascii="Century Gothic" w:hAnsi="Century Gothic" w:cstheme="minorHAnsi"/>
                <w:b/>
                <w:color w:val="365F91" w:themeColor="accent1" w:themeShade="BF"/>
                <w:sz w:val="20"/>
                <w:szCs w:val="20"/>
              </w:rPr>
            </w:pPr>
            <w:r w:rsidRPr="005A6BE8">
              <w:rPr>
                <w:rFonts w:ascii="Century Gothic" w:hAnsi="Century Gothic" w:cstheme="minorHAnsi"/>
                <w:b/>
                <w:color w:val="365F91" w:themeColor="accent1" w:themeShade="BF"/>
                <w:sz w:val="20"/>
                <w:szCs w:val="20"/>
              </w:rPr>
              <w:t xml:space="preserve">Slabé stránky </w:t>
            </w:r>
          </w:p>
        </w:tc>
      </w:tr>
      <w:tr w:rsidR="00E46526" w:rsidRPr="00E46526" w14:paraId="422EBC0F" w14:textId="77777777" w:rsidTr="00E46526">
        <w:trPr>
          <w:trHeight w:val="2573"/>
        </w:trPr>
        <w:tc>
          <w:tcPr>
            <w:tcW w:w="4531" w:type="dxa"/>
          </w:tcPr>
          <w:p w14:paraId="5DD0DC4F" w14:textId="199C5FAE"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vysoká kvalita poskyto</w:t>
            </w:r>
            <w:r w:rsidR="00F27803">
              <w:rPr>
                <w:rFonts w:ascii="Century Gothic" w:hAnsi="Century Gothic" w:cstheme="minorHAnsi"/>
                <w:color w:val="auto"/>
                <w:sz w:val="20"/>
                <w:szCs w:val="20"/>
              </w:rPr>
              <w:t>vania ZS – konkurencieschopnosť</w:t>
            </w:r>
          </w:p>
          <w:p w14:paraId="30A0B2DE" w14:textId="5D0300D4"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geografická polo</w:t>
            </w:r>
            <w:r w:rsidR="00F27803">
              <w:rPr>
                <w:rFonts w:ascii="Century Gothic" w:hAnsi="Century Gothic" w:cstheme="minorHAnsi"/>
                <w:color w:val="auto"/>
                <w:sz w:val="20"/>
                <w:szCs w:val="20"/>
              </w:rPr>
              <w:t>ha prirodzeného spádu pacientov</w:t>
            </w:r>
          </w:p>
          <w:p w14:paraId="1FFAC545" w14:textId="18945C81"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dopravná dostupnosť regiónu, dopravná infraštruktú</w:t>
            </w:r>
            <w:r w:rsidR="00F27803">
              <w:rPr>
                <w:rFonts w:ascii="Century Gothic" w:hAnsi="Century Gothic" w:cstheme="minorHAnsi"/>
                <w:color w:val="auto"/>
                <w:sz w:val="20"/>
                <w:szCs w:val="20"/>
              </w:rPr>
              <w:t>ra smerovaná do krajského mesta</w:t>
            </w:r>
          </w:p>
          <w:p w14:paraId="726E9AA4" w14:textId="00E22140"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infraštruktúra regiónu, priemysel, pracovné príležitosti, d</w:t>
            </w:r>
            <w:r w:rsidR="00F27803">
              <w:rPr>
                <w:rFonts w:ascii="Century Gothic" w:hAnsi="Century Gothic" w:cstheme="minorHAnsi"/>
                <w:color w:val="auto"/>
                <w:sz w:val="20"/>
                <w:szCs w:val="20"/>
              </w:rPr>
              <w:t>oprava, inštitúcie, vzdelávanie</w:t>
            </w:r>
          </w:p>
          <w:p w14:paraId="182F76B9" w14:textId="77777777"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motivácia personálu zotrvať u zamestnávateľa – personálna stabilita,</w:t>
            </w:r>
          </w:p>
          <w:p w14:paraId="6FEA5578" w14:textId="263996BD"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priaznivé regionálne podmienky pre rodinných príslušníkov zame</w:t>
            </w:r>
            <w:r w:rsidR="00F27803">
              <w:rPr>
                <w:rFonts w:ascii="Century Gothic" w:hAnsi="Century Gothic" w:cstheme="minorHAnsi"/>
                <w:color w:val="auto"/>
                <w:sz w:val="20"/>
                <w:szCs w:val="20"/>
              </w:rPr>
              <w:t>stnancov</w:t>
            </w:r>
          </w:p>
          <w:p w14:paraId="0BDDDAA0" w14:textId="3AD85447"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 xml:space="preserve">odbornosť, erudovanosť, </w:t>
            </w:r>
            <w:r w:rsidR="00F27803">
              <w:rPr>
                <w:rFonts w:ascii="Century Gothic" w:hAnsi="Century Gothic" w:cstheme="minorHAnsi"/>
                <w:color w:val="auto"/>
                <w:sz w:val="20"/>
                <w:szCs w:val="20"/>
              </w:rPr>
              <w:t>profesionalita ľudských zdrojov</w:t>
            </w:r>
          </w:p>
          <w:p w14:paraId="5918F3AE" w14:textId="33E40483"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široký rozsa</w:t>
            </w:r>
            <w:r w:rsidR="00F27803">
              <w:rPr>
                <w:rFonts w:ascii="Century Gothic" w:hAnsi="Century Gothic" w:cstheme="minorHAnsi"/>
                <w:color w:val="auto"/>
                <w:sz w:val="20"/>
                <w:szCs w:val="20"/>
              </w:rPr>
              <w:t>h a komplexnosť poskytovanej ZS</w:t>
            </w:r>
          </w:p>
          <w:p w14:paraId="2D4945F6" w14:textId="79DD70D6"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implemento</w:t>
            </w:r>
            <w:r w:rsidR="00F27803">
              <w:rPr>
                <w:rFonts w:ascii="Century Gothic" w:hAnsi="Century Gothic" w:cstheme="minorHAnsi"/>
                <w:color w:val="auto"/>
                <w:sz w:val="20"/>
                <w:szCs w:val="20"/>
              </w:rPr>
              <w:t>vaný systém manažérstva kvality</w:t>
            </w:r>
          </w:p>
          <w:p w14:paraId="6F0DA97C" w14:textId="38B1C5EA"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výučbová zákl</w:t>
            </w:r>
            <w:r w:rsidR="00F27803">
              <w:rPr>
                <w:rFonts w:ascii="Century Gothic" w:hAnsi="Century Gothic" w:cstheme="minorHAnsi"/>
                <w:color w:val="auto"/>
                <w:sz w:val="20"/>
                <w:szCs w:val="20"/>
              </w:rPr>
              <w:t>adňa a vedecko-výskumná činnosť</w:t>
            </w:r>
          </w:p>
          <w:p w14:paraId="1D1CBAB0" w14:textId="4932B84E" w:rsidR="00AB0860" w:rsidRPr="005A6BE8" w:rsidRDefault="00F27803"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vlastné obslužné kapacity</w:t>
            </w:r>
          </w:p>
          <w:p w14:paraId="657CDBF2" w14:textId="2E5F8177" w:rsidR="00AB0860"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š</w:t>
            </w:r>
            <w:r w:rsidRPr="005A6BE8">
              <w:rPr>
                <w:rFonts w:ascii="Century Gothic" w:hAnsi="Century Gothic" w:cstheme="minorHAnsi"/>
                <w:color w:val="auto"/>
                <w:sz w:val="20"/>
                <w:szCs w:val="20"/>
              </w:rPr>
              <w:t xml:space="preserve">pecializované nadregionálne pracoviská </w:t>
            </w:r>
          </w:p>
          <w:p w14:paraId="020EAE7B" w14:textId="7548F4DC" w:rsidR="00AB0860"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priestorové možnosti areálu</w:t>
            </w:r>
          </w:p>
          <w:p w14:paraId="084856D0" w14:textId="3E476AC5" w:rsidR="00AB0860"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dostupnosť kapacít inžinierskych sietí na stavebný rozvoj</w:t>
            </w:r>
          </w:p>
          <w:p w14:paraId="5A3730E5" w14:textId="254EE34B" w:rsidR="00AB0860"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spolupráca so Žilinskou univerzitou a mestom Žilina</w:t>
            </w:r>
          </w:p>
          <w:p w14:paraId="237B4366" w14:textId="14AE1036" w:rsidR="00E46526" w:rsidRPr="005A6BE8" w:rsidRDefault="00E46526" w:rsidP="00943E84">
            <w:pPr>
              <w:pStyle w:val="Default"/>
              <w:ind w:left="22"/>
              <w:rPr>
                <w:rFonts w:ascii="Century Gothic" w:hAnsi="Century Gothic" w:cstheme="minorHAnsi"/>
                <w:sz w:val="20"/>
                <w:szCs w:val="20"/>
              </w:rPr>
            </w:pPr>
          </w:p>
        </w:tc>
        <w:tc>
          <w:tcPr>
            <w:tcW w:w="4531" w:type="dxa"/>
          </w:tcPr>
          <w:p w14:paraId="4AD5587A" w14:textId="1DE0F030" w:rsidR="00E46526" w:rsidRPr="005A6BE8" w:rsidRDefault="00AB0860" w:rsidP="00AB0860">
            <w:pPr>
              <w:pStyle w:val="Default"/>
              <w:numPr>
                <w:ilvl w:val="0"/>
                <w:numId w:val="21"/>
              </w:numPr>
              <w:rPr>
                <w:rFonts w:ascii="Century Gothic" w:hAnsi="Century Gothic" w:cstheme="minorHAnsi"/>
                <w:color w:val="auto"/>
                <w:sz w:val="20"/>
                <w:szCs w:val="20"/>
              </w:rPr>
            </w:pPr>
            <w:r>
              <w:rPr>
                <w:rFonts w:ascii="Century Gothic" w:hAnsi="Century Gothic" w:cstheme="minorHAnsi"/>
                <w:color w:val="auto"/>
                <w:sz w:val="20"/>
                <w:szCs w:val="20"/>
              </w:rPr>
              <w:t>z</w:t>
            </w:r>
            <w:r w:rsidR="00E46526" w:rsidRPr="005A6BE8">
              <w:rPr>
                <w:rFonts w:ascii="Century Gothic" w:hAnsi="Century Gothic" w:cstheme="minorHAnsi"/>
                <w:color w:val="auto"/>
                <w:sz w:val="20"/>
                <w:szCs w:val="20"/>
              </w:rPr>
              <w:t xml:space="preserve">astaraná technická infraštruktúra nemocnice pavilónového typu po dobe životnosti </w:t>
            </w:r>
          </w:p>
          <w:p w14:paraId="75B0118A" w14:textId="58B8CF6F" w:rsidR="00E46526" w:rsidRPr="005A6BE8" w:rsidRDefault="00AB0860" w:rsidP="00AB0860">
            <w:pPr>
              <w:pStyle w:val="Default"/>
              <w:numPr>
                <w:ilvl w:val="0"/>
                <w:numId w:val="21"/>
              </w:numPr>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 xml:space="preserve">edostatočné investície do najmodernejších zdravotníckych technológií </w:t>
            </w:r>
          </w:p>
          <w:p w14:paraId="1A0ACB96" w14:textId="77777777"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dlhšia čakacia doba z hľadiska porovnania s komerčnou sférou,</w:t>
            </w:r>
          </w:p>
          <w:p w14:paraId="2B310BD7" w14:textId="77777777"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nedostačujúce priestory,</w:t>
            </w:r>
          </w:p>
          <w:p w14:paraId="13A0027D" w14:textId="77777777"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absencia vlastných laboratórií,</w:t>
            </w:r>
          </w:p>
          <w:p w14:paraId="7C8C1E8B" w14:textId="77777777"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chýbajúce vlastné MRI,</w:t>
            </w:r>
          </w:p>
          <w:p w14:paraId="267CAFFC" w14:textId="77777777"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neúmerný nárast pacientov,</w:t>
            </w:r>
          </w:p>
          <w:p w14:paraId="18782932" w14:textId="77777777"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stratové hospodárenie a vysoká zadlženosť,</w:t>
            </w:r>
          </w:p>
          <w:p w14:paraId="54D1240D" w14:textId="547BAFF9"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 xml:space="preserve">závislosť na príjmoch zo zdravotných poisťovní a nevýhodné </w:t>
            </w:r>
            <w:proofErr w:type="spellStart"/>
            <w:r w:rsidRPr="00AB0860">
              <w:rPr>
                <w:rFonts w:ascii="Century Gothic" w:hAnsi="Century Gothic" w:cstheme="minorHAnsi"/>
                <w:color w:val="auto"/>
                <w:sz w:val="20"/>
                <w:szCs w:val="20"/>
              </w:rPr>
              <w:t>zazmluvnenie</w:t>
            </w:r>
            <w:proofErr w:type="spellEnd"/>
            <w:r w:rsidRPr="00AB0860">
              <w:rPr>
                <w:rFonts w:ascii="Century Gothic" w:hAnsi="Century Gothic" w:cstheme="minorHAnsi"/>
                <w:color w:val="auto"/>
                <w:sz w:val="20"/>
                <w:szCs w:val="20"/>
              </w:rPr>
              <w:t xml:space="preserve"> vo vš</w:t>
            </w:r>
            <w:r w:rsidR="00F27803">
              <w:rPr>
                <w:rFonts w:ascii="Century Gothic" w:hAnsi="Century Gothic" w:cstheme="minorHAnsi"/>
                <w:color w:val="auto"/>
                <w:sz w:val="20"/>
                <w:szCs w:val="20"/>
              </w:rPr>
              <w:t>etkých zdravotných poisťovniach</w:t>
            </w:r>
          </w:p>
          <w:p w14:paraId="7660EC19" w14:textId="4E10106B"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c</w:t>
            </w:r>
            <w:r w:rsidR="00F27803">
              <w:rPr>
                <w:rFonts w:ascii="Century Gothic" w:hAnsi="Century Gothic" w:cstheme="minorHAnsi"/>
                <w:color w:val="auto"/>
                <w:sz w:val="20"/>
                <w:szCs w:val="20"/>
              </w:rPr>
              <w:t>hýbajúce centrálne operačné sály</w:t>
            </w:r>
          </w:p>
          <w:p w14:paraId="7F4E7211" w14:textId="442BB70A" w:rsidR="00AB0860" w:rsidRPr="00AB0860" w:rsidRDefault="00AB0860" w:rsidP="00AB0860">
            <w:pPr>
              <w:pStyle w:val="Default"/>
              <w:numPr>
                <w:ilvl w:val="0"/>
                <w:numId w:val="21"/>
              </w:numPr>
              <w:rPr>
                <w:rFonts w:ascii="Century Gothic" w:hAnsi="Century Gothic" w:cstheme="minorHAnsi"/>
                <w:color w:val="auto"/>
                <w:sz w:val="20"/>
                <w:szCs w:val="20"/>
              </w:rPr>
            </w:pPr>
            <w:r w:rsidRPr="00AB0860">
              <w:rPr>
                <w:rFonts w:ascii="Century Gothic" w:hAnsi="Century Gothic" w:cstheme="minorHAnsi"/>
                <w:color w:val="auto"/>
                <w:sz w:val="20"/>
                <w:szCs w:val="20"/>
              </w:rPr>
              <w:t xml:space="preserve">absencia vlastných SVALZ (biochémia, MRI), pracoviska paliatívnej medicíny a geriatrie, centra pre invazívnu kardiológiu, </w:t>
            </w:r>
            <w:r w:rsidR="00F27803">
              <w:rPr>
                <w:rFonts w:ascii="Century Gothic" w:hAnsi="Century Gothic" w:cstheme="minorHAnsi"/>
                <w:color w:val="auto"/>
                <w:sz w:val="20"/>
                <w:szCs w:val="20"/>
              </w:rPr>
              <w:t>pľúcneho a infekčného oddelenia</w:t>
            </w:r>
          </w:p>
          <w:p w14:paraId="411AF4D1" w14:textId="77777777" w:rsidR="00E46526" w:rsidRPr="005A6BE8" w:rsidRDefault="00E46526" w:rsidP="00F27803">
            <w:pPr>
              <w:pStyle w:val="Default"/>
              <w:ind w:left="360"/>
              <w:rPr>
                <w:rFonts w:ascii="Century Gothic" w:hAnsi="Century Gothic" w:cstheme="minorHAnsi"/>
                <w:color w:val="auto"/>
                <w:sz w:val="20"/>
                <w:szCs w:val="20"/>
              </w:rPr>
            </w:pPr>
          </w:p>
        </w:tc>
      </w:tr>
      <w:tr w:rsidR="00E46526" w:rsidRPr="00E46526" w14:paraId="3E8E051A" w14:textId="77777777" w:rsidTr="00E46526">
        <w:tc>
          <w:tcPr>
            <w:tcW w:w="4531" w:type="dxa"/>
          </w:tcPr>
          <w:p w14:paraId="15F165E4" w14:textId="69579516" w:rsidR="00E46526" w:rsidRPr="005A6BE8" w:rsidRDefault="00E46526" w:rsidP="00E46526">
            <w:pPr>
              <w:pStyle w:val="Default"/>
              <w:jc w:val="center"/>
              <w:rPr>
                <w:rFonts w:ascii="Century Gothic" w:hAnsi="Century Gothic" w:cstheme="minorHAnsi"/>
                <w:b/>
                <w:color w:val="365F91" w:themeColor="accent1" w:themeShade="BF"/>
                <w:sz w:val="20"/>
                <w:szCs w:val="20"/>
              </w:rPr>
            </w:pPr>
            <w:r w:rsidRPr="005A6BE8">
              <w:rPr>
                <w:rFonts w:ascii="Century Gothic" w:hAnsi="Century Gothic" w:cstheme="minorHAnsi"/>
                <w:b/>
                <w:color w:val="365F91" w:themeColor="accent1" w:themeShade="BF"/>
                <w:sz w:val="20"/>
                <w:szCs w:val="20"/>
              </w:rPr>
              <w:t xml:space="preserve">Príležitosti </w:t>
            </w:r>
          </w:p>
        </w:tc>
        <w:tc>
          <w:tcPr>
            <w:tcW w:w="4531" w:type="dxa"/>
          </w:tcPr>
          <w:p w14:paraId="68DE9885" w14:textId="43DCB181" w:rsidR="00E46526" w:rsidRPr="005A6BE8" w:rsidRDefault="00E46526" w:rsidP="00E46526">
            <w:pPr>
              <w:jc w:val="center"/>
              <w:rPr>
                <w:rFonts w:ascii="Century Gothic" w:hAnsi="Century Gothic" w:cstheme="minorHAnsi"/>
                <w:b/>
                <w:color w:val="365F91" w:themeColor="accent1" w:themeShade="BF"/>
                <w:sz w:val="20"/>
                <w:szCs w:val="20"/>
              </w:rPr>
            </w:pPr>
            <w:r w:rsidRPr="005A6BE8">
              <w:rPr>
                <w:rFonts w:ascii="Century Gothic" w:hAnsi="Century Gothic" w:cstheme="minorHAnsi"/>
                <w:b/>
                <w:color w:val="365F91" w:themeColor="accent1" w:themeShade="BF"/>
                <w:sz w:val="20"/>
                <w:szCs w:val="20"/>
              </w:rPr>
              <w:t>Ohrozenia</w:t>
            </w:r>
          </w:p>
        </w:tc>
      </w:tr>
      <w:tr w:rsidR="00E46526" w:rsidRPr="00E46526" w14:paraId="35C8E5C5" w14:textId="77777777" w:rsidTr="00E46526">
        <w:tc>
          <w:tcPr>
            <w:tcW w:w="4531" w:type="dxa"/>
          </w:tcPr>
          <w:p w14:paraId="696687AA" w14:textId="36CEBF7D"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 xml:space="preserve">ová, moderná nemocnica s optimalizovaným systémom riadenia na princípe nového funkčného modelu </w:t>
            </w:r>
          </w:p>
          <w:p w14:paraId="1D6F8111" w14:textId="3D5C2FFD"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m</w:t>
            </w:r>
            <w:r w:rsidR="00E46526" w:rsidRPr="005A6BE8">
              <w:rPr>
                <w:rFonts w:ascii="Century Gothic" w:hAnsi="Century Gothic" w:cstheme="minorHAnsi"/>
                <w:color w:val="auto"/>
                <w:sz w:val="20"/>
                <w:szCs w:val="20"/>
              </w:rPr>
              <w:t>oderné medicínske priestory</w:t>
            </w:r>
          </w:p>
          <w:p w14:paraId="59B729C3" w14:textId="253FF088"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ajmodernejšie zdravotnícke technológie, špičkové vybavenie sál a pavilónov</w:t>
            </w:r>
          </w:p>
          <w:p w14:paraId="62CA0DB5" w14:textId="79CECF47"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i</w:t>
            </w:r>
            <w:r w:rsidR="00E46526" w:rsidRPr="005A6BE8">
              <w:rPr>
                <w:rFonts w:ascii="Century Gothic" w:hAnsi="Century Gothic" w:cstheme="minorHAnsi"/>
                <w:color w:val="auto"/>
                <w:sz w:val="20"/>
                <w:szCs w:val="20"/>
              </w:rPr>
              <w:t>ntegrovaná interdisciplinárna starostlivosť „pod jednou strechou“</w:t>
            </w:r>
          </w:p>
          <w:p w14:paraId="7C7CB9DC" w14:textId="19DAAB07" w:rsidR="00E46526"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ové informačné a </w:t>
            </w:r>
            <w:proofErr w:type="spellStart"/>
            <w:r w:rsidR="00E46526" w:rsidRPr="005A6BE8">
              <w:rPr>
                <w:rFonts w:ascii="Century Gothic" w:hAnsi="Century Gothic" w:cstheme="minorHAnsi"/>
                <w:color w:val="auto"/>
                <w:sz w:val="20"/>
                <w:szCs w:val="20"/>
              </w:rPr>
              <w:t>smart</w:t>
            </w:r>
            <w:proofErr w:type="spellEnd"/>
            <w:r w:rsidR="00E46526" w:rsidRPr="005A6BE8">
              <w:rPr>
                <w:rFonts w:ascii="Century Gothic" w:hAnsi="Century Gothic" w:cstheme="minorHAnsi"/>
                <w:color w:val="auto"/>
                <w:sz w:val="20"/>
                <w:szCs w:val="20"/>
              </w:rPr>
              <w:t xml:space="preserve"> technológie, využívanie možností </w:t>
            </w:r>
            <w:proofErr w:type="spellStart"/>
            <w:r w:rsidR="00E46526" w:rsidRPr="005A6BE8">
              <w:rPr>
                <w:rFonts w:ascii="Century Gothic" w:hAnsi="Century Gothic" w:cstheme="minorHAnsi"/>
                <w:color w:val="auto"/>
                <w:sz w:val="20"/>
                <w:szCs w:val="20"/>
              </w:rPr>
              <w:t>telemedicíny</w:t>
            </w:r>
            <w:proofErr w:type="spellEnd"/>
          </w:p>
          <w:p w14:paraId="0D8586C3" w14:textId="77777777" w:rsidR="00AB0860" w:rsidRPr="005A6BE8"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využitie inovatívnych technológií a partnerstiev pri znižovaní energetickej náročnosti prevádzky</w:t>
            </w:r>
          </w:p>
          <w:p w14:paraId="57F31658" w14:textId="7337F784"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r</w:t>
            </w:r>
            <w:r w:rsidR="00E46526" w:rsidRPr="005A6BE8">
              <w:rPr>
                <w:rFonts w:ascii="Century Gothic" w:hAnsi="Century Gothic" w:cstheme="minorHAnsi"/>
                <w:color w:val="auto"/>
                <w:sz w:val="20"/>
                <w:szCs w:val="20"/>
              </w:rPr>
              <w:t>ýchlejšia diagnostika a včasná intervencia</w:t>
            </w:r>
          </w:p>
          <w:p w14:paraId="23AD1DB0" w14:textId="0DBBD97F"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k</w:t>
            </w:r>
            <w:r w:rsidR="00E46526" w:rsidRPr="005A6BE8">
              <w:rPr>
                <w:rFonts w:ascii="Century Gothic" w:hAnsi="Century Gothic" w:cstheme="minorHAnsi"/>
                <w:color w:val="auto"/>
                <w:sz w:val="20"/>
                <w:szCs w:val="20"/>
              </w:rPr>
              <w:t>omplexný urgentný príjem</w:t>
            </w:r>
          </w:p>
          <w:p w14:paraId="4358BC1C" w14:textId="10227E0B" w:rsidR="00E46526" w:rsidRPr="006D242B" w:rsidRDefault="00AB0860" w:rsidP="00AB0860">
            <w:pPr>
              <w:pStyle w:val="Default"/>
              <w:numPr>
                <w:ilvl w:val="0"/>
                <w:numId w:val="21"/>
              </w:numPr>
              <w:ind w:left="306" w:hanging="284"/>
              <w:rPr>
                <w:rFonts w:ascii="Century Gothic" w:hAnsi="Century Gothic" w:cstheme="minorHAnsi"/>
                <w:color w:val="auto"/>
                <w:sz w:val="20"/>
                <w:szCs w:val="20"/>
              </w:rPr>
            </w:pPr>
            <w:r w:rsidRPr="006D242B">
              <w:rPr>
                <w:rFonts w:ascii="Century Gothic" w:hAnsi="Century Gothic" w:cstheme="minorHAnsi"/>
                <w:color w:val="auto"/>
                <w:sz w:val="20"/>
                <w:szCs w:val="20"/>
              </w:rPr>
              <w:t>k</w:t>
            </w:r>
            <w:r w:rsidR="00E46526" w:rsidRPr="006D242B">
              <w:rPr>
                <w:rFonts w:ascii="Century Gothic" w:hAnsi="Century Gothic" w:cstheme="minorHAnsi"/>
                <w:color w:val="auto"/>
                <w:sz w:val="20"/>
                <w:szCs w:val="20"/>
              </w:rPr>
              <w:t>omplexné diagnostické centrum</w:t>
            </w:r>
          </w:p>
          <w:p w14:paraId="3E35497A" w14:textId="41821760" w:rsidR="00E46526" w:rsidRPr="006D242B" w:rsidRDefault="00AB0860" w:rsidP="00AB0860">
            <w:pPr>
              <w:pStyle w:val="Default"/>
              <w:numPr>
                <w:ilvl w:val="0"/>
                <w:numId w:val="21"/>
              </w:numPr>
              <w:pBdr>
                <w:top w:val="nil"/>
                <w:left w:val="nil"/>
                <w:bottom w:val="nil"/>
                <w:right w:val="nil"/>
                <w:between w:val="nil"/>
                <w:bar w:val="nil"/>
              </w:pBdr>
              <w:ind w:left="306" w:hanging="284"/>
              <w:rPr>
                <w:rFonts w:ascii="Century Gothic" w:hAnsi="Century Gothic" w:cstheme="minorHAnsi"/>
                <w:color w:val="auto"/>
                <w:sz w:val="20"/>
                <w:szCs w:val="20"/>
              </w:rPr>
            </w:pPr>
            <w:r w:rsidRPr="006D242B">
              <w:rPr>
                <w:rFonts w:ascii="Century Gothic" w:hAnsi="Century Gothic" w:cstheme="minorHAnsi"/>
                <w:color w:val="auto"/>
                <w:sz w:val="20"/>
                <w:szCs w:val="20"/>
              </w:rPr>
              <w:t>k</w:t>
            </w:r>
            <w:r w:rsidR="00E46526" w:rsidRPr="006D242B">
              <w:rPr>
                <w:rFonts w:ascii="Century Gothic" w:hAnsi="Century Gothic" w:cstheme="minorHAnsi"/>
                <w:color w:val="auto"/>
                <w:sz w:val="20"/>
                <w:szCs w:val="20"/>
              </w:rPr>
              <w:t>omplexné rehabilitačné centrum</w:t>
            </w:r>
          </w:p>
          <w:p w14:paraId="1D5095DA" w14:textId="1589C711" w:rsidR="00E46526"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lastRenderedPageBreak/>
              <w:t>z</w:t>
            </w:r>
            <w:r w:rsidR="00E46526" w:rsidRPr="005A6BE8">
              <w:rPr>
                <w:rFonts w:ascii="Century Gothic" w:hAnsi="Century Gothic" w:cstheme="minorHAnsi"/>
                <w:color w:val="auto"/>
                <w:sz w:val="20"/>
                <w:szCs w:val="20"/>
              </w:rPr>
              <w:t>lepšenie pracovných podmienok pre zamestnancov a zvýšenie bezpečnosti zamestnancov a</w:t>
            </w:r>
            <w:r>
              <w:rPr>
                <w:rFonts w:ascii="Century Gothic" w:hAnsi="Century Gothic" w:cstheme="minorHAnsi"/>
                <w:color w:val="auto"/>
                <w:sz w:val="20"/>
                <w:szCs w:val="20"/>
              </w:rPr>
              <w:t> </w:t>
            </w:r>
            <w:r w:rsidR="00E46526" w:rsidRPr="005A6BE8">
              <w:rPr>
                <w:rFonts w:ascii="Century Gothic" w:hAnsi="Century Gothic" w:cstheme="minorHAnsi"/>
                <w:color w:val="auto"/>
                <w:sz w:val="20"/>
                <w:szCs w:val="20"/>
              </w:rPr>
              <w:t>pacientov</w:t>
            </w:r>
          </w:p>
          <w:p w14:paraId="0EDF8EAD" w14:textId="77777777"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nárast počtu výkonov a pacientov,</w:t>
            </w:r>
          </w:p>
          <w:p w14:paraId="371EC260" w14:textId="4494B1B5"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rozšírenie ponuky služieb, predovšetkým samoplatcov</w:t>
            </w:r>
          </w:p>
          <w:p w14:paraId="31713CB2" w14:textId="3446A09C" w:rsidR="00AB0860" w:rsidRPr="00AB0860"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zvýšenie bezpečnosti a kvality pri poskytovaní ZS</w:t>
            </w:r>
          </w:p>
          <w:p w14:paraId="003B99B7" w14:textId="77777777" w:rsidR="00AB0860" w:rsidRPr="006D242B" w:rsidRDefault="00AB0860" w:rsidP="00AB0860">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 xml:space="preserve">potenciál pre rozšírenie podnikateľskej </w:t>
            </w:r>
            <w:r w:rsidRPr="006D242B">
              <w:rPr>
                <w:rFonts w:ascii="Century Gothic" w:hAnsi="Century Gothic" w:cstheme="minorHAnsi"/>
                <w:color w:val="auto"/>
                <w:sz w:val="20"/>
                <w:szCs w:val="20"/>
              </w:rPr>
              <w:t>činnosti,</w:t>
            </w:r>
          </w:p>
          <w:p w14:paraId="689E8452" w14:textId="63871567" w:rsidR="00E46526" w:rsidRPr="006D242B" w:rsidRDefault="00AB0860" w:rsidP="00AB0860">
            <w:pPr>
              <w:pStyle w:val="Default"/>
              <w:numPr>
                <w:ilvl w:val="0"/>
                <w:numId w:val="21"/>
              </w:numPr>
              <w:ind w:left="306" w:hanging="284"/>
              <w:rPr>
                <w:rFonts w:ascii="Century Gothic" w:hAnsi="Century Gothic" w:cstheme="minorHAnsi"/>
                <w:color w:val="auto"/>
                <w:sz w:val="20"/>
                <w:szCs w:val="20"/>
              </w:rPr>
            </w:pPr>
            <w:r w:rsidRPr="006D242B">
              <w:rPr>
                <w:rFonts w:ascii="Century Gothic" w:hAnsi="Century Gothic" w:cstheme="minorHAnsi"/>
                <w:color w:val="auto"/>
                <w:sz w:val="20"/>
                <w:szCs w:val="20"/>
              </w:rPr>
              <w:t>d</w:t>
            </w:r>
            <w:r w:rsidR="00E46526" w:rsidRPr="006D242B">
              <w:rPr>
                <w:rFonts w:ascii="Century Gothic" w:hAnsi="Century Gothic" w:cstheme="minorHAnsi"/>
                <w:color w:val="auto"/>
                <w:sz w:val="20"/>
                <w:szCs w:val="20"/>
              </w:rPr>
              <w:t>ostatok parkovacích plôch v podzemnom i externom nadzemnom parkovisku</w:t>
            </w:r>
          </w:p>
          <w:p w14:paraId="58EBEFEE" w14:textId="495EFF19" w:rsidR="00E46526" w:rsidRPr="006D242B" w:rsidRDefault="00AB0860" w:rsidP="00AB0860">
            <w:pPr>
              <w:pStyle w:val="Default"/>
              <w:numPr>
                <w:ilvl w:val="0"/>
                <w:numId w:val="21"/>
              </w:numPr>
              <w:ind w:left="306" w:hanging="284"/>
              <w:rPr>
                <w:rFonts w:ascii="Century Gothic" w:hAnsi="Century Gothic" w:cstheme="minorHAnsi"/>
                <w:color w:val="auto"/>
                <w:sz w:val="20"/>
                <w:szCs w:val="20"/>
              </w:rPr>
            </w:pPr>
            <w:r w:rsidRPr="006D242B">
              <w:rPr>
                <w:rFonts w:ascii="Century Gothic" w:hAnsi="Century Gothic" w:cstheme="minorHAnsi"/>
                <w:color w:val="auto"/>
                <w:sz w:val="20"/>
                <w:szCs w:val="20"/>
              </w:rPr>
              <w:t>p</w:t>
            </w:r>
            <w:r w:rsidR="00E46526" w:rsidRPr="006D242B">
              <w:rPr>
                <w:rFonts w:ascii="Century Gothic" w:hAnsi="Century Gothic" w:cstheme="minorHAnsi"/>
                <w:color w:val="auto"/>
                <w:sz w:val="20"/>
                <w:szCs w:val="20"/>
              </w:rPr>
              <w:t>osilnenie jednodňovej medicíny</w:t>
            </w:r>
          </w:p>
          <w:p w14:paraId="6E607292" w14:textId="5D85B589" w:rsidR="00E46526" w:rsidRPr="006D242B" w:rsidRDefault="00AB0860" w:rsidP="00AB0860">
            <w:pPr>
              <w:pStyle w:val="Default"/>
              <w:numPr>
                <w:ilvl w:val="0"/>
                <w:numId w:val="21"/>
              </w:numPr>
              <w:ind w:left="306" w:hanging="284"/>
              <w:rPr>
                <w:rFonts w:ascii="Century Gothic" w:hAnsi="Century Gothic" w:cstheme="minorHAnsi"/>
                <w:color w:val="auto"/>
                <w:sz w:val="20"/>
                <w:szCs w:val="20"/>
              </w:rPr>
            </w:pPr>
            <w:r w:rsidRPr="006D242B">
              <w:rPr>
                <w:rFonts w:ascii="Century Gothic" w:hAnsi="Century Gothic" w:cstheme="minorHAnsi"/>
                <w:color w:val="auto"/>
                <w:sz w:val="20"/>
                <w:szCs w:val="20"/>
              </w:rPr>
              <w:t>m</w:t>
            </w:r>
            <w:r w:rsidR="00E46526" w:rsidRPr="006D242B">
              <w:rPr>
                <w:rFonts w:ascii="Century Gothic" w:hAnsi="Century Gothic" w:cstheme="minorHAnsi"/>
                <w:color w:val="auto"/>
                <w:sz w:val="20"/>
                <w:szCs w:val="20"/>
              </w:rPr>
              <w:t>oderná lekáreň</w:t>
            </w:r>
          </w:p>
          <w:p w14:paraId="0341E1A8" w14:textId="1A3539D2" w:rsidR="00E46526" w:rsidRPr="005A6BE8" w:rsidRDefault="00AB0860" w:rsidP="00AB0860">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 xml:space="preserve">ižšie prevádzkové náklady </w:t>
            </w:r>
          </w:p>
        </w:tc>
        <w:tc>
          <w:tcPr>
            <w:tcW w:w="4531" w:type="dxa"/>
          </w:tcPr>
          <w:p w14:paraId="117A9DA9" w14:textId="7D1421DB" w:rsidR="00E46526" w:rsidRPr="005A6BE8" w:rsidRDefault="00F27803" w:rsidP="00F27803">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lastRenderedPageBreak/>
              <w:t>č</w:t>
            </w:r>
            <w:r w:rsidR="00E46526" w:rsidRPr="005A6BE8">
              <w:rPr>
                <w:rFonts w:ascii="Century Gothic" w:hAnsi="Century Gothic" w:cstheme="minorHAnsi"/>
                <w:color w:val="auto"/>
                <w:sz w:val="20"/>
                <w:szCs w:val="20"/>
              </w:rPr>
              <w:t>asový posun prípravy a realizácie projektu</w:t>
            </w:r>
          </w:p>
          <w:p w14:paraId="27FF15A5" w14:textId="41082391" w:rsidR="00E46526" w:rsidRPr="005A6BE8" w:rsidRDefault="00F27803" w:rsidP="00F27803">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edostatok finančných zdrojov na výstavbu</w:t>
            </w:r>
          </w:p>
          <w:p w14:paraId="7FEE1CBA" w14:textId="00F7A6E6" w:rsidR="00E46526" w:rsidRPr="005A6BE8" w:rsidRDefault="00F27803" w:rsidP="00F27803">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z</w:t>
            </w:r>
            <w:r w:rsidR="00E46526" w:rsidRPr="005A6BE8">
              <w:rPr>
                <w:rFonts w:ascii="Century Gothic" w:hAnsi="Century Gothic" w:cstheme="minorHAnsi"/>
                <w:color w:val="auto"/>
                <w:sz w:val="20"/>
                <w:szCs w:val="20"/>
              </w:rPr>
              <w:t xml:space="preserve">vyšujúce sa náklady na výstavbu a obstaranie zdravotníckych technológií </w:t>
            </w:r>
          </w:p>
          <w:p w14:paraId="6CD0F7D7" w14:textId="787F45EC" w:rsidR="00E46526" w:rsidRDefault="00F27803" w:rsidP="00F27803">
            <w:pPr>
              <w:pStyle w:val="Default"/>
              <w:numPr>
                <w:ilvl w:val="0"/>
                <w:numId w:val="21"/>
              </w:numPr>
              <w:ind w:left="306" w:hanging="284"/>
              <w:rPr>
                <w:rFonts w:ascii="Century Gothic" w:hAnsi="Century Gothic" w:cstheme="minorHAnsi"/>
                <w:color w:val="auto"/>
                <w:sz w:val="20"/>
                <w:szCs w:val="20"/>
              </w:rPr>
            </w:pPr>
            <w:r>
              <w:rPr>
                <w:rFonts w:ascii="Century Gothic" w:hAnsi="Century Gothic" w:cstheme="minorHAnsi"/>
                <w:color w:val="auto"/>
                <w:sz w:val="20"/>
                <w:szCs w:val="20"/>
              </w:rPr>
              <w:t>n</w:t>
            </w:r>
            <w:r w:rsidR="00E46526" w:rsidRPr="005A6BE8">
              <w:rPr>
                <w:rFonts w:ascii="Century Gothic" w:hAnsi="Century Gothic" w:cstheme="minorHAnsi"/>
                <w:color w:val="auto"/>
                <w:sz w:val="20"/>
                <w:szCs w:val="20"/>
              </w:rPr>
              <w:t>edostatok odborníkov v niektorých špecializáciách</w:t>
            </w:r>
          </w:p>
          <w:p w14:paraId="27C0DF14" w14:textId="5E669966" w:rsidR="00E46526" w:rsidRPr="00F27803" w:rsidRDefault="00AB0860" w:rsidP="00F27803">
            <w:pPr>
              <w:pStyle w:val="Default"/>
              <w:numPr>
                <w:ilvl w:val="0"/>
                <w:numId w:val="21"/>
              </w:numPr>
              <w:ind w:left="306" w:hanging="284"/>
              <w:rPr>
                <w:rFonts w:ascii="Century Gothic" w:hAnsi="Century Gothic" w:cstheme="minorHAnsi"/>
                <w:color w:val="auto"/>
                <w:sz w:val="20"/>
                <w:szCs w:val="20"/>
              </w:rPr>
            </w:pPr>
            <w:r w:rsidRPr="00AB0860">
              <w:rPr>
                <w:rFonts w:ascii="Century Gothic" w:hAnsi="Century Gothic" w:cstheme="minorHAnsi"/>
                <w:color w:val="auto"/>
                <w:sz w:val="20"/>
                <w:szCs w:val="20"/>
              </w:rPr>
              <w:t>legislatívne zmeny predstavujúce výrazný nárast v oblasti osobných nákladov, prevádzkových nákladov, nákladov na energie</w:t>
            </w:r>
          </w:p>
          <w:p w14:paraId="2D3AD25E" w14:textId="77777777" w:rsidR="00E46526" w:rsidRPr="005A6BE8" w:rsidRDefault="00E46526" w:rsidP="00E46526">
            <w:pPr>
              <w:pStyle w:val="Default"/>
              <w:ind w:left="22"/>
              <w:rPr>
                <w:rFonts w:ascii="Century Gothic" w:hAnsi="Century Gothic" w:cstheme="minorHAnsi"/>
                <w:color w:val="auto"/>
                <w:sz w:val="20"/>
                <w:szCs w:val="20"/>
              </w:rPr>
            </w:pPr>
          </w:p>
          <w:p w14:paraId="44A51A4B" w14:textId="77777777" w:rsidR="00E46526" w:rsidRPr="005A6BE8" w:rsidRDefault="00E46526" w:rsidP="00E46526">
            <w:pPr>
              <w:pStyle w:val="Default"/>
              <w:rPr>
                <w:rFonts w:ascii="Century Gothic" w:hAnsi="Century Gothic" w:cstheme="minorHAnsi"/>
                <w:color w:val="auto"/>
                <w:sz w:val="20"/>
                <w:szCs w:val="20"/>
              </w:rPr>
            </w:pPr>
          </w:p>
          <w:p w14:paraId="0CEE874A" w14:textId="77777777" w:rsidR="00E46526" w:rsidRPr="005A6BE8" w:rsidRDefault="00E46526" w:rsidP="00E46526">
            <w:pPr>
              <w:jc w:val="left"/>
              <w:rPr>
                <w:rFonts w:ascii="Century Gothic" w:hAnsi="Century Gothic" w:cstheme="minorHAnsi"/>
                <w:sz w:val="20"/>
                <w:szCs w:val="20"/>
              </w:rPr>
            </w:pPr>
          </w:p>
        </w:tc>
      </w:tr>
    </w:tbl>
    <w:p w14:paraId="79BC23A4" w14:textId="77777777" w:rsidR="00646DF3" w:rsidRDefault="00646DF3" w:rsidP="007B7154">
      <w:pPr>
        <w:spacing w:line="240" w:lineRule="auto"/>
        <w:rPr>
          <w:rFonts w:ascii="Century Gothic" w:hAnsi="Century Gothic"/>
        </w:rPr>
      </w:pPr>
    </w:p>
    <w:p w14:paraId="3F698620" w14:textId="77777777" w:rsidR="007B7154" w:rsidRPr="003A5EB0" w:rsidRDefault="007B7154" w:rsidP="003A5EB0">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107" w:name="_Toc145219953"/>
      <w:r w:rsidRPr="003A5EB0">
        <w:rPr>
          <w:rFonts w:ascii="Century Gothic" w:hAnsi="Century Gothic" w:cs="Calibri Light"/>
          <w:b w:val="0"/>
          <w:bCs w:val="0"/>
          <w:color w:val="365F91" w:themeColor="accent1" w:themeShade="BF"/>
          <w:lang w:eastAsia="en-US"/>
        </w:rPr>
        <w:t>Finančno-ekonomická situácia</w:t>
      </w:r>
      <w:bookmarkEnd w:id="107"/>
    </w:p>
    <w:p w14:paraId="722F2935" w14:textId="77777777" w:rsidR="003A5EB0" w:rsidRDefault="003A5EB0" w:rsidP="007B7154">
      <w:pPr>
        <w:spacing w:line="240" w:lineRule="auto"/>
        <w:rPr>
          <w:rFonts w:ascii="Century Gothic" w:hAnsi="Century Gothic" w:cstheme="minorHAnsi"/>
        </w:rPr>
      </w:pPr>
    </w:p>
    <w:p w14:paraId="4E4B520A" w14:textId="237B4F7E" w:rsidR="007B7154" w:rsidRPr="003A5EB0" w:rsidRDefault="007B7154" w:rsidP="007B7154">
      <w:pPr>
        <w:spacing w:line="240" w:lineRule="auto"/>
        <w:rPr>
          <w:rFonts w:ascii="Century Gothic" w:hAnsi="Century Gothic" w:cstheme="minorHAnsi"/>
          <w:sz w:val="22"/>
          <w:szCs w:val="22"/>
        </w:rPr>
      </w:pPr>
      <w:r w:rsidRPr="003A5EB0">
        <w:rPr>
          <w:rFonts w:ascii="Century Gothic" w:hAnsi="Century Gothic" w:cstheme="minorHAnsi"/>
          <w:sz w:val="22"/>
          <w:szCs w:val="22"/>
        </w:rPr>
        <w:t xml:space="preserve">Výnosy </w:t>
      </w:r>
      <w:proofErr w:type="spellStart"/>
      <w:r w:rsidRPr="003A5EB0">
        <w:rPr>
          <w:rFonts w:ascii="Century Gothic" w:hAnsi="Century Gothic" w:cstheme="minorHAnsi"/>
          <w:sz w:val="22"/>
          <w:szCs w:val="22"/>
        </w:rPr>
        <w:t>FNsP</w:t>
      </w:r>
      <w:proofErr w:type="spellEnd"/>
      <w:r w:rsidRPr="003A5EB0">
        <w:rPr>
          <w:rFonts w:ascii="Century Gothic" w:hAnsi="Century Gothic" w:cstheme="minorHAnsi"/>
          <w:sz w:val="22"/>
          <w:szCs w:val="22"/>
        </w:rPr>
        <w:t xml:space="preserve"> Žilina dosiahli za rok 202</w:t>
      </w:r>
      <w:r w:rsidR="00613833">
        <w:rPr>
          <w:rFonts w:ascii="Century Gothic" w:hAnsi="Century Gothic" w:cstheme="minorHAnsi"/>
          <w:sz w:val="22"/>
          <w:szCs w:val="22"/>
        </w:rPr>
        <w:t xml:space="preserve">2 výšku </w:t>
      </w:r>
      <w:r w:rsidR="00FD3570">
        <w:rPr>
          <w:rFonts w:ascii="Century Gothic" w:hAnsi="Century Gothic" w:cstheme="minorHAnsi"/>
          <w:sz w:val="22"/>
          <w:szCs w:val="22"/>
        </w:rPr>
        <w:t>93 279 513</w:t>
      </w:r>
      <w:r w:rsidRPr="003A5EB0">
        <w:rPr>
          <w:rFonts w:ascii="Century Gothic" w:hAnsi="Century Gothic" w:cstheme="minorHAnsi"/>
          <w:sz w:val="22"/>
          <w:szCs w:val="22"/>
        </w:rPr>
        <w:t xml:space="preserve"> </w:t>
      </w:r>
      <w:r w:rsidR="00FD3570">
        <w:rPr>
          <w:rFonts w:ascii="Century Gothic" w:hAnsi="Century Gothic" w:cstheme="minorHAnsi"/>
          <w:sz w:val="22"/>
          <w:szCs w:val="22"/>
        </w:rPr>
        <w:t>Eur</w:t>
      </w:r>
      <w:r w:rsidRPr="003A5EB0">
        <w:rPr>
          <w:rFonts w:ascii="Century Gothic" w:hAnsi="Century Gothic" w:cstheme="minorHAnsi"/>
          <w:sz w:val="22"/>
          <w:szCs w:val="22"/>
        </w:rPr>
        <w:t>, čo pr</w:t>
      </w:r>
      <w:r w:rsidR="00613833">
        <w:rPr>
          <w:rFonts w:ascii="Century Gothic" w:hAnsi="Century Gothic" w:cstheme="minorHAnsi"/>
          <w:sz w:val="22"/>
          <w:szCs w:val="22"/>
        </w:rPr>
        <w:t>edstavuje nárast oproti roku 2021</w:t>
      </w:r>
      <w:r w:rsidRPr="003A5EB0">
        <w:rPr>
          <w:rFonts w:ascii="Century Gothic" w:hAnsi="Century Gothic" w:cstheme="minorHAnsi"/>
          <w:sz w:val="22"/>
          <w:szCs w:val="22"/>
        </w:rPr>
        <w:t xml:space="preserve"> o</w:t>
      </w:r>
      <w:r w:rsidR="00613833">
        <w:rPr>
          <w:rFonts w:ascii="Century Gothic" w:hAnsi="Century Gothic" w:cstheme="minorHAnsi"/>
          <w:sz w:val="22"/>
          <w:szCs w:val="22"/>
        </w:rPr>
        <w:t> </w:t>
      </w:r>
      <w:r w:rsidR="00FD3570">
        <w:rPr>
          <w:rFonts w:ascii="Century Gothic" w:hAnsi="Century Gothic" w:cstheme="minorHAnsi"/>
          <w:sz w:val="22"/>
          <w:szCs w:val="22"/>
        </w:rPr>
        <w:t>6 263 677</w:t>
      </w:r>
      <w:r w:rsidRPr="003A5EB0">
        <w:rPr>
          <w:rFonts w:ascii="Century Gothic" w:hAnsi="Century Gothic" w:cstheme="minorHAnsi"/>
          <w:sz w:val="22"/>
          <w:szCs w:val="22"/>
        </w:rPr>
        <w:t xml:space="preserve"> </w:t>
      </w:r>
      <w:r w:rsidR="00FD3570">
        <w:rPr>
          <w:rFonts w:ascii="Century Gothic" w:hAnsi="Century Gothic" w:cstheme="minorHAnsi"/>
          <w:sz w:val="22"/>
          <w:szCs w:val="22"/>
        </w:rPr>
        <w:t>Eur</w:t>
      </w:r>
      <w:r w:rsidRPr="003A5EB0">
        <w:rPr>
          <w:rFonts w:ascii="Century Gothic" w:hAnsi="Century Gothic" w:cstheme="minorHAnsi"/>
          <w:sz w:val="22"/>
          <w:szCs w:val="22"/>
        </w:rPr>
        <w:t>.</w:t>
      </w:r>
    </w:p>
    <w:p w14:paraId="3A97305C" w14:textId="6E36F61F" w:rsidR="007B7154" w:rsidRPr="003A5EB0" w:rsidRDefault="007B7154" w:rsidP="007B7154">
      <w:pPr>
        <w:pStyle w:val="Default"/>
        <w:jc w:val="both"/>
        <w:rPr>
          <w:rFonts w:ascii="Century Gothic" w:hAnsi="Century Gothic" w:cstheme="minorHAnsi"/>
          <w:color w:val="auto"/>
          <w:sz w:val="22"/>
          <w:szCs w:val="22"/>
        </w:rPr>
      </w:pPr>
      <w:r w:rsidRPr="003A5EB0">
        <w:rPr>
          <w:rFonts w:ascii="Century Gothic" w:hAnsi="Century Gothic" w:cstheme="minorHAnsi"/>
          <w:color w:val="auto"/>
          <w:sz w:val="22"/>
          <w:szCs w:val="22"/>
        </w:rPr>
        <w:t>Celkové nákl</w:t>
      </w:r>
      <w:r w:rsidR="00613833">
        <w:rPr>
          <w:rFonts w:ascii="Century Gothic" w:hAnsi="Century Gothic" w:cstheme="minorHAnsi"/>
          <w:color w:val="auto"/>
          <w:sz w:val="22"/>
          <w:szCs w:val="22"/>
        </w:rPr>
        <w:t>ady dosiahli v roku 202</w:t>
      </w:r>
      <w:r w:rsidR="0048425D">
        <w:rPr>
          <w:rFonts w:ascii="Century Gothic" w:hAnsi="Century Gothic" w:cstheme="minorHAnsi"/>
          <w:color w:val="auto"/>
          <w:sz w:val="22"/>
          <w:szCs w:val="22"/>
        </w:rPr>
        <w:t>2</w:t>
      </w:r>
      <w:r w:rsidR="00613833">
        <w:rPr>
          <w:rFonts w:ascii="Century Gothic" w:hAnsi="Century Gothic" w:cstheme="minorHAnsi"/>
          <w:color w:val="auto"/>
          <w:sz w:val="22"/>
          <w:szCs w:val="22"/>
        </w:rPr>
        <w:t xml:space="preserve"> výšku </w:t>
      </w:r>
      <w:r w:rsidR="00FD3570">
        <w:rPr>
          <w:rFonts w:ascii="Century Gothic" w:hAnsi="Century Gothic" w:cstheme="minorHAnsi"/>
          <w:color w:val="auto"/>
          <w:sz w:val="22"/>
          <w:szCs w:val="22"/>
        </w:rPr>
        <w:t>100</w:t>
      </w:r>
      <w:r w:rsidRPr="003A5EB0">
        <w:rPr>
          <w:rFonts w:ascii="Century Gothic" w:hAnsi="Century Gothic" w:cstheme="minorHAnsi"/>
          <w:color w:val="auto"/>
          <w:sz w:val="22"/>
          <w:szCs w:val="22"/>
        </w:rPr>
        <w:t xml:space="preserve"> </w:t>
      </w:r>
      <w:r w:rsidR="00FD3570">
        <w:rPr>
          <w:rFonts w:ascii="Century Gothic" w:hAnsi="Century Gothic" w:cstheme="minorHAnsi"/>
          <w:color w:val="auto"/>
          <w:sz w:val="22"/>
          <w:szCs w:val="22"/>
        </w:rPr>
        <w:t>463</w:t>
      </w:r>
      <w:r w:rsidRPr="003A5EB0">
        <w:rPr>
          <w:rFonts w:ascii="Century Gothic" w:hAnsi="Century Gothic" w:cstheme="minorHAnsi"/>
          <w:color w:val="auto"/>
          <w:sz w:val="22"/>
          <w:szCs w:val="22"/>
        </w:rPr>
        <w:t xml:space="preserve"> </w:t>
      </w:r>
      <w:r w:rsidR="00FD3570">
        <w:rPr>
          <w:rFonts w:ascii="Century Gothic" w:hAnsi="Century Gothic" w:cstheme="minorHAnsi"/>
          <w:color w:val="auto"/>
          <w:sz w:val="22"/>
          <w:szCs w:val="22"/>
        </w:rPr>
        <w:t>508</w:t>
      </w:r>
      <w:r w:rsidRPr="003A5EB0">
        <w:rPr>
          <w:rFonts w:ascii="Century Gothic" w:hAnsi="Century Gothic" w:cstheme="minorHAnsi"/>
          <w:color w:val="auto"/>
          <w:sz w:val="22"/>
          <w:szCs w:val="22"/>
        </w:rPr>
        <w:t xml:space="preserve"> </w:t>
      </w:r>
      <w:r w:rsidR="00FD3570">
        <w:rPr>
          <w:rFonts w:ascii="Century Gothic" w:hAnsi="Century Gothic" w:cstheme="minorHAnsi"/>
          <w:color w:val="auto"/>
          <w:sz w:val="22"/>
          <w:szCs w:val="22"/>
        </w:rPr>
        <w:t>Eur</w:t>
      </w:r>
      <w:r w:rsidRPr="003A5EB0">
        <w:rPr>
          <w:rFonts w:ascii="Century Gothic" w:hAnsi="Century Gothic" w:cstheme="minorHAnsi"/>
          <w:color w:val="auto"/>
          <w:sz w:val="22"/>
          <w:szCs w:val="22"/>
        </w:rPr>
        <w:t>, čo predstavuje oproti minulému roku nárast o</w:t>
      </w:r>
      <w:r w:rsidR="00FD3570">
        <w:rPr>
          <w:rFonts w:ascii="Century Gothic" w:hAnsi="Century Gothic" w:cstheme="minorHAnsi"/>
          <w:color w:val="auto"/>
          <w:sz w:val="22"/>
          <w:szCs w:val="22"/>
        </w:rPr>
        <w:t> 12 000 007 Eur</w:t>
      </w:r>
      <w:r w:rsidRPr="003A5EB0">
        <w:rPr>
          <w:rFonts w:ascii="Century Gothic" w:hAnsi="Century Gothic" w:cstheme="minorHAnsi"/>
          <w:color w:val="auto"/>
          <w:sz w:val="22"/>
          <w:szCs w:val="22"/>
        </w:rPr>
        <w:t>.</w:t>
      </w:r>
    </w:p>
    <w:p w14:paraId="55271462" w14:textId="77777777" w:rsidR="007B7154" w:rsidRDefault="007B7154" w:rsidP="007B7154">
      <w:pPr>
        <w:spacing w:line="240" w:lineRule="auto"/>
        <w:rPr>
          <w:rFonts w:ascii="Century Gothic" w:hAnsi="Century Gothic" w:cstheme="minorHAnsi"/>
        </w:rPr>
      </w:pPr>
    </w:p>
    <w:p w14:paraId="5745E112" w14:textId="67C0004C" w:rsidR="007B7154" w:rsidRPr="008F554A" w:rsidRDefault="007B7154" w:rsidP="007B7154">
      <w:pPr>
        <w:pStyle w:val="Popis"/>
        <w:spacing w:before="0" w:after="0" w:line="240" w:lineRule="auto"/>
        <w:rPr>
          <w:rFonts w:ascii="Century Gothic" w:hAnsi="Century Gothic" w:cstheme="minorBidi"/>
          <w:b w:val="0"/>
          <w:i/>
        </w:rPr>
      </w:pPr>
      <w:bookmarkStart w:id="108" w:name="_Toc145219925"/>
      <w:r w:rsidRPr="008F554A">
        <w:rPr>
          <w:rFonts w:ascii="Century Gothic" w:hAnsi="Century Gothic" w:cstheme="minorBidi"/>
          <w:b w:val="0"/>
          <w:i/>
        </w:rPr>
        <w:t xml:space="preserve">Tabuľka </w:t>
      </w:r>
      <w:r w:rsidRPr="008F554A">
        <w:rPr>
          <w:rFonts w:ascii="Century Gothic" w:hAnsi="Century Gothic" w:cstheme="minorBidi"/>
          <w:b w:val="0"/>
          <w:i/>
        </w:rPr>
        <w:fldChar w:fldCharType="begin"/>
      </w:r>
      <w:r w:rsidRPr="008F554A">
        <w:rPr>
          <w:rFonts w:ascii="Century Gothic" w:hAnsi="Century Gothic" w:cstheme="minorBidi"/>
          <w:b w:val="0"/>
          <w:i/>
        </w:rPr>
        <w:instrText xml:space="preserve"> SEQ Tabuľka \* ARABIC </w:instrText>
      </w:r>
      <w:r w:rsidRPr="008F554A">
        <w:rPr>
          <w:rFonts w:ascii="Century Gothic" w:hAnsi="Century Gothic" w:cstheme="minorBidi"/>
          <w:b w:val="0"/>
          <w:i/>
        </w:rPr>
        <w:fldChar w:fldCharType="separate"/>
      </w:r>
      <w:r w:rsidR="007D6A44">
        <w:rPr>
          <w:rFonts w:ascii="Century Gothic" w:hAnsi="Century Gothic" w:cstheme="minorBidi"/>
          <w:b w:val="0"/>
          <w:i/>
          <w:noProof/>
        </w:rPr>
        <w:t>24</w:t>
      </w:r>
      <w:r w:rsidRPr="008F554A">
        <w:rPr>
          <w:rFonts w:ascii="Century Gothic" w:hAnsi="Century Gothic" w:cstheme="minorBidi"/>
          <w:b w:val="0"/>
          <w:i/>
        </w:rPr>
        <w:fldChar w:fldCharType="end"/>
      </w:r>
      <w:r w:rsidRPr="008F554A">
        <w:rPr>
          <w:rFonts w:ascii="Century Gothic" w:hAnsi="Century Gothic" w:cstheme="minorBidi"/>
          <w:b w:val="0"/>
          <w:i/>
        </w:rPr>
        <w:t xml:space="preserve"> Hospodárenie </w:t>
      </w:r>
      <w:proofErr w:type="spellStart"/>
      <w:r w:rsidRPr="008F554A">
        <w:rPr>
          <w:rFonts w:ascii="Century Gothic" w:hAnsi="Century Gothic" w:cstheme="minorBidi"/>
          <w:b w:val="0"/>
          <w:i/>
        </w:rPr>
        <w:t>FNsP</w:t>
      </w:r>
      <w:proofErr w:type="spellEnd"/>
      <w:r w:rsidRPr="008F554A">
        <w:rPr>
          <w:rFonts w:ascii="Century Gothic" w:hAnsi="Century Gothic" w:cstheme="minorBidi"/>
          <w:b w:val="0"/>
          <w:i/>
        </w:rPr>
        <w:t xml:space="preserve"> Žilina v období 2016 – 202</w:t>
      </w:r>
      <w:r w:rsidR="00613833">
        <w:rPr>
          <w:rFonts w:ascii="Century Gothic" w:hAnsi="Century Gothic" w:cstheme="minorBidi"/>
          <w:b w:val="0"/>
          <w:i/>
        </w:rPr>
        <w:t>2</w:t>
      </w:r>
      <w:bookmarkEnd w:id="108"/>
    </w:p>
    <w:p w14:paraId="42A4460E" w14:textId="7F9F5929" w:rsidR="00415564" w:rsidRDefault="00415564" w:rsidP="00613833">
      <w:pPr>
        <w:spacing w:line="240" w:lineRule="auto"/>
        <w:ind w:left="-284"/>
        <w:rPr>
          <w:lang w:eastAsia="cs-CZ"/>
        </w:rPr>
      </w:pPr>
      <w:r w:rsidRPr="00415564">
        <w:rPr>
          <w:noProof/>
        </w:rPr>
        <w:drawing>
          <wp:inline distT="0" distB="0" distL="0" distR="0" wp14:anchorId="1F2C70F5" wp14:editId="7FB8F05B">
            <wp:extent cx="5867641" cy="783771"/>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82063" cy="785697"/>
                    </a:xfrm>
                    <a:prstGeom prst="rect">
                      <a:avLst/>
                    </a:prstGeom>
                    <a:noFill/>
                    <a:ln>
                      <a:noFill/>
                    </a:ln>
                  </pic:spPr>
                </pic:pic>
              </a:graphicData>
            </a:graphic>
          </wp:inline>
        </w:drawing>
      </w:r>
    </w:p>
    <w:p w14:paraId="3CAEA6F3" w14:textId="7E986383" w:rsidR="007B7154" w:rsidRPr="006B1505" w:rsidRDefault="007B7154" w:rsidP="007B715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Pr>
          <w:rFonts w:ascii="Century Gothic" w:hAnsi="Century Gothic" w:cstheme="minorHAnsi"/>
          <w:b w:val="0"/>
          <w:i/>
          <w:sz w:val="18"/>
          <w:szCs w:val="18"/>
        </w:rPr>
        <w:t xml:space="preserve">Správa o činnosti a finančnom hospodárení </w:t>
      </w:r>
      <w:proofErr w:type="spellStart"/>
      <w:r>
        <w:rPr>
          <w:rFonts w:ascii="Century Gothic" w:hAnsi="Century Gothic" w:cstheme="minorHAnsi"/>
          <w:b w:val="0"/>
          <w:i/>
          <w:sz w:val="18"/>
          <w:szCs w:val="18"/>
        </w:rPr>
        <w:t>FNsP</w:t>
      </w:r>
      <w:proofErr w:type="spellEnd"/>
      <w:r>
        <w:rPr>
          <w:rFonts w:ascii="Century Gothic" w:hAnsi="Century Gothic" w:cstheme="minorHAnsi"/>
          <w:b w:val="0"/>
          <w:i/>
          <w:sz w:val="18"/>
          <w:szCs w:val="18"/>
        </w:rPr>
        <w:t xml:space="preserve"> Žilina, Účtovné závierky za rok 2016, 2017, 2018, 2019, 2020, 2021</w:t>
      </w:r>
      <w:r w:rsidR="00613833">
        <w:rPr>
          <w:rFonts w:ascii="Century Gothic" w:hAnsi="Century Gothic" w:cstheme="minorHAnsi"/>
          <w:b w:val="0"/>
          <w:i/>
          <w:sz w:val="18"/>
          <w:szCs w:val="18"/>
        </w:rPr>
        <w:t>, 2022</w:t>
      </w:r>
    </w:p>
    <w:p w14:paraId="13479BEF" w14:textId="1E6EDD5C" w:rsidR="007B7154" w:rsidRDefault="007B7154" w:rsidP="007B7154">
      <w:pPr>
        <w:spacing w:line="240" w:lineRule="auto"/>
        <w:rPr>
          <w:rFonts w:ascii="Century Gothic" w:hAnsi="Century Gothic" w:cstheme="minorHAnsi"/>
        </w:rPr>
      </w:pPr>
    </w:p>
    <w:p w14:paraId="3D35E9A1" w14:textId="313E4263" w:rsidR="007B7154" w:rsidRPr="008F554A" w:rsidRDefault="007B7154" w:rsidP="007B7154">
      <w:pPr>
        <w:pStyle w:val="Popis"/>
        <w:spacing w:before="0" w:after="0" w:line="240" w:lineRule="auto"/>
        <w:rPr>
          <w:rFonts w:ascii="Century Gothic" w:hAnsi="Century Gothic" w:cstheme="minorBidi"/>
          <w:b w:val="0"/>
          <w:i/>
        </w:rPr>
      </w:pPr>
      <w:bookmarkStart w:id="109" w:name="_Toc145219926"/>
      <w:r w:rsidRPr="008F554A">
        <w:rPr>
          <w:rFonts w:ascii="Century Gothic" w:hAnsi="Century Gothic" w:cstheme="minorBidi"/>
          <w:b w:val="0"/>
          <w:i/>
        </w:rPr>
        <w:t xml:space="preserve">Tabuľka </w:t>
      </w:r>
      <w:r w:rsidRPr="008F554A">
        <w:rPr>
          <w:rFonts w:ascii="Century Gothic" w:hAnsi="Century Gothic" w:cstheme="minorBidi"/>
          <w:b w:val="0"/>
          <w:i/>
        </w:rPr>
        <w:fldChar w:fldCharType="begin"/>
      </w:r>
      <w:r w:rsidRPr="008F554A">
        <w:rPr>
          <w:rFonts w:ascii="Century Gothic" w:hAnsi="Century Gothic" w:cstheme="minorBidi"/>
          <w:b w:val="0"/>
          <w:i/>
        </w:rPr>
        <w:instrText xml:space="preserve"> SEQ Tabuľka \* ARABIC </w:instrText>
      </w:r>
      <w:r w:rsidRPr="008F554A">
        <w:rPr>
          <w:rFonts w:ascii="Century Gothic" w:hAnsi="Century Gothic" w:cstheme="minorBidi"/>
          <w:b w:val="0"/>
          <w:i/>
        </w:rPr>
        <w:fldChar w:fldCharType="separate"/>
      </w:r>
      <w:r w:rsidR="007D6A44">
        <w:rPr>
          <w:rFonts w:ascii="Century Gothic" w:hAnsi="Century Gothic" w:cstheme="minorBidi"/>
          <w:b w:val="0"/>
          <w:i/>
          <w:noProof/>
        </w:rPr>
        <w:t>25</w:t>
      </w:r>
      <w:r w:rsidRPr="008F554A">
        <w:rPr>
          <w:rFonts w:ascii="Century Gothic" w:hAnsi="Century Gothic" w:cstheme="minorBidi"/>
          <w:b w:val="0"/>
          <w:i/>
        </w:rPr>
        <w:fldChar w:fldCharType="end"/>
      </w:r>
      <w:r w:rsidRPr="008F554A">
        <w:rPr>
          <w:rFonts w:ascii="Century Gothic" w:hAnsi="Century Gothic" w:cstheme="minorBidi"/>
          <w:b w:val="0"/>
          <w:i/>
        </w:rPr>
        <w:t xml:space="preserve"> Výnosy a náklady </w:t>
      </w:r>
      <w:proofErr w:type="spellStart"/>
      <w:r w:rsidRPr="008F554A">
        <w:rPr>
          <w:rFonts w:ascii="Century Gothic" w:hAnsi="Century Gothic" w:cstheme="minorBidi"/>
          <w:b w:val="0"/>
          <w:i/>
        </w:rPr>
        <w:t>FNsP</w:t>
      </w:r>
      <w:proofErr w:type="spellEnd"/>
      <w:r w:rsidRPr="008F554A">
        <w:rPr>
          <w:rFonts w:ascii="Century Gothic" w:hAnsi="Century Gothic" w:cstheme="minorBidi"/>
          <w:b w:val="0"/>
          <w:i/>
        </w:rPr>
        <w:t xml:space="preserve"> Žilina v období 2016 – 202</w:t>
      </w:r>
      <w:r w:rsidR="009F35BD">
        <w:rPr>
          <w:rFonts w:ascii="Century Gothic" w:hAnsi="Century Gothic" w:cstheme="minorBidi"/>
          <w:b w:val="0"/>
          <w:i/>
        </w:rPr>
        <w:t>2</w:t>
      </w:r>
      <w:bookmarkEnd w:id="109"/>
    </w:p>
    <w:p w14:paraId="6DFE796B" w14:textId="524E11C2" w:rsidR="00613833" w:rsidRDefault="00613833" w:rsidP="00613833">
      <w:pPr>
        <w:pStyle w:val="Popis"/>
        <w:spacing w:before="0" w:after="0" w:line="240" w:lineRule="auto"/>
        <w:ind w:left="-284"/>
        <w:rPr>
          <w:rFonts w:ascii="Century Gothic" w:hAnsi="Century Gothic" w:cstheme="minorHAnsi"/>
          <w:b w:val="0"/>
          <w:i/>
          <w:sz w:val="18"/>
          <w:szCs w:val="18"/>
        </w:rPr>
      </w:pPr>
      <w:r w:rsidRPr="00613833">
        <w:rPr>
          <w:noProof/>
          <w:lang w:eastAsia="sk-SK"/>
        </w:rPr>
        <w:drawing>
          <wp:inline distT="0" distB="0" distL="0" distR="0" wp14:anchorId="0E032054" wp14:editId="740D4B4F">
            <wp:extent cx="5966592" cy="2655736"/>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83209" cy="2663132"/>
                    </a:xfrm>
                    <a:prstGeom prst="rect">
                      <a:avLst/>
                    </a:prstGeom>
                    <a:noFill/>
                    <a:ln>
                      <a:noFill/>
                    </a:ln>
                  </pic:spPr>
                </pic:pic>
              </a:graphicData>
            </a:graphic>
          </wp:inline>
        </w:drawing>
      </w:r>
    </w:p>
    <w:p w14:paraId="278190C0" w14:textId="7DA99678" w:rsidR="007B7154" w:rsidRPr="006B1505" w:rsidRDefault="007B7154" w:rsidP="007B715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Pr>
          <w:rFonts w:ascii="Century Gothic" w:hAnsi="Century Gothic" w:cstheme="minorHAnsi"/>
          <w:b w:val="0"/>
          <w:i/>
          <w:sz w:val="18"/>
          <w:szCs w:val="18"/>
        </w:rPr>
        <w:t xml:space="preserve">Správa o činnosti a finančnom hospodárení </w:t>
      </w:r>
      <w:proofErr w:type="spellStart"/>
      <w:r>
        <w:rPr>
          <w:rFonts w:ascii="Century Gothic" w:hAnsi="Century Gothic" w:cstheme="minorHAnsi"/>
          <w:b w:val="0"/>
          <w:i/>
          <w:sz w:val="18"/>
          <w:szCs w:val="18"/>
        </w:rPr>
        <w:t>FNsP</w:t>
      </w:r>
      <w:proofErr w:type="spellEnd"/>
      <w:r>
        <w:rPr>
          <w:rFonts w:ascii="Century Gothic" w:hAnsi="Century Gothic" w:cstheme="minorHAnsi"/>
          <w:b w:val="0"/>
          <w:i/>
          <w:sz w:val="18"/>
          <w:szCs w:val="18"/>
        </w:rPr>
        <w:t xml:space="preserve"> Žilina, Účtovné závierky za rok 2016, 2017, 2018, 2019, 2020, 2021</w:t>
      </w:r>
      <w:r w:rsidR="00613833">
        <w:rPr>
          <w:rFonts w:ascii="Century Gothic" w:hAnsi="Century Gothic" w:cstheme="minorHAnsi"/>
          <w:b w:val="0"/>
          <w:i/>
          <w:sz w:val="18"/>
          <w:szCs w:val="18"/>
        </w:rPr>
        <w:t>, 2022</w:t>
      </w:r>
    </w:p>
    <w:p w14:paraId="309AE088" w14:textId="77777777" w:rsidR="007B7154" w:rsidRPr="00D53B34" w:rsidRDefault="007B7154" w:rsidP="007B7154">
      <w:pPr>
        <w:spacing w:line="240" w:lineRule="auto"/>
        <w:rPr>
          <w:rFonts w:cstheme="minorHAnsi"/>
          <w:i/>
          <w:iCs/>
          <w:sz w:val="18"/>
          <w:szCs w:val="18"/>
          <w:highlight w:val="yellow"/>
        </w:rPr>
      </w:pPr>
    </w:p>
    <w:p w14:paraId="40A47F86" w14:textId="2A346E2C" w:rsidR="007B7154" w:rsidRPr="00646DF3" w:rsidRDefault="007B7154" w:rsidP="007B7154">
      <w:pPr>
        <w:pStyle w:val="Default"/>
        <w:jc w:val="both"/>
        <w:rPr>
          <w:rFonts w:ascii="Century Gothic" w:hAnsi="Century Gothic" w:cstheme="minorHAnsi"/>
          <w:color w:val="auto"/>
          <w:sz w:val="22"/>
          <w:szCs w:val="22"/>
        </w:rPr>
      </w:pPr>
      <w:r w:rsidRPr="00646DF3">
        <w:rPr>
          <w:rFonts w:ascii="Century Gothic" w:hAnsi="Century Gothic" w:cstheme="minorHAnsi"/>
          <w:color w:val="auto"/>
          <w:sz w:val="22"/>
          <w:szCs w:val="22"/>
        </w:rPr>
        <w:t xml:space="preserve">Majetok </w:t>
      </w:r>
      <w:proofErr w:type="spellStart"/>
      <w:r w:rsidRPr="00646DF3">
        <w:rPr>
          <w:rFonts w:ascii="Century Gothic" w:hAnsi="Century Gothic" w:cstheme="minorHAnsi"/>
          <w:color w:val="auto"/>
          <w:sz w:val="22"/>
          <w:szCs w:val="22"/>
        </w:rPr>
        <w:t>FNsP</w:t>
      </w:r>
      <w:proofErr w:type="spellEnd"/>
      <w:r w:rsidRPr="00646DF3">
        <w:rPr>
          <w:rFonts w:ascii="Century Gothic" w:hAnsi="Century Gothic" w:cstheme="minorHAnsi"/>
          <w:color w:val="auto"/>
          <w:sz w:val="22"/>
          <w:szCs w:val="22"/>
        </w:rPr>
        <w:t xml:space="preserve"> Žilina bol k 31.12.202</w:t>
      </w:r>
      <w:r w:rsidR="00613833" w:rsidRPr="00646DF3">
        <w:rPr>
          <w:rFonts w:ascii="Century Gothic" w:hAnsi="Century Gothic" w:cstheme="minorHAnsi"/>
          <w:color w:val="auto"/>
          <w:sz w:val="22"/>
          <w:szCs w:val="22"/>
        </w:rPr>
        <w:t>2</w:t>
      </w:r>
      <w:r w:rsidRPr="00646DF3">
        <w:rPr>
          <w:rFonts w:ascii="Century Gothic" w:hAnsi="Century Gothic" w:cstheme="minorHAnsi"/>
          <w:color w:val="auto"/>
          <w:sz w:val="22"/>
          <w:szCs w:val="22"/>
        </w:rPr>
        <w:t xml:space="preserve"> </w:t>
      </w:r>
      <w:r w:rsidR="00646DF3" w:rsidRPr="00646DF3">
        <w:rPr>
          <w:rFonts w:ascii="Century Gothic" w:hAnsi="Century Gothic" w:cstheme="minorHAnsi"/>
          <w:color w:val="auto"/>
          <w:sz w:val="22"/>
          <w:szCs w:val="22"/>
        </w:rPr>
        <w:t xml:space="preserve">51 087 484,62 </w:t>
      </w:r>
      <w:r w:rsidRPr="00646DF3">
        <w:rPr>
          <w:rFonts w:ascii="Century Gothic" w:hAnsi="Century Gothic" w:cstheme="minorHAnsi"/>
          <w:color w:val="auto"/>
          <w:sz w:val="22"/>
          <w:szCs w:val="22"/>
        </w:rPr>
        <w:t xml:space="preserve">EUR. </w:t>
      </w:r>
    </w:p>
    <w:p w14:paraId="01BD016A" w14:textId="47D7777C" w:rsidR="007B7154" w:rsidRPr="00412499" w:rsidRDefault="007B7154" w:rsidP="007B7154">
      <w:pPr>
        <w:pStyle w:val="Default"/>
        <w:jc w:val="both"/>
        <w:rPr>
          <w:rFonts w:ascii="Century Gothic" w:hAnsi="Century Gothic" w:cstheme="minorHAnsi"/>
          <w:color w:val="auto"/>
          <w:sz w:val="22"/>
          <w:szCs w:val="22"/>
        </w:rPr>
      </w:pPr>
      <w:proofErr w:type="spellStart"/>
      <w:r w:rsidRPr="00646DF3">
        <w:rPr>
          <w:rFonts w:ascii="Century Gothic" w:hAnsi="Century Gothic" w:cstheme="minorHAnsi"/>
          <w:color w:val="auto"/>
          <w:sz w:val="22"/>
          <w:szCs w:val="22"/>
        </w:rPr>
        <w:lastRenderedPageBreak/>
        <w:t>FNsP</w:t>
      </w:r>
      <w:proofErr w:type="spellEnd"/>
      <w:r w:rsidRPr="00646DF3">
        <w:rPr>
          <w:rFonts w:ascii="Century Gothic" w:hAnsi="Century Gothic" w:cstheme="minorHAnsi"/>
          <w:color w:val="auto"/>
          <w:sz w:val="22"/>
          <w:szCs w:val="22"/>
        </w:rPr>
        <w:t xml:space="preserve"> Žilina eviduje k 31.12.202</w:t>
      </w:r>
      <w:r w:rsidR="0048425D">
        <w:rPr>
          <w:rFonts w:ascii="Century Gothic" w:hAnsi="Century Gothic" w:cstheme="minorHAnsi"/>
          <w:color w:val="auto"/>
          <w:sz w:val="22"/>
          <w:szCs w:val="22"/>
        </w:rPr>
        <w:t>2</w:t>
      </w:r>
      <w:r w:rsidRPr="00646DF3">
        <w:rPr>
          <w:rFonts w:ascii="Century Gothic" w:hAnsi="Century Gothic" w:cstheme="minorHAnsi"/>
          <w:color w:val="auto"/>
          <w:sz w:val="22"/>
          <w:szCs w:val="22"/>
        </w:rPr>
        <w:t xml:space="preserve"> krátkodobé pohľadávky vo výške </w:t>
      </w:r>
      <w:r w:rsidR="00613833" w:rsidRPr="00646DF3">
        <w:rPr>
          <w:rFonts w:ascii="Century Gothic" w:hAnsi="Century Gothic" w:cstheme="minorHAnsi"/>
          <w:color w:val="auto"/>
          <w:sz w:val="22"/>
          <w:szCs w:val="22"/>
        </w:rPr>
        <w:t xml:space="preserve">12 187 323,71 </w:t>
      </w:r>
      <w:r w:rsidRPr="00646DF3">
        <w:rPr>
          <w:rFonts w:ascii="Century Gothic" w:hAnsi="Century Gothic" w:cstheme="minorHAnsi"/>
          <w:color w:val="auto"/>
          <w:sz w:val="22"/>
          <w:szCs w:val="22"/>
        </w:rPr>
        <w:t xml:space="preserve">EUR a záväzky vo výške </w:t>
      </w:r>
      <w:r w:rsidR="00646DF3" w:rsidRPr="00646DF3">
        <w:rPr>
          <w:rFonts w:ascii="Century Gothic" w:hAnsi="Century Gothic" w:cstheme="minorHAnsi"/>
          <w:color w:val="auto"/>
          <w:sz w:val="22"/>
          <w:szCs w:val="22"/>
        </w:rPr>
        <w:t xml:space="preserve">47 628 022,38 </w:t>
      </w:r>
      <w:r w:rsidRPr="00646DF3">
        <w:rPr>
          <w:rFonts w:ascii="Century Gothic" w:hAnsi="Century Gothic" w:cstheme="minorHAnsi"/>
          <w:color w:val="auto"/>
          <w:sz w:val="22"/>
          <w:szCs w:val="22"/>
        </w:rPr>
        <w:t>EUR.</w:t>
      </w:r>
      <w:r w:rsidRPr="00412499">
        <w:rPr>
          <w:rFonts w:ascii="Century Gothic" w:hAnsi="Century Gothic" w:cstheme="minorHAnsi"/>
          <w:color w:val="auto"/>
          <w:sz w:val="22"/>
          <w:szCs w:val="22"/>
        </w:rPr>
        <w:t xml:space="preserve">  </w:t>
      </w:r>
    </w:p>
    <w:p w14:paraId="4AEBE8CB" w14:textId="47C19C68" w:rsidR="007B7154" w:rsidRDefault="007B7154" w:rsidP="007B7154">
      <w:pPr>
        <w:pStyle w:val="Popis"/>
        <w:spacing w:before="0" w:after="0" w:line="240" w:lineRule="auto"/>
        <w:rPr>
          <w:rFonts w:ascii="Century Gothic" w:hAnsi="Century Gothic" w:cstheme="minorBidi"/>
          <w:b w:val="0"/>
        </w:rPr>
      </w:pPr>
      <w:bookmarkStart w:id="110" w:name="_Toc112994152"/>
    </w:p>
    <w:p w14:paraId="7B29DBEC" w14:textId="65B55372" w:rsidR="007B7154" w:rsidRPr="008F554A" w:rsidRDefault="007B7154" w:rsidP="007B7154">
      <w:pPr>
        <w:pStyle w:val="Popis"/>
        <w:spacing w:before="0" w:after="0" w:line="240" w:lineRule="auto"/>
        <w:rPr>
          <w:rFonts w:ascii="Century Gothic" w:hAnsi="Century Gothic" w:cstheme="minorBidi"/>
          <w:b w:val="0"/>
          <w:i/>
        </w:rPr>
      </w:pPr>
      <w:bookmarkStart w:id="111" w:name="_Toc112994154"/>
      <w:bookmarkStart w:id="112" w:name="_Toc145219927"/>
      <w:r w:rsidRPr="008F554A">
        <w:rPr>
          <w:rFonts w:ascii="Century Gothic" w:hAnsi="Century Gothic" w:cstheme="minorBidi"/>
          <w:b w:val="0"/>
          <w:i/>
        </w:rPr>
        <w:t xml:space="preserve">Tabuľka </w:t>
      </w:r>
      <w:r w:rsidRPr="008F554A">
        <w:rPr>
          <w:rFonts w:ascii="Century Gothic" w:hAnsi="Century Gothic" w:cstheme="minorBidi"/>
          <w:b w:val="0"/>
          <w:i/>
        </w:rPr>
        <w:fldChar w:fldCharType="begin"/>
      </w:r>
      <w:r w:rsidRPr="008F554A">
        <w:rPr>
          <w:rFonts w:ascii="Century Gothic" w:hAnsi="Century Gothic" w:cstheme="minorBidi"/>
          <w:b w:val="0"/>
          <w:i/>
        </w:rPr>
        <w:instrText xml:space="preserve"> SEQ Tabuľka \* ARABIC </w:instrText>
      </w:r>
      <w:r w:rsidRPr="008F554A">
        <w:rPr>
          <w:rFonts w:ascii="Century Gothic" w:hAnsi="Century Gothic" w:cstheme="minorBidi"/>
          <w:b w:val="0"/>
          <w:i/>
        </w:rPr>
        <w:fldChar w:fldCharType="separate"/>
      </w:r>
      <w:r w:rsidR="007D6A44">
        <w:rPr>
          <w:rFonts w:ascii="Century Gothic" w:hAnsi="Century Gothic" w:cstheme="minorBidi"/>
          <w:b w:val="0"/>
          <w:i/>
          <w:noProof/>
        </w:rPr>
        <w:t>26</w:t>
      </w:r>
      <w:r w:rsidRPr="008F554A">
        <w:rPr>
          <w:rFonts w:ascii="Century Gothic" w:hAnsi="Century Gothic" w:cstheme="minorBidi"/>
          <w:b w:val="0"/>
          <w:i/>
        </w:rPr>
        <w:fldChar w:fldCharType="end"/>
      </w:r>
      <w:r w:rsidRPr="008F554A">
        <w:rPr>
          <w:rFonts w:ascii="Century Gothic" w:hAnsi="Century Gothic" w:cstheme="minorBidi"/>
          <w:b w:val="0"/>
          <w:i/>
        </w:rPr>
        <w:t xml:space="preserve"> Súvaha </w:t>
      </w:r>
      <w:proofErr w:type="spellStart"/>
      <w:r w:rsidRPr="008F554A">
        <w:rPr>
          <w:rFonts w:ascii="Century Gothic" w:hAnsi="Century Gothic" w:cstheme="minorBidi"/>
          <w:b w:val="0"/>
          <w:i/>
        </w:rPr>
        <w:t>FNsP</w:t>
      </w:r>
      <w:proofErr w:type="spellEnd"/>
      <w:r w:rsidRPr="008F554A">
        <w:rPr>
          <w:rFonts w:ascii="Century Gothic" w:hAnsi="Century Gothic" w:cstheme="minorBidi"/>
          <w:b w:val="0"/>
          <w:i/>
        </w:rPr>
        <w:t xml:space="preserve"> </w:t>
      </w:r>
      <w:r w:rsidR="003036CC" w:rsidRPr="008F554A">
        <w:rPr>
          <w:rFonts w:ascii="Century Gothic" w:hAnsi="Century Gothic" w:cstheme="minorBidi"/>
          <w:b w:val="0"/>
          <w:i/>
        </w:rPr>
        <w:t>Žilina</w:t>
      </w:r>
      <w:r w:rsidRPr="008F554A">
        <w:rPr>
          <w:rFonts w:ascii="Century Gothic" w:hAnsi="Century Gothic" w:cstheme="minorBidi"/>
          <w:b w:val="0"/>
          <w:i/>
        </w:rPr>
        <w:t xml:space="preserve">  v období 2016 – 202</w:t>
      </w:r>
      <w:bookmarkEnd w:id="111"/>
      <w:r w:rsidR="00613833">
        <w:rPr>
          <w:rFonts w:ascii="Century Gothic" w:hAnsi="Century Gothic" w:cstheme="minorBidi"/>
          <w:b w:val="0"/>
          <w:i/>
        </w:rPr>
        <w:t>2</w:t>
      </w:r>
      <w:bookmarkEnd w:id="112"/>
    </w:p>
    <w:p w14:paraId="680A380A" w14:textId="0A976203" w:rsidR="00613833" w:rsidRDefault="00613833" w:rsidP="00613833">
      <w:pPr>
        <w:pStyle w:val="Popis"/>
        <w:spacing w:before="0" w:after="0" w:line="240" w:lineRule="auto"/>
        <w:ind w:left="-426"/>
        <w:rPr>
          <w:rFonts w:ascii="Century Gothic" w:hAnsi="Century Gothic" w:cstheme="minorHAnsi"/>
          <w:b w:val="0"/>
          <w:i/>
          <w:sz w:val="18"/>
          <w:szCs w:val="18"/>
        </w:rPr>
      </w:pPr>
      <w:bookmarkStart w:id="113" w:name="_Toc112994155"/>
      <w:bookmarkEnd w:id="110"/>
      <w:r w:rsidRPr="00613833">
        <w:rPr>
          <w:noProof/>
          <w:lang w:eastAsia="sk-SK"/>
        </w:rPr>
        <w:drawing>
          <wp:inline distT="0" distB="0" distL="0" distR="0" wp14:anchorId="363EDCDF" wp14:editId="2F07B0B5">
            <wp:extent cx="6203859" cy="2266950"/>
            <wp:effectExtent l="0" t="0" r="698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12816" cy="2270223"/>
                    </a:xfrm>
                    <a:prstGeom prst="rect">
                      <a:avLst/>
                    </a:prstGeom>
                    <a:noFill/>
                    <a:ln>
                      <a:noFill/>
                    </a:ln>
                  </pic:spPr>
                </pic:pic>
              </a:graphicData>
            </a:graphic>
          </wp:inline>
        </w:drawing>
      </w:r>
    </w:p>
    <w:p w14:paraId="2B0DCE7D" w14:textId="3BFCB074" w:rsidR="007B7154" w:rsidRPr="006B1505" w:rsidRDefault="007B7154" w:rsidP="007B7154">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Pr>
          <w:rFonts w:ascii="Century Gothic" w:hAnsi="Century Gothic" w:cstheme="minorHAnsi"/>
          <w:b w:val="0"/>
          <w:i/>
          <w:sz w:val="18"/>
          <w:szCs w:val="18"/>
        </w:rPr>
        <w:t xml:space="preserve">Správa o činnosti a finančnom hospodárení </w:t>
      </w:r>
      <w:proofErr w:type="spellStart"/>
      <w:r>
        <w:rPr>
          <w:rFonts w:ascii="Century Gothic" w:hAnsi="Century Gothic" w:cstheme="minorHAnsi"/>
          <w:b w:val="0"/>
          <w:i/>
          <w:sz w:val="18"/>
          <w:szCs w:val="18"/>
        </w:rPr>
        <w:t>FNsP</w:t>
      </w:r>
      <w:proofErr w:type="spellEnd"/>
      <w:r>
        <w:rPr>
          <w:rFonts w:ascii="Century Gothic" w:hAnsi="Century Gothic" w:cstheme="minorHAnsi"/>
          <w:b w:val="0"/>
          <w:i/>
          <w:sz w:val="18"/>
          <w:szCs w:val="18"/>
        </w:rPr>
        <w:t xml:space="preserve"> Žilina, Účtovné závierky za rok 2016, 2017, 2018, 2019, 2020, 2021</w:t>
      </w:r>
      <w:r w:rsidR="00613833">
        <w:rPr>
          <w:rFonts w:ascii="Century Gothic" w:hAnsi="Century Gothic" w:cstheme="minorHAnsi"/>
          <w:b w:val="0"/>
          <w:i/>
          <w:sz w:val="18"/>
          <w:szCs w:val="18"/>
        </w:rPr>
        <w:t>, 2022</w:t>
      </w:r>
    </w:p>
    <w:p w14:paraId="4BB75465" w14:textId="77777777" w:rsidR="007B7154" w:rsidRPr="000F306B" w:rsidRDefault="007B7154" w:rsidP="007B7154">
      <w:pPr>
        <w:pStyle w:val="Popis"/>
        <w:spacing w:before="0" w:after="0" w:line="240" w:lineRule="auto"/>
        <w:rPr>
          <w:rFonts w:ascii="Century Gothic" w:hAnsi="Century Gothic" w:cstheme="minorBidi"/>
          <w:b w:val="0"/>
          <w:sz w:val="22"/>
          <w:szCs w:val="22"/>
        </w:rPr>
      </w:pPr>
    </w:p>
    <w:p w14:paraId="532D8F5E" w14:textId="533E8181" w:rsidR="007B7154" w:rsidRPr="008F554A" w:rsidRDefault="007B7154" w:rsidP="008F554A">
      <w:pPr>
        <w:pStyle w:val="Popis"/>
        <w:spacing w:before="0" w:after="0" w:line="240" w:lineRule="auto"/>
        <w:rPr>
          <w:rFonts w:ascii="Century Gothic" w:hAnsi="Century Gothic" w:cstheme="minorBidi"/>
          <w:b w:val="0"/>
          <w:i/>
        </w:rPr>
      </w:pPr>
      <w:bookmarkStart w:id="114" w:name="_Toc145219928"/>
      <w:r w:rsidRPr="008F554A">
        <w:rPr>
          <w:rFonts w:ascii="Century Gothic" w:hAnsi="Century Gothic" w:cstheme="minorBidi"/>
          <w:b w:val="0"/>
          <w:i/>
        </w:rPr>
        <w:t xml:space="preserve">Tabuľka </w:t>
      </w:r>
      <w:r w:rsidRPr="008F554A">
        <w:rPr>
          <w:rFonts w:ascii="Century Gothic" w:hAnsi="Century Gothic" w:cstheme="minorBidi"/>
          <w:b w:val="0"/>
          <w:i/>
        </w:rPr>
        <w:fldChar w:fldCharType="begin"/>
      </w:r>
      <w:r w:rsidRPr="008F554A">
        <w:rPr>
          <w:rFonts w:ascii="Century Gothic" w:hAnsi="Century Gothic" w:cstheme="minorBidi"/>
          <w:b w:val="0"/>
          <w:i/>
        </w:rPr>
        <w:instrText xml:space="preserve"> SEQ Tabuľka \* ARABIC </w:instrText>
      </w:r>
      <w:r w:rsidRPr="008F554A">
        <w:rPr>
          <w:rFonts w:ascii="Century Gothic" w:hAnsi="Century Gothic" w:cstheme="minorBidi"/>
          <w:b w:val="0"/>
          <w:i/>
        </w:rPr>
        <w:fldChar w:fldCharType="separate"/>
      </w:r>
      <w:r w:rsidR="007D6A44">
        <w:rPr>
          <w:rFonts w:ascii="Century Gothic" w:hAnsi="Century Gothic" w:cstheme="minorBidi"/>
          <w:b w:val="0"/>
          <w:i/>
          <w:noProof/>
        </w:rPr>
        <w:t>27</w:t>
      </w:r>
      <w:r w:rsidRPr="008F554A">
        <w:rPr>
          <w:rFonts w:ascii="Century Gothic" w:hAnsi="Century Gothic" w:cstheme="minorBidi"/>
          <w:b w:val="0"/>
          <w:i/>
        </w:rPr>
        <w:fldChar w:fldCharType="end"/>
      </w:r>
      <w:r w:rsidRPr="008F554A">
        <w:rPr>
          <w:rFonts w:ascii="Century Gothic" w:hAnsi="Century Gothic" w:cstheme="minorBidi"/>
          <w:b w:val="0"/>
          <w:i/>
        </w:rPr>
        <w:t xml:space="preserve"> Ekonomické indikátory </w:t>
      </w:r>
      <w:proofErr w:type="spellStart"/>
      <w:r w:rsidRPr="008F554A">
        <w:rPr>
          <w:rFonts w:ascii="Century Gothic" w:hAnsi="Century Gothic" w:cstheme="minorBidi"/>
          <w:b w:val="0"/>
          <w:i/>
        </w:rPr>
        <w:t>FNsP</w:t>
      </w:r>
      <w:proofErr w:type="spellEnd"/>
      <w:r w:rsidRPr="008F554A">
        <w:rPr>
          <w:rFonts w:ascii="Century Gothic" w:hAnsi="Century Gothic" w:cstheme="minorBidi"/>
          <w:b w:val="0"/>
          <w:i/>
        </w:rPr>
        <w:t xml:space="preserve"> Žilina v období 2016 – 202</w:t>
      </w:r>
      <w:bookmarkEnd w:id="113"/>
      <w:r w:rsidR="00613833">
        <w:rPr>
          <w:rFonts w:ascii="Century Gothic" w:hAnsi="Century Gothic" w:cstheme="minorBidi"/>
          <w:b w:val="0"/>
          <w:i/>
        </w:rPr>
        <w:t>2</w:t>
      </w:r>
      <w:bookmarkEnd w:id="114"/>
    </w:p>
    <w:p w14:paraId="06E458EA" w14:textId="23B5E1F9" w:rsidR="00FA5135" w:rsidRPr="00FA5135" w:rsidRDefault="00FA5135" w:rsidP="00FA5135">
      <w:pPr>
        <w:pStyle w:val="Popis"/>
        <w:spacing w:before="0" w:after="0" w:line="240" w:lineRule="auto"/>
        <w:ind w:left="-284"/>
        <w:rPr>
          <w:rFonts w:ascii="Century Gothic" w:hAnsi="Century Gothic" w:cstheme="minorHAnsi"/>
          <w:b w:val="0"/>
          <w:i/>
          <w:sz w:val="18"/>
          <w:szCs w:val="18"/>
        </w:rPr>
      </w:pPr>
      <w:r w:rsidRPr="00FA5135">
        <w:rPr>
          <w:noProof/>
          <w:lang w:eastAsia="sk-SK"/>
        </w:rPr>
        <w:drawing>
          <wp:inline distT="0" distB="0" distL="0" distR="0" wp14:anchorId="0B4CEA6B" wp14:editId="182719AE">
            <wp:extent cx="6076207" cy="2047875"/>
            <wp:effectExtent l="0" t="0" r="127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81784" cy="2049755"/>
                    </a:xfrm>
                    <a:prstGeom prst="rect">
                      <a:avLst/>
                    </a:prstGeom>
                    <a:noFill/>
                    <a:ln>
                      <a:noFill/>
                    </a:ln>
                  </pic:spPr>
                </pic:pic>
              </a:graphicData>
            </a:graphic>
          </wp:inline>
        </w:drawing>
      </w:r>
    </w:p>
    <w:p w14:paraId="1460C602" w14:textId="0BCB0751" w:rsidR="007B7154" w:rsidRPr="006B1505" w:rsidRDefault="007B7154" w:rsidP="007B7154">
      <w:pPr>
        <w:pStyle w:val="Popis"/>
        <w:spacing w:before="0" w:after="0" w:line="240" w:lineRule="auto"/>
        <w:rPr>
          <w:rFonts w:ascii="Century Gothic" w:hAnsi="Century Gothic" w:cstheme="minorHAnsi"/>
          <w:b w:val="0"/>
          <w:i/>
          <w:sz w:val="18"/>
          <w:szCs w:val="18"/>
        </w:rPr>
      </w:pPr>
      <w:r w:rsidRPr="00FA5135">
        <w:rPr>
          <w:rFonts w:ascii="Century Gothic" w:hAnsi="Century Gothic" w:cstheme="minorHAnsi"/>
          <w:b w:val="0"/>
          <w:i/>
          <w:sz w:val="18"/>
          <w:szCs w:val="18"/>
        </w:rPr>
        <w:t xml:space="preserve">Zdroj: Správa o činnosti a finančnom hospodárení </w:t>
      </w:r>
      <w:proofErr w:type="spellStart"/>
      <w:r w:rsidRPr="00FA5135">
        <w:rPr>
          <w:rFonts w:ascii="Century Gothic" w:hAnsi="Century Gothic" w:cstheme="minorHAnsi"/>
          <w:b w:val="0"/>
          <w:i/>
          <w:sz w:val="18"/>
          <w:szCs w:val="18"/>
        </w:rPr>
        <w:t>FNsP</w:t>
      </w:r>
      <w:proofErr w:type="spellEnd"/>
      <w:r w:rsidRPr="00FA5135">
        <w:rPr>
          <w:rFonts w:ascii="Century Gothic" w:hAnsi="Century Gothic" w:cstheme="minorHAnsi"/>
          <w:b w:val="0"/>
          <w:i/>
          <w:sz w:val="18"/>
          <w:szCs w:val="18"/>
        </w:rPr>
        <w:t xml:space="preserve"> Žilina, Účtovné závierky za rok 2016, 2017, 2018, 2019, 2020, 2021</w:t>
      </w:r>
      <w:r w:rsidR="00613833" w:rsidRPr="00FA5135">
        <w:rPr>
          <w:rFonts w:ascii="Century Gothic" w:hAnsi="Century Gothic" w:cstheme="minorHAnsi"/>
          <w:b w:val="0"/>
          <w:i/>
          <w:sz w:val="18"/>
          <w:szCs w:val="18"/>
        </w:rPr>
        <w:t>, 2022</w:t>
      </w:r>
    </w:p>
    <w:p w14:paraId="5F990667" w14:textId="77777777" w:rsidR="007B7154" w:rsidRDefault="007B7154" w:rsidP="007B7154">
      <w:pPr>
        <w:rPr>
          <w:rFonts w:ascii="Century Gothic" w:hAnsi="Century Gothic"/>
          <w:b/>
          <w:sz w:val="28"/>
          <w:szCs w:val="28"/>
        </w:rPr>
      </w:pPr>
    </w:p>
    <w:p w14:paraId="1C4F1359" w14:textId="77777777" w:rsidR="00B46658" w:rsidRDefault="00B46658">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0C9788CB" w14:textId="0E924433" w:rsidR="007B7154" w:rsidRPr="00B46658" w:rsidRDefault="007B7154" w:rsidP="00B46658">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115" w:name="_Toc145219954"/>
      <w:r w:rsidRPr="00B46658">
        <w:rPr>
          <w:rFonts w:ascii="Century Gothic" w:hAnsi="Century Gothic" w:cs="Calibri Light"/>
          <w:b w:val="0"/>
          <w:bCs w:val="0"/>
          <w:sz w:val="32"/>
          <w:szCs w:val="32"/>
          <w:lang w:eastAsia="en-US"/>
        </w:rPr>
        <w:lastRenderedPageBreak/>
        <w:t>Vývoj využitia areálu z pohľadu poskytovanej starostlivosti</w:t>
      </w:r>
      <w:bookmarkEnd w:id="115"/>
    </w:p>
    <w:p w14:paraId="2C679263" w14:textId="77777777" w:rsidR="007B7154" w:rsidRDefault="007B7154" w:rsidP="007B7154">
      <w:pPr>
        <w:spacing w:line="240" w:lineRule="auto"/>
        <w:rPr>
          <w:rFonts w:ascii="Century Gothic" w:hAnsi="Century Gothic" w:cstheme="majorHAnsi"/>
        </w:rPr>
      </w:pPr>
    </w:p>
    <w:p w14:paraId="1C67B41D" w14:textId="58C48225" w:rsidR="007B7154" w:rsidRDefault="007B7154" w:rsidP="00E0451E">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116" w:name="_Toc145219955"/>
      <w:r w:rsidRPr="00E0451E">
        <w:rPr>
          <w:rFonts w:ascii="Century Gothic" w:hAnsi="Century Gothic" w:cs="Calibri Light"/>
          <w:b w:val="0"/>
          <w:bCs w:val="0"/>
          <w:color w:val="365F91" w:themeColor="accent1" w:themeShade="BF"/>
          <w:lang w:eastAsia="en-US"/>
        </w:rPr>
        <w:t>Prístavby prestavby a ich kontext</w:t>
      </w:r>
      <w:bookmarkEnd w:id="116"/>
    </w:p>
    <w:p w14:paraId="05C1B8FC" w14:textId="77777777" w:rsidR="004821F1" w:rsidRPr="004821F1" w:rsidRDefault="004821F1" w:rsidP="004821F1">
      <w:pPr>
        <w:rPr>
          <w:lang w:eastAsia="en-US"/>
        </w:rPr>
      </w:pPr>
    </w:p>
    <w:p w14:paraId="39C41F6C" w14:textId="59CFD00E" w:rsidR="002A7AC7" w:rsidRDefault="002A7AC7" w:rsidP="007756C0">
      <w:pPr>
        <w:spacing w:line="240" w:lineRule="auto"/>
        <w:rPr>
          <w:rFonts w:ascii="Century Gothic" w:eastAsiaTheme="minorHAnsi" w:hAnsi="Century Gothic" w:cstheme="minorHAnsi"/>
          <w:sz w:val="22"/>
          <w:szCs w:val="22"/>
          <w:lang w:eastAsia="en-US"/>
        </w:rPr>
      </w:pPr>
      <w:r w:rsidRPr="002A7AC7">
        <w:rPr>
          <w:rFonts w:ascii="Century Gothic" w:eastAsiaTheme="minorHAnsi" w:hAnsi="Century Gothic" w:cstheme="minorHAnsi"/>
          <w:sz w:val="22"/>
          <w:szCs w:val="22"/>
          <w:lang w:eastAsia="en-US"/>
        </w:rPr>
        <w:t xml:space="preserve">Aktuálny stav využívaných plôch </w:t>
      </w:r>
      <w:proofErr w:type="spellStart"/>
      <w:r w:rsidRPr="002A7AC7">
        <w:rPr>
          <w:rFonts w:ascii="Century Gothic" w:eastAsiaTheme="minorHAnsi" w:hAnsi="Century Gothic" w:cstheme="minorHAnsi"/>
          <w:sz w:val="22"/>
          <w:szCs w:val="22"/>
          <w:lang w:eastAsia="en-US"/>
        </w:rPr>
        <w:t>FNsP</w:t>
      </w:r>
      <w:proofErr w:type="spellEnd"/>
      <w:r w:rsidRPr="002A7AC7">
        <w:rPr>
          <w:rFonts w:ascii="Century Gothic" w:eastAsiaTheme="minorHAnsi" w:hAnsi="Century Gothic" w:cstheme="minorHAnsi"/>
          <w:sz w:val="22"/>
          <w:szCs w:val="22"/>
          <w:lang w:eastAsia="en-US"/>
        </w:rPr>
        <w:t xml:space="preserve"> Žilina je znázornený na nasledujúcich tabuľkách</w:t>
      </w:r>
      <w:r w:rsidR="00816D02">
        <w:rPr>
          <w:rFonts w:ascii="Century Gothic" w:eastAsiaTheme="minorHAnsi" w:hAnsi="Century Gothic" w:cstheme="minorHAnsi"/>
          <w:sz w:val="22"/>
          <w:szCs w:val="22"/>
          <w:lang w:eastAsia="en-US"/>
        </w:rPr>
        <w:t xml:space="preserve">, kde je uvedená aj informácia, ktoré priestory ostanú v rámci existujúcich priestorov a s ktorými sa uvažuje, že budú presunuté do nového Pavilónu urgentnej medicíny.  </w:t>
      </w:r>
      <w:r w:rsidRPr="002A7AC7">
        <w:rPr>
          <w:rFonts w:ascii="Century Gothic" w:eastAsiaTheme="minorHAnsi" w:hAnsi="Century Gothic" w:cstheme="minorHAnsi"/>
          <w:sz w:val="22"/>
          <w:szCs w:val="22"/>
          <w:lang w:eastAsia="en-US"/>
        </w:rPr>
        <w:t xml:space="preserve"> </w:t>
      </w:r>
    </w:p>
    <w:p w14:paraId="389C4F95" w14:textId="77777777" w:rsidR="00895EEE" w:rsidRPr="002A7AC7" w:rsidRDefault="00895EEE" w:rsidP="002A7AC7">
      <w:pPr>
        <w:rPr>
          <w:rFonts w:ascii="Century Gothic" w:eastAsiaTheme="minorHAnsi" w:hAnsi="Century Gothic" w:cstheme="minorHAnsi"/>
          <w:sz w:val="22"/>
          <w:szCs w:val="22"/>
          <w:lang w:eastAsia="en-US"/>
        </w:rPr>
      </w:pPr>
    </w:p>
    <w:p w14:paraId="197B01CE" w14:textId="250F3417" w:rsidR="00E0451E" w:rsidRPr="001D07CB" w:rsidRDefault="00895EEE" w:rsidP="00895EEE">
      <w:pPr>
        <w:pStyle w:val="Popis"/>
        <w:spacing w:before="0" w:after="0" w:line="240" w:lineRule="auto"/>
        <w:rPr>
          <w:rFonts w:ascii="Century Gothic" w:hAnsi="Century Gothic" w:cstheme="minorBidi"/>
          <w:b w:val="0"/>
          <w:i/>
        </w:rPr>
      </w:pPr>
      <w:bookmarkStart w:id="117" w:name="_Toc145219929"/>
      <w:r w:rsidRPr="001D07CB">
        <w:rPr>
          <w:rFonts w:ascii="Century Gothic" w:hAnsi="Century Gothic" w:cstheme="minorBidi"/>
          <w:b w:val="0"/>
          <w:i/>
        </w:rPr>
        <w:t xml:space="preserve">Tabuľka </w:t>
      </w:r>
      <w:r w:rsidRPr="001D07CB">
        <w:rPr>
          <w:rFonts w:ascii="Century Gothic" w:hAnsi="Century Gothic" w:cstheme="minorBidi"/>
          <w:b w:val="0"/>
          <w:i/>
        </w:rPr>
        <w:fldChar w:fldCharType="begin"/>
      </w:r>
      <w:r w:rsidRPr="001D07CB">
        <w:rPr>
          <w:rFonts w:ascii="Century Gothic" w:hAnsi="Century Gothic" w:cstheme="minorBidi"/>
          <w:b w:val="0"/>
          <w:i/>
        </w:rPr>
        <w:instrText xml:space="preserve"> SEQ Tabuľka \* ARABIC </w:instrText>
      </w:r>
      <w:r w:rsidRPr="001D07CB">
        <w:rPr>
          <w:rFonts w:ascii="Century Gothic" w:hAnsi="Century Gothic" w:cstheme="minorBidi"/>
          <w:b w:val="0"/>
          <w:i/>
        </w:rPr>
        <w:fldChar w:fldCharType="separate"/>
      </w:r>
      <w:r w:rsidR="007D6A44">
        <w:rPr>
          <w:rFonts w:ascii="Century Gothic" w:hAnsi="Century Gothic" w:cstheme="minorBidi"/>
          <w:b w:val="0"/>
          <w:i/>
          <w:noProof/>
        </w:rPr>
        <w:t>28</w:t>
      </w:r>
      <w:r w:rsidRPr="001D07CB">
        <w:rPr>
          <w:rFonts w:ascii="Century Gothic" w:hAnsi="Century Gothic" w:cstheme="minorBidi"/>
          <w:b w:val="0"/>
          <w:i/>
        </w:rPr>
        <w:fldChar w:fldCharType="end"/>
      </w:r>
      <w:r w:rsidRPr="001D07CB">
        <w:rPr>
          <w:rFonts w:ascii="Century Gothic" w:hAnsi="Century Gothic" w:cstheme="minorBidi"/>
          <w:b w:val="0"/>
          <w:i/>
        </w:rPr>
        <w:t xml:space="preserve"> Aktuálne priestory </w:t>
      </w:r>
      <w:proofErr w:type="spellStart"/>
      <w:r w:rsidRPr="001D07CB">
        <w:rPr>
          <w:rFonts w:ascii="Century Gothic" w:hAnsi="Century Gothic" w:cstheme="minorBidi"/>
          <w:b w:val="0"/>
          <w:i/>
        </w:rPr>
        <w:t>FNsP</w:t>
      </w:r>
      <w:proofErr w:type="spellEnd"/>
      <w:r w:rsidRPr="001D07CB">
        <w:rPr>
          <w:rFonts w:ascii="Century Gothic" w:hAnsi="Century Gothic" w:cstheme="minorBidi"/>
          <w:b w:val="0"/>
          <w:i/>
        </w:rPr>
        <w:t xml:space="preserve"> Žilina</w:t>
      </w:r>
      <w:bookmarkEnd w:id="117"/>
    </w:p>
    <w:tbl>
      <w:tblPr>
        <w:tblW w:w="8500" w:type="dxa"/>
        <w:jc w:val="center"/>
        <w:tblCellMar>
          <w:left w:w="70" w:type="dxa"/>
          <w:right w:w="70" w:type="dxa"/>
        </w:tblCellMar>
        <w:tblLook w:val="04A0" w:firstRow="1" w:lastRow="0" w:firstColumn="1" w:lastColumn="0" w:noHBand="0" w:noVBand="1"/>
      </w:tblPr>
      <w:tblGrid>
        <w:gridCol w:w="960"/>
        <w:gridCol w:w="2380"/>
        <w:gridCol w:w="2000"/>
        <w:gridCol w:w="1240"/>
        <w:gridCol w:w="960"/>
        <w:gridCol w:w="960"/>
      </w:tblGrid>
      <w:tr w:rsidR="00E43879" w:rsidRPr="00E43879" w14:paraId="7A6A271C" w14:textId="77777777" w:rsidTr="002679C1">
        <w:trPr>
          <w:trHeight w:val="300"/>
          <w:jc w:val="center"/>
        </w:trPr>
        <w:tc>
          <w:tcPr>
            <w:tcW w:w="960" w:type="dxa"/>
            <w:tcBorders>
              <w:top w:val="nil"/>
              <w:left w:val="nil"/>
              <w:bottom w:val="nil"/>
              <w:right w:val="nil"/>
            </w:tcBorders>
            <w:shd w:val="clear" w:color="000000" w:fill="595959"/>
            <w:noWrap/>
            <w:vAlign w:val="center"/>
            <w:hideMark/>
          </w:tcPr>
          <w:p w14:paraId="58B2ED47" w14:textId="77777777" w:rsidR="00E43879" w:rsidRPr="00E43879" w:rsidRDefault="00E43879" w:rsidP="00E43879">
            <w:pPr>
              <w:spacing w:line="240" w:lineRule="auto"/>
              <w:jc w:val="center"/>
              <w:rPr>
                <w:rFonts w:ascii="Arial Narrow" w:hAnsi="Arial Narrow" w:cs="Calibri"/>
                <w:b/>
                <w:bCs/>
                <w:color w:val="FFFFFF"/>
                <w:sz w:val="20"/>
                <w:szCs w:val="20"/>
              </w:rPr>
            </w:pPr>
            <w:r w:rsidRPr="00E43879">
              <w:rPr>
                <w:rFonts w:ascii="Arial Narrow" w:hAnsi="Arial Narrow" w:cs="Calibri"/>
                <w:b/>
                <w:bCs/>
                <w:color w:val="FFFFFF"/>
                <w:sz w:val="20"/>
                <w:szCs w:val="20"/>
              </w:rPr>
              <w:t>NS</w:t>
            </w:r>
          </w:p>
        </w:tc>
        <w:tc>
          <w:tcPr>
            <w:tcW w:w="2380" w:type="dxa"/>
            <w:tcBorders>
              <w:top w:val="nil"/>
              <w:left w:val="nil"/>
              <w:bottom w:val="nil"/>
              <w:right w:val="nil"/>
            </w:tcBorders>
            <w:shd w:val="clear" w:color="000000" w:fill="595959"/>
            <w:noWrap/>
            <w:vAlign w:val="center"/>
            <w:hideMark/>
          </w:tcPr>
          <w:p w14:paraId="6345AAC9" w14:textId="77777777" w:rsidR="00E43879" w:rsidRPr="00E43879" w:rsidRDefault="00E43879" w:rsidP="00E43879">
            <w:pPr>
              <w:spacing w:line="240" w:lineRule="auto"/>
              <w:jc w:val="left"/>
              <w:rPr>
                <w:rFonts w:ascii="Arial Narrow" w:hAnsi="Arial Narrow" w:cs="Calibri"/>
                <w:b/>
                <w:bCs/>
                <w:color w:val="FFFFFF"/>
                <w:sz w:val="20"/>
                <w:szCs w:val="20"/>
              </w:rPr>
            </w:pPr>
            <w:proofErr w:type="spellStart"/>
            <w:r w:rsidRPr="00E43879">
              <w:rPr>
                <w:rFonts w:ascii="Arial Narrow" w:hAnsi="Arial Narrow" w:cs="Calibri"/>
                <w:b/>
                <w:bCs/>
                <w:color w:val="FFFFFF"/>
                <w:sz w:val="20"/>
                <w:szCs w:val="20"/>
              </w:rPr>
              <w:t>Uživateľ:FNsP</w:t>
            </w:r>
            <w:proofErr w:type="spellEnd"/>
          </w:p>
        </w:tc>
        <w:tc>
          <w:tcPr>
            <w:tcW w:w="2000" w:type="dxa"/>
            <w:tcBorders>
              <w:top w:val="nil"/>
              <w:left w:val="nil"/>
              <w:bottom w:val="nil"/>
              <w:right w:val="nil"/>
            </w:tcBorders>
            <w:shd w:val="clear" w:color="000000" w:fill="595959"/>
            <w:noWrap/>
            <w:vAlign w:val="center"/>
            <w:hideMark/>
          </w:tcPr>
          <w:p w14:paraId="02B5D3BD" w14:textId="77777777" w:rsidR="00E43879" w:rsidRPr="00E43879" w:rsidRDefault="00E43879" w:rsidP="00E43879">
            <w:pPr>
              <w:spacing w:line="240" w:lineRule="auto"/>
              <w:jc w:val="left"/>
              <w:rPr>
                <w:rFonts w:ascii="Arial Narrow" w:hAnsi="Arial Narrow" w:cs="Calibri"/>
                <w:b/>
                <w:bCs/>
                <w:color w:val="FFFFFF"/>
                <w:sz w:val="20"/>
                <w:szCs w:val="20"/>
              </w:rPr>
            </w:pPr>
            <w:r w:rsidRPr="00E43879">
              <w:rPr>
                <w:rFonts w:ascii="Arial Narrow" w:hAnsi="Arial Narrow" w:cs="Calibri"/>
                <w:b/>
                <w:bCs/>
                <w:color w:val="FFFFFF"/>
                <w:sz w:val="20"/>
                <w:szCs w:val="20"/>
              </w:rPr>
              <w:t>Pozícia v Areály</w:t>
            </w:r>
          </w:p>
        </w:tc>
        <w:tc>
          <w:tcPr>
            <w:tcW w:w="1240" w:type="dxa"/>
            <w:tcBorders>
              <w:top w:val="nil"/>
              <w:left w:val="nil"/>
              <w:bottom w:val="nil"/>
              <w:right w:val="nil"/>
            </w:tcBorders>
            <w:shd w:val="clear" w:color="000000" w:fill="595959"/>
            <w:noWrap/>
            <w:vAlign w:val="center"/>
            <w:hideMark/>
          </w:tcPr>
          <w:p w14:paraId="1488B0A9" w14:textId="77777777" w:rsidR="00E43879" w:rsidRPr="00E43879" w:rsidRDefault="00E43879" w:rsidP="00E43879">
            <w:pPr>
              <w:spacing w:line="240" w:lineRule="auto"/>
              <w:jc w:val="center"/>
              <w:rPr>
                <w:rFonts w:ascii="Arial Narrow" w:hAnsi="Arial Narrow" w:cs="Calibri"/>
                <w:b/>
                <w:bCs/>
                <w:color w:val="FFFFFF"/>
                <w:sz w:val="20"/>
                <w:szCs w:val="20"/>
              </w:rPr>
            </w:pPr>
            <w:r w:rsidRPr="00E43879">
              <w:rPr>
                <w:rFonts w:ascii="Arial Narrow" w:hAnsi="Arial Narrow" w:cs="Calibri"/>
                <w:b/>
                <w:bCs/>
                <w:color w:val="FFFFFF"/>
                <w:sz w:val="20"/>
                <w:szCs w:val="20"/>
              </w:rPr>
              <w:t>Plocha m</w:t>
            </w:r>
            <w:r w:rsidRPr="00E43879">
              <w:rPr>
                <w:rFonts w:ascii="Arial Narrow" w:hAnsi="Arial Narrow" w:cs="Calibri"/>
                <w:b/>
                <w:bCs/>
                <w:color w:val="FFFFFF"/>
                <w:sz w:val="20"/>
                <w:szCs w:val="20"/>
                <w:vertAlign w:val="superscript"/>
              </w:rPr>
              <w:t>2</w:t>
            </w:r>
          </w:p>
        </w:tc>
        <w:tc>
          <w:tcPr>
            <w:tcW w:w="960" w:type="dxa"/>
            <w:tcBorders>
              <w:top w:val="nil"/>
              <w:left w:val="nil"/>
              <w:bottom w:val="nil"/>
              <w:right w:val="nil"/>
            </w:tcBorders>
            <w:shd w:val="clear" w:color="000000" w:fill="595959"/>
            <w:noWrap/>
            <w:vAlign w:val="center"/>
            <w:hideMark/>
          </w:tcPr>
          <w:p w14:paraId="5AEE034F" w14:textId="77777777" w:rsidR="00E43879" w:rsidRPr="00E43879" w:rsidRDefault="00E43879" w:rsidP="00E43879">
            <w:pPr>
              <w:spacing w:line="240" w:lineRule="auto"/>
              <w:jc w:val="center"/>
              <w:rPr>
                <w:rFonts w:ascii="Arial Narrow" w:hAnsi="Arial Narrow" w:cs="Calibri"/>
                <w:b/>
                <w:bCs/>
                <w:color w:val="FFFFFF"/>
                <w:sz w:val="20"/>
                <w:szCs w:val="20"/>
              </w:rPr>
            </w:pPr>
            <w:r w:rsidRPr="00E43879">
              <w:rPr>
                <w:rFonts w:ascii="Arial Narrow" w:hAnsi="Arial Narrow" w:cs="Calibri"/>
                <w:b/>
                <w:bCs/>
                <w:color w:val="FFFFFF"/>
                <w:sz w:val="20"/>
                <w:szCs w:val="20"/>
              </w:rPr>
              <w:t>podiel v %</w:t>
            </w:r>
          </w:p>
        </w:tc>
        <w:tc>
          <w:tcPr>
            <w:tcW w:w="960" w:type="dxa"/>
            <w:tcBorders>
              <w:top w:val="nil"/>
              <w:left w:val="nil"/>
              <w:bottom w:val="nil"/>
              <w:right w:val="nil"/>
            </w:tcBorders>
            <w:shd w:val="clear" w:color="auto" w:fill="auto"/>
            <w:noWrap/>
            <w:vAlign w:val="bottom"/>
            <w:hideMark/>
          </w:tcPr>
          <w:p w14:paraId="7801DC37" w14:textId="77777777" w:rsidR="00E43879" w:rsidRPr="00E43879" w:rsidRDefault="00E43879" w:rsidP="00E43879">
            <w:pPr>
              <w:spacing w:line="240" w:lineRule="auto"/>
              <w:jc w:val="center"/>
              <w:rPr>
                <w:rFonts w:ascii="Arial Narrow" w:hAnsi="Arial Narrow" w:cs="Calibri"/>
                <w:b/>
                <w:bCs/>
                <w:color w:val="FFFFFF"/>
                <w:sz w:val="20"/>
                <w:szCs w:val="20"/>
              </w:rPr>
            </w:pPr>
          </w:p>
        </w:tc>
      </w:tr>
      <w:tr w:rsidR="00E43879" w:rsidRPr="00E43879" w14:paraId="6D807F6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56B443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0901-01</w:t>
            </w:r>
          </w:p>
        </w:tc>
        <w:tc>
          <w:tcPr>
            <w:tcW w:w="2380" w:type="dxa"/>
            <w:tcBorders>
              <w:top w:val="nil"/>
              <w:left w:val="nil"/>
              <w:bottom w:val="nil"/>
              <w:right w:val="nil"/>
            </w:tcBorders>
            <w:shd w:val="clear" w:color="auto" w:fill="auto"/>
            <w:noWrap/>
            <w:vAlign w:val="center"/>
            <w:hideMark/>
          </w:tcPr>
          <w:p w14:paraId="0F24291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Riaditeľ</w:t>
            </w:r>
          </w:p>
        </w:tc>
        <w:tc>
          <w:tcPr>
            <w:tcW w:w="2000" w:type="dxa"/>
            <w:tcBorders>
              <w:top w:val="nil"/>
              <w:left w:val="nil"/>
              <w:bottom w:val="nil"/>
              <w:right w:val="nil"/>
            </w:tcBorders>
            <w:shd w:val="clear" w:color="auto" w:fill="auto"/>
            <w:noWrap/>
            <w:vAlign w:val="center"/>
            <w:hideMark/>
          </w:tcPr>
          <w:p w14:paraId="7948A1D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276343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856,01</w:t>
            </w:r>
          </w:p>
        </w:tc>
        <w:tc>
          <w:tcPr>
            <w:tcW w:w="960" w:type="dxa"/>
            <w:tcBorders>
              <w:top w:val="nil"/>
              <w:left w:val="nil"/>
              <w:bottom w:val="nil"/>
              <w:right w:val="nil"/>
            </w:tcBorders>
            <w:shd w:val="clear" w:color="auto" w:fill="auto"/>
            <w:noWrap/>
            <w:vAlign w:val="center"/>
            <w:hideMark/>
          </w:tcPr>
          <w:p w14:paraId="3BBECE5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1,31%</w:t>
            </w:r>
          </w:p>
        </w:tc>
        <w:tc>
          <w:tcPr>
            <w:tcW w:w="960" w:type="dxa"/>
            <w:tcBorders>
              <w:top w:val="nil"/>
              <w:left w:val="nil"/>
              <w:bottom w:val="nil"/>
              <w:right w:val="nil"/>
            </w:tcBorders>
            <w:shd w:val="clear" w:color="auto" w:fill="auto"/>
            <w:noWrap/>
            <w:vAlign w:val="bottom"/>
            <w:hideMark/>
          </w:tcPr>
          <w:p w14:paraId="21FFCDA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AF36A3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5A3FA5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0902-01</w:t>
            </w:r>
          </w:p>
        </w:tc>
        <w:tc>
          <w:tcPr>
            <w:tcW w:w="2380" w:type="dxa"/>
            <w:tcBorders>
              <w:top w:val="nil"/>
              <w:left w:val="nil"/>
              <w:bottom w:val="nil"/>
              <w:right w:val="nil"/>
            </w:tcBorders>
            <w:shd w:val="clear" w:color="auto" w:fill="auto"/>
            <w:noWrap/>
            <w:vAlign w:val="center"/>
            <w:hideMark/>
          </w:tcPr>
          <w:p w14:paraId="2EC8B64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HTČ</w:t>
            </w:r>
          </w:p>
        </w:tc>
        <w:tc>
          <w:tcPr>
            <w:tcW w:w="2000" w:type="dxa"/>
            <w:tcBorders>
              <w:top w:val="nil"/>
              <w:left w:val="nil"/>
              <w:bottom w:val="nil"/>
              <w:right w:val="nil"/>
            </w:tcBorders>
            <w:shd w:val="clear" w:color="auto" w:fill="auto"/>
            <w:noWrap/>
            <w:vAlign w:val="center"/>
            <w:hideMark/>
          </w:tcPr>
          <w:p w14:paraId="65066CD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289FE7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785,01</w:t>
            </w:r>
          </w:p>
        </w:tc>
        <w:tc>
          <w:tcPr>
            <w:tcW w:w="960" w:type="dxa"/>
            <w:tcBorders>
              <w:top w:val="nil"/>
              <w:left w:val="nil"/>
              <w:bottom w:val="nil"/>
              <w:right w:val="nil"/>
            </w:tcBorders>
            <w:shd w:val="clear" w:color="auto" w:fill="auto"/>
            <w:noWrap/>
            <w:vAlign w:val="center"/>
            <w:hideMark/>
          </w:tcPr>
          <w:p w14:paraId="42F337C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1,21%</w:t>
            </w:r>
          </w:p>
        </w:tc>
        <w:tc>
          <w:tcPr>
            <w:tcW w:w="960" w:type="dxa"/>
            <w:tcBorders>
              <w:top w:val="nil"/>
              <w:left w:val="nil"/>
              <w:bottom w:val="nil"/>
              <w:right w:val="nil"/>
            </w:tcBorders>
            <w:shd w:val="clear" w:color="auto" w:fill="auto"/>
            <w:noWrap/>
            <w:vAlign w:val="bottom"/>
            <w:hideMark/>
          </w:tcPr>
          <w:p w14:paraId="07B08BE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D3A159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73DB4C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0902-02</w:t>
            </w:r>
          </w:p>
        </w:tc>
        <w:tc>
          <w:tcPr>
            <w:tcW w:w="2380" w:type="dxa"/>
            <w:tcBorders>
              <w:top w:val="nil"/>
              <w:left w:val="nil"/>
              <w:bottom w:val="nil"/>
              <w:right w:val="nil"/>
            </w:tcBorders>
            <w:shd w:val="clear" w:color="auto" w:fill="auto"/>
            <w:noWrap/>
            <w:vAlign w:val="center"/>
            <w:hideMark/>
          </w:tcPr>
          <w:p w14:paraId="654C8A4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HTČ</w:t>
            </w:r>
          </w:p>
        </w:tc>
        <w:tc>
          <w:tcPr>
            <w:tcW w:w="2000" w:type="dxa"/>
            <w:tcBorders>
              <w:top w:val="nil"/>
              <w:left w:val="nil"/>
              <w:bottom w:val="nil"/>
              <w:right w:val="nil"/>
            </w:tcBorders>
            <w:shd w:val="clear" w:color="auto" w:fill="auto"/>
            <w:noWrap/>
            <w:vAlign w:val="center"/>
            <w:hideMark/>
          </w:tcPr>
          <w:p w14:paraId="4462E10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05E90D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570,24</w:t>
            </w:r>
          </w:p>
        </w:tc>
        <w:tc>
          <w:tcPr>
            <w:tcW w:w="960" w:type="dxa"/>
            <w:tcBorders>
              <w:top w:val="nil"/>
              <w:left w:val="nil"/>
              <w:bottom w:val="nil"/>
              <w:right w:val="nil"/>
            </w:tcBorders>
            <w:shd w:val="clear" w:color="auto" w:fill="auto"/>
            <w:noWrap/>
            <w:vAlign w:val="center"/>
            <w:hideMark/>
          </w:tcPr>
          <w:p w14:paraId="66E7921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0,88%</w:t>
            </w:r>
          </w:p>
        </w:tc>
        <w:tc>
          <w:tcPr>
            <w:tcW w:w="960" w:type="dxa"/>
            <w:tcBorders>
              <w:top w:val="nil"/>
              <w:left w:val="nil"/>
              <w:bottom w:val="nil"/>
              <w:right w:val="nil"/>
            </w:tcBorders>
            <w:shd w:val="clear" w:color="auto" w:fill="auto"/>
            <w:noWrap/>
            <w:vAlign w:val="bottom"/>
            <w:hideMark/>
          </w:tcPr>
          <w:p w14:paraId="5CDD9F6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707F00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85AA7B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0902-03</w:t>
            </w:r>
          </w:p>
        </w:tc>
        <w:tc>
          <w:tcPr>
            <w:tcW w:w="2380" w:type="dxa"/>
            <w:tcBorders>
              <w:top w:val="nil"/>
              <w:left w:val="nil"/>
              <w:bottom w:val="nil"/>
              <w:right w:val="nil"/>
            </w:tcBorders>
            <w:shd w:val="clear" w:color="auto" w:fill="auto"/>
            <w:noWrap/>
            <w:vAlign w:val="center"/>
            <w:hideMark/>
          </w:tcPr>
          <w:p w14:paraId="48E0958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HTČ</w:t>
            </w:r>
          </w:p>
        </w:tc>
        <w:tc>
          <w:tcPr>
            <w:tcW w:w="2000" w:type="dxa"/>
            <w:tcBorders>
              <w:top w:val="nil"/>
              <w:left w:val="nil"/>
              <w:bottom w:val="nil"/>
              <w:right w:val="nil"/>
            </w:tcBorders>
            <w:shd w:val="clear" w:color="auto" w:fill="auto"/>
            <w:noWrap/>
            <w:vAlign w:val="center"/>
            <w:hideMark/>
          </w:tcPr>
          <w:p w14:paraId="6AD5670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7DE9BF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282,64</w:t>
            </w:r>
          </w:p>
        </w:tc>
        <w:tc>
          <w:tcPr>
            <w:tcW w:w="960" w:type="dxa"/>
            <w:tcBorders>
              <w:top w:val="nil"/>
              <w:left w:val="nil"/>
              <w:bottom w:val="nil"/>
              <w:right w:val="nil"/>
            </w:tcBorders>
            <w:shd w:val="clear" w:color="auto" w:fill="auto"/>
            <w:noWrap/>
            <w:vAlign w:val="center"/>
            <w:hideMark/>
          </w:tcPr>
          <w:p w14:paraId="52110DB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0,43%</w:t>
            </w:r>
          </w:p>
        </w:tc>
        <w:tc>
          <w:tcPr>
            <w:tcW w:w="960" w:type="dxa"/>
            <w:tcBorders>
              <w:top w:val="nil"/>
              <w:left w:val="nil"/>
              <w:bottom w:val="nil"/>
              <w:right w:val="nil"/>
            </w:tcBorders>
            <w:shd w:val="clear" w:color="auto" w:fill="auto"/>
            <w:noWrap/>
            <w:vAlign w:val="bottom"/>
            <w:hideMark/>
          </w:tcPr>
          <w:p w14:paraId="73491DC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DA1FC4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690E25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0903-01</w:t>
            </w:r>
          </w:p>
        </w:tc>
        <w:tc>
          <w:tcPr>
            <w:tcW w:w="2380" w:type="dxa"/>
            <w:tcBorders>
              <w:top w:val="nil"/>
              <w:left w:val="nil"/>
              <w:bottom w:val="nil"/>
              <w:right w:val="nil"/>
            </w:tcBorders>
            <w:shd w:val="clear" w:color="auto" w:fill="auto"/>
            <w:noWrap/>
            <w:vAlign w:val="center"/>
            <w:hideMark/>
          </w:tcPr>
          <w:p w14:paraId="5F47DF3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Odbor </w:t>
            </w:r>
            <w:proofErr w:type="spellStart"/>
            <w:r w:rsidRPr="00E43879">
              <w:rPr>
                <w:rFonts w:ascii="Arial Narrow" w:hAnsi="Arial Narrow" w:cs="Calibri"/>
                <w:b/>
                <w:bCs/>
                <w:color w:val="000000"/>
                <w:sz w:val="20"/>
                <w:szCs w:val="20"/>
              </w:rPr>
              <w:t>ÚZSaP</w:t>
            </w:r>
            <w:proofErr w:type="spellEnd"/>
          </w:p>
        </w:tc>
        <w:tc>
          <w:tcPr>
            <w:tcW w:w="2000" w:type="dxa"/>
            <w:tcBorders>
              <w:top w:val="nil"/>
              <w:left w:val="nil"/>
              <w:bottom w:val="nil"/>
              <w:right w:val="nil"/>
            </w:tcBorders>
            <w:shd w:val="clear" w:color="auto" w:fill="auto"/>
            <w:noWrap/>
            <w:vAlign w:val="center"/>
            <w:hideMark/>
          </w:tcPr>
          <w:p w14:paraId="634C643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4AD037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114,43</w:t>
            </w:r>
          </w:p>
        </w:tc>
        <w:tc>
          <w:tcPr>
            <w:tcW w:w="960" w:type="dxa"/>
            <w:tcBorders>
              <w:top w:val="nil"/>
              <w:left w:val="nil"/>
              <w:bottom w:val="nil"/>
              <w:right w:val="nil"/>
            </w:tcBorders>
            <w:shd w:val="clear" w:color="auto" w:fill="auto"/>
            <w:noWrap/>
            <w:vAlign w:val="center"/>
            <w:hideMark/>
          </w:tcPr>
          <w:p w14:paraId="7C69FD1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0,18%</w:t>
            </w:r>
          </w:p>
        </w:tc>
        <w:tc>
          <w:tcPr>
            <w:tcW w:w="960" w:type="dxa"/>
            <w:tcBorders>
              <w:top w:val="nil"/>
              <w:left w:val="nil"/>
              <w:bottom w:val="nil"/>
              <w:right w:val="nil"/>
            </w:tcBorders>
            <w:shd w:val="clear" w:color="auto" w:fill="auto"/>
            <w:noWrap/>
            <w:vAlign w:val="bottom"/>
            <w:hideMark/>
          </w:tcPr>
          <w:p w14:paraId="09200D11"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965886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A56EA2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0903-02</w:t>
            </w:r>
          </w:p>
        </w:tc>
        <w:tc>
          <w:tcPr>
            <w:tcW w:w="2380" w:type="dxa"/>
            <w:tcBorders>
              <w:top w:val="nil"/>
              <w:left w:val="nil"/>
              <w:bottom w:val="nil"/>
              <w:right w:val="nil"/>
            </w:tcBorders>
            <w:shd w:val="clear" w:color="auto" w:fill="auto"/>
            <w:noWrap/>
            <w:vAlign w:val="center"/>
            <w:hideMark/>
          </w:tcPr>
          <w:p w14:paraId="3360EDB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Etická komisia</w:t>
            </w:r>
          </w:p>
        </w:tc>
        <w:tc>
          <w:tcPr>
            <w:tcW w:w="2000" w:type="dxa"/>
            <w:tcBorders>
              <w:top w:val="nil"/>
              <w:left w:val="nil"/>
              <w:bottom w:val="nil"/>
              <w:right w:val="nil"/>
            </w:tcBorders>
            <w:shd w:val="clear" w:color="auto" w:fill="auto"/>
            <w:noWrap/>
            <w:vAlign w:val="center"/>
            <w:hideMark/>
          </w:tcPr>
          <w:p w14:paraId="288D989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B23E1C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18</w:t>
            </w:r>
          </w:p>
        </w:tc>
        <w:tc>
          <w:tcPr>
            <w:tcW w:w="960" w:type="dxa"/>
            <w:tcBorders>
              <w:top w:val="nil"/>
              <w:left w:val="nil"/>
              <w:bottom w:val="nil"/>
              <w:right w:val="nil"/>
            </w:tcBorders>
            <w:shd w:val="clear" w:color="auto" w:fill="auto"/>
            <w:noWrap/>
            <w:vAlign w:val="center"/>
            <w:hideMark/>
          </w:tcPr>
          <w:p w14:paraId="0A98571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0,03%</w:t>
            </w:r>
          </w:p>
        </w:tc>
        <w:tc>
          <w:tcPr>
            <w:tcW w:w="960" w:type="dxa"/>
            <w:tcBorders>
              <w:top w:val="nil"/>
              <w:left w:val="nil"/>
              <w:bottom w:val="nil"/>
              <w:right w:val="nil"/>
            </w:tcBorders>
            <w:shd w:val="clear" w:color="auto" w:fill="auto"/>
            <w:noWrap/>
            <w:vAlign w:val="bottom"/>
            <w:hideMark/>
          </w:tcPr>
          <w:p w14:paraId="115307F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28CE3B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72F23C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0904-01</w:t>
            </w:r>
          </w:p>
        </w:tc>
        <w:tc>
          <w:tcPr>
            <w:tcW w:w="2380" w:type="dxa"/>
            <w:tcBorders>
              <w:top w:val="nil"/>
              <w:left w:val="nil"/>
              <w:bottom w:val="nil"/>
              <w:right w:val="nil"/>
            </w:tcBorders>
            <w:shd w:val="clear" w:color="auto" w:fill="auto"/>
            <w:noWrap/>
            <w:vAlign w:val="center"/>
            <w:hideMark/>
          </w:tcPr>
          <w:p w14:paraId="367B3D0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OĽZ</w:t>
            </w:r>
          </w:p>
        </w:tc>
        <w:tc>
          <w:tcPr>
            <w:tcW w:w="2000" w:type="dxa"/>
            <w:tcBorders>
              <w:top w:val="nil"/>
              <w:left w:val="nil"/>
              <w:bottom w:val="nil"/>
              <w:right w:val="nil"/>
            </w:tcBorders>
            <w:shd w:val="clear" w:color="auto" w:fill="auto"/>
            <w:noWrap/>
            <w:vAlign w:val="center"/>
            <w:hideMark/>
          </w:tcPr>
          <w:p w14:paraId="30E17CA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576F7B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572,34</w:t>
            </w:r>
          </w:p>
        </w:tc>
        <w:tc>
          <w:tcPr>
            <w:tcW w:w="960" w:type="dxa"/>
            <w:tcBorders>
              <w:top w:val="nil"/>
              <w:left w:val="nil"/>
              <w:bottom w:val="nil"/>
              <w:right w:val="nil"/>
            </w:tcBorders>
            <w:shd w:val="clear" w:color="auto" w:fill="auto"/>
            <w:noWrap/>
            <w:vAlign w:val="center"/>
            <w:hideMark/>
          </w:tcPr>
          <w:p w14:paraId="500A0F6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0,88%</w:t>
            </w:r>
          </w:p>
        </w:tc>
        <w:tc>
          <w:tcPr>
            <w:tcW w:w="960" w:type="dxa"/>
            <w:tcBorders>
              <w:top w:val="nil"/>
              <w:left w:val="nil"/>
              <w:bottom w:val="nil"/>
              <w:right w:val="nil"/>
            </w:tcBorders>
            <w:shd w:val="clear" w:color="auto" w:fill="auto"/>
            <w:noWrap/>
            <w:vAlign w:val="bottom"/>
            <w:hideMark/>
          </w:tcPr>
          <w:p w14:paraId="2CFDE02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739D32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208385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0905-01</w:t>
            </w:r>
          </w:p>
        </w:tc>
        <w:tc>
          <w:tcPr>
            <w:tcW w:w="2380" w:type="dxa"/>
            <w:tcBorders>
              <w:top w:val="nil"/>
              <w:left w:val="nil"/>
              <w:bottom w:val="nil"/>
              <w:right w:val="nil"/>
            </w:tcBorders>
            <w:shd w:val="clear" w:color="auto" w:fill="auto"/>
            <w:noWrap/>
            <w:vAlign w:val="center"/>
            <w:hideMark/>
          </w:tcPr>
          <w:p w14:paraId="60658A0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Kontrola</w:t>
            </w:r>
          </w:p>
        </w:tc>
        <w:tc>
          <w:tcPr>
            <w:tcW w:w="2000" w:type="dxa"/>
            <w:tcBorders>
              <w:top w:val="nil"/>
              <w:left w:val="nil"/>
              <w:bottom w:val="nil"/>
              <w:right w:val="nil"/>
            </w:tcBorders>
            <w:shd w:val="clear" w:color="auto" w:fill="auto"/>
            <w:noWrap/>
            <w:vAlign w:val="center"/>
            <w:hideMark/>
          </w:tcPr>
          <w:p w14:paraId="326C885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8B6E64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19,73</w:t>
            </w:r>
          </w:p>
        </w:tc>
        <w:tc>
          <w:tcPr>
            <w:tcW w:w="960" w:type="dxa"/>
            <w:tcBorders>
              <w:top w:val="nil"/>
              <w:left w:val="nil"/>
              <w:bottom w:val="nil"/>
              <w:right w:val="nil"/>
            </w:tcBorders>
            <w:shd w:val="clear" w:color="auto" w:fill="auto"/>
            <w:noWrap/>
            <w:vAlign w:val="center"/>
            <w:hideMark/>
          </w:tcPr>
          <w:p w14:paraId="6BAD94A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0,03%</w:t>
            </w:r>
          </w:p>
        </w:tc>
        <w:tc>
          <w:tcPr>
            <w:tcW w:w="960" w:type="dxa"/>
            <w:tcBorders>
              <w:top w:val="nil"/>
              <w:left w:val="nil"/>
              <w:bottom w:val="nil"/>
              <w:right w:val="nil"/>
            </w:tcBorders>
            <w:shd w:val="clear" w:color="auto" w:fill="auto"/>
            <w:noWrap/>
            <w:vAlign w:val="bottom"/>
            <w:hideMark/>
          </w:tcPr>
          <w:p w14:paraId="7D2D8AF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37B818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066E89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0906-01</w:t>
            </w:r>
          </w:p>
        </w:tc>
        <w:tc>
          <w:tcPr>
            <w:tcW w:w="2380" w:type="dxa"/>
            <w:tcBorders>
              <w:top w:val="nil"/>
              <w:left w:val="nil"/>
              <w:bottom w:val="nil"/>
              <w:right w:val="nil"/>
            </w:tcBorders>
            <w:shd w:val="clear" w:color="auto" w:fill="auto"/>
            <w:noWrap/>
            <w:vAlign w:val="center"/>
            <w:hideMark/>
          </w:tcPr>
          <w:p w14:paraId="66F4FB9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Civilná ochrana</w:t>
            </w:r>
          </w:p>
        </w:tc>
        <w:tc>
          <w:tcPr>
            <w:tcW w:w="2000" w:type="dxa"/>
            <w:tcBorders>
              <w:top w:val="nil"/>
              <w:left w:val="nil"/>
              <w:bottom w:val="nil"/>
              <w:right w:val="nil"/>
            </w:tcBorders>
            <w:shd w:val="clear" w:color="auto" w:fill="auto"/>
            <w:noWrap/>
            <w:vAlign w:val="center"/>
            <w:hideMark/>
          </w:tcPr>
          <w:p w14:paraId="5F656FF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184CD2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1 193,90</w:t>
            </w:r>
          </w:p>
        </w:tc>
        <w:tc>
          <w:tcPr>
            <w:tcW w:w="960" w:type="dxa"/>
            <w:tcBorders>
              <w:top w:val="nil"/>
              <w:left w:val="nil"/>
              <w:bottom w:val="nil"/>
              <w:right w:val="nil"/>
            </w:tcBorders>
            <w:shd w:val="clear" w:color="auto" w:fill="auto"/>
            <w:noWrap/>
            <w:vAlign w:val="center"/>
            <w:hideMark/>
          </w:tcPr>
          <w:p w14:paraId="6EBEAE5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1,83%</w:t>
            </w:r>
          </w:p>
        </w:tc>
        <w:tc>
          <w:tcPr>
            <w:tcW w:w="960" w:type="dxa"/>
            <w:tcBorders>
              <w:top w:val="nil"/>
              <w:left w:val="nil"/>
              <w:bottom w:val="nil"/>
              <w:right w:val="nil"/>
            </w:tcBorders>
            <w:shd w:val="clear" w:color="auto" w:fill="auto"/>
            <w:noWrap/>
            <w:vAlign w:val="bottom"/>
            <w:hideMark/>
          </w:tcPr>
          <w:p w14:paraId="2432949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7A49EC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42510F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0907-01</w:t>
            </w:r>
          </w:p>
        </w:tc>
        <w:tc>
          <w:tcPr>
            <w:tcW w:w="2380" w:type="dxa"/>
            <w:tcBorders>
              <w:top w:val="nil"/>
              <w:left w:val="nil"/>
              <w:bottom w:val="nil"/>
              <w:right w:val="nil"/>
            </w:tcBorders>
            <w:shd w:val="clear" w:color="auto" w:fill="auto"/>
            <w:noWrap/>
            <w:vAlign w:val="center"/>
            <w:hideMark/>
          </w:tcPr>
          <w:p w14:paraId="4D09271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Knižnica</w:t>
            </w:r>
          </w:p>
        </w:tc>
        <w:tc>
          <w:tcPr>
            <w:tcW w:w="2000" w:type="dxa"/>
            <w:tcBorders>
              <w:top w:val="nil"/>
              <w:left w:val="nil"/>
              <w:bottom w:val="nil"/>
              <w:right w:val="nil"/>
            </w:tcBorders>
            <w:shd w:val="clear" w:color="auto" w:fill="auto"/>
            <w:noWrap/>
            <w:vAlign w:val="center"/>
            <w:hideMark/>
          </w:tcPr>
          <w:p w14:paraId="732DFA0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5DD690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401,9</w:t>
            </w:r>
          </w:p>
        </w:tc>
        <w:tc>
          <w:tcPr>
            <w:tcW w:w="960" w:type="dxa"/>
            <w:tcBorders>
              <w:top w:val="nil"/>
              <w:left w:val="nil"/>
              <w:bottom w:val="nil"/>
              <w:right w:val="nil"/>
            </w:tcBorders>
            <w:shd w:val="clear" w:color="auto" w:fill="auto"/>
            <w:noWrap/>
            <w:vAlign w:val="center"/>
            <w:hideMark/>
          </w:tcPr>
          <w:p w14:paraId="5A13423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0,62%</w:t>
            </w:r>
          </w:p>
        </w:tc>
        <w:tc>
          <w:tcPr>
            <w:tcW w:w="960" w:type="dxa"/>
            <w:tcBorders>
              <w:top w:val="nil"/>
              <w:left w:val="nil"/>
              <w:bottom w:val="nil"/>
              <w:right w:val="nil"/>
            </w:tcBorders>
            <w:shd w:val="clear" w:color="auto" w:fill="auto"/>
            <w:noWrap/>
            <w:vAlign w:val="bottom"/>
            <w:hideMark/>
          </w:tcPr>
          <w:p w14:paraId="2FE0A19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95FBF8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16C58F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0908-01</w:t>
            </w:r>
          </w:p>
        </w:tc>
        <w:tc>
          <w:tcPr>
            <w:tcW w:w="2380" w:type="dxa"/>
            <w:tcBorders>
              <w:top w:val="nil"/>
              <w:left w:val="nil"/>
              <w:bottom w:val="nil"/>
              <w:right w:val="nil"/>
            </w:tcBorders>
            <w:shd w:val="clear" w:color="auto" w:fill="auto"/>
            <w:noWrap/>
            <w:vAlign w:val="center"/>
            <w:hideMark/>
          </w:tcPr>
          <w:p w14:paraId="149CD9D0"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OIaSS</w:t>
            </w:r>
            <w:proofErr w:type="spellEnd"/>
          </w:p>
        </w:tc>
        <w:tc>
          <w:tcPr>
            <w:tcW w:w="2000" w:type="dxa"/>
            <w:tcBorders>
              <w:top w:val="nil"/>
              <w:left w:val="nil"/>
              <w:bottom w:val="nil"/>
              <w:right w:val="nil"/>
            </w:tcBorders>
            <w:shd w:val="clear" w:color="auto" w:fill="auto"/>
            <w:noWrap/>
            <w:vAlign w:val="center"/>
            <w:hideMark/>
          </w:tcPr>
          <w:p w14:paraId="605CC63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22E35E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365,86</w:t>
            </w:r>
          </w:p>
        </w:tc>
        <w:tc>
          <w:tcPr>
            <w:tcW w:w="960" w:type="dxa"/>
            <w:tcBorders>
              <w:top w:val="nil"/>
              <w:left w:val="nil"/>
              <w:bottom w:val="nil"/>
              <w:right w:val="nil"/>
            </w:tcBorders>
            <w:shd w:val="clear" w:color="auto" w:fill="auto"/>
            <w:noWrap/>
            <w:vAlign w:val="center"/>
            <w:hideMark/>
          </w:tcPr>
          <w:p w14:paraId="21D5CE2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0,56%</w:t>
            </w:r>
          </w:p>
        </w:tc>
        <w:tc>
          <w:tcPr>
            <w:tcW w:w="960" w:type="dxa"/>
            <w:tcBorders>
              <w:top w:val="nil"/>
              <w:left w:val="nil"/>
              <w:bottom w:val="nil"/>
              <w:right w:val="nil"/>
            </w:tcBorders>
            <w:shd w:val="clear" w:color="auto" w:fill="auto"/>
            <w:noWrap/>
            <w:vAlign w:val="bottom"/>
            <w:hideMark/>
          </w:tcPr>
          <w:p w14:paraId="2252B11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441E6E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9437C8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0909-01</w:t>
            </w:r>
          </w:p>
        </w:tc>
        <w:tc>
          <w:tcPr>
            <w:tcW w:w="2380" w:type="dxa"/>
            <w:tcBorders>
              <w:top w:val="nil"/>
              <w:left w:val="nil"/>
              <w:bottom w:val="nil"/>
              <w:right w:val="nil"/>
            </w:tcBorders>
            <w:shd w:val="clear" w:color="auto" w:fill="auto"/>
            <w:noWrap/>
            <w:vAlign w:val="center"/>
            <w:hideMark/>
          </w:tcPr>
          <w:p w14:paraId="3D0D22C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Vrátnica</w:t>
            </w:r>
          </w:p>
        </w:tc>
        <w:tc>
          <w:tcPr>
            <w:tcW w:w="2000" w:type="dxa"/>
            <w:tcBorders>
              <w:top w:val="nil"/>
              <w:left w:val="nil"/>
              <w:bottom w:val="nil"/>
              <w:right w:val="nil"/>
            </w:tcBorders>
            <w:shd w:val="clear" w:color="auto" w:fill="auto"/>
            <w:noWrap/>
            <w:vAlign w:val="center"/>
            <w:hideMark/>
          </w:tcPr>
          <w:p w14:paraId="3BFB2C8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DE88F9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7,42</w:t>
            </w:r>
          </w:p>
        </w:tc>
        <w:tc>
          <w:tcPr>
            <w:tcW w:w="960" w:type="dxa"/>
            <w:tcBorders>
              <w:top w:val="nil"/>
              <w:left w:val="nil"/>
              <w:bottom w:val="nil"/>
              <w:right w:val="nil"/>
            </w:tcBorders>
            <w:shd w:val="clear" w:color="auto" w:fill="auto"/>
            <w:noWrap/>
            <w:vAlign w:val="center"/>
            <w:hideMark/>
          </w:tcPr>
          <w:p w14:paraId="4DD9451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233C1D6F"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3D6824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F43A22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0910-01</w:t>
            </w:r>
          </w:p>
        </w:tc>
        <w:tc>
          <w:tcPr>
            <w:tcW w:w="2380" w:type="dxa"/>
            <w:tcBorders>
              <w:top w:val="nil"/>
              <w:left w:val="nil"/>
              <w:bottom w:val="nil"/>
              <w:right w:val="nil"/>
            </w:tcBorders>
            <w:shd w:val="clear" w:color="auto" w:fill="auto"/>
            <w:noWrap/>
            <w:vAlign w:val="center"/>
            <w:hideMark/>
          </w:tcPr>
          <w:p w14:paraId="60B1810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Strážna služba</w:t>
            </w:r>
          </w:p>
        </w:tc>
        <w:tc>
          <w:tcPr>
            <w:tcW w:w="2000" w:type="dxa"/>
            <w:tcBorders>
              <w:top w:val="nil"/>
              <w:left w:val="nil"/>
              <w:bottom w:val="nil"/>
              <w:right w:val="nil"/>
            </w:tcBorders>
            <w:shd w:val="clear" w:color="auto" w:fill="auto"/>
            <w:noWrap/>
            <w:vAlign w:val="center"/>
            <w:hideMark/>
          </w:tcPr>
          <w:p w14:paraId="14AF939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EBD6AC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56,28</w:t>
            </w:r>
          </w:p>
        </w:tc>
        <w:tc>
          <w:tcPr>
            <w:tcW w:w="960" w:type="dxa"/>
            <w:tcBorders>
              <w:top w:val="nil"/>
              <w:left w:val="nil"/>
              <w:bottom w:val="nil"/>
              <w:right w:val="nil"/>
            </w:tcBorders>
            <w:shd w:val="clear" w:color="auto" w:fill="auto"/>
            <w:noWrap/>
            <w:vAlign w:val="center"/>
            <w:hideMark/>
          </w:tcPr>
          <w:p w14:paraId="33B6689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0,09%</w:t>
            </w:r>
          </w:p>
        </w:tc>
        <w:tc>
          <w:tcPr>
            <w:tcW w:w="960" w:type="dxa"/>
            <w:tcBorders>
              <w:top w:val="nil"/>
              <w:left w:val="nil"/>
              <w:bottom w:val="nil"/>
              <w:right w:val="nil"/>
            </w:tcBorders>
            <w:shd w:val="clear" w:color="auto" w:fill="auto"/>
            <w:noWrap/>
            <w:vAlign w:val="bottom"/>
            <w:hideMark/>
          </w:tcPr>
          <w:p w14:paraId="77D6BB2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D34CE4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751107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0911-01</w:t>
            </w:r>
          </w:p>
        </w:tc>
        <w:tc>
          <w:tcPr>
            <w:tcW w:w="2380" w:type="dxa"/>
            <w:tcBorders>
              <w:top w:val="nil"/>
              <w:left w:val="nil"/>
              <w:bottom w:val="nil"/>
              <w:right w:val="nil"/>
            </w:tcBorders>
            <w:shd w:val="clear" w:color="auto" w:fill="auto"/>
            <w:noWrap/>
            <w:vAlign w:val="center"/>
            <w:hideMark/>
          </w:tcPr>
          <w:p w14:paraId="5BF2BA24"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Tel.ústredňa</w:t>
            </w:r>
            <w:proofErr w:type="spellEnd"/>
          </w:p>
        </w:tc>
        <w:tc>
          <w:tcPr>
            <w:tcW w:w="2000" w:type="dxa"/>
            <w:tcBorders>
              <w:top w:val="nil"/>
              <w:left w:val="nil"/>
              <w:bottom w:val="nil"/>
              <w:right w:val="nil"/>
            </w:tcBorders>
            <w:shd w:val="clear" w:color="auto" w:fill="auto"/>
            <w:noWrap/>
            <w:vAlign w:val="center"/>
            <w:hideMark/>
          </w:tcPr>
          <w:p w14:paraId="09DBE76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448F23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257,24</w:t>
            </w:r>
          </w:p>
        </w:tc>
        <w:tc>
          <w:tcPr>
            <w:tcW w:w="960" w:type="dxa"/>
            <w:tcBorders>
              <w:top w:val="nil"/>
              <w:left w:val="nil"/>
              <w:bottom w:val="nil"/>
              <w:right w:val="nil"/>
            </w:tcBorders>
            <w:shd w:val="clear" w:color="auto" w:fill="auto"/>
            <w:noWrap/>
            <w:vAlign w:val="center"/>
            <w:hideMark/>
          </w:tcPr>
          <w:p w14:paraId="0D822B9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0,40%</w:t>
            </w:r>
          </w:p>
        </w:tc>
        <w:tc>
          <w:tcPr>
            <w:tcW w:w="960" w:type="dxa"/>
            <w:tcBorders>
              <w:top w:val="nil"/>
              <w:left w:val="nil"/>
              <w:bottom w:val="nil"/>
              <w:right w:val="nil"/>
            </w:tcBorders>
            <w:shd w:val="clear" w:color="auto" w:fill="auto"/>
            <w:noWrap/>
            <w:vAlign w:val="bottom"/>
            <w:hideMark/>
          </w:tcPr>
          <w:p w14:paraId="55CEE50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02C6EAD"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DD95A7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0912-01</w:t>
            </w:r>
          </w:p>
        </w:tc>
        <w:tc>
          <w:tcPr>
            <w:tcW w:w="2380" w:type="dxa"/>
            <w:tcBorders>
              <w:top w:val="nil"/>
              <w:left w:val="nil"/>
              <w:bottom w:val="nil"/>
              <w:right w:val="nil"/>
            </w:tcBorders>
            <w:shd w:val="clear" w:color="auto" w:fill="auto"/>
            <w:noWrap/>
            <w:vAlign w:val="center"/>
            <w:hideMark/>
          </w:tcPr>
          <w:p w14:paraId="46718DA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Úsek pre </w:t>
            </w:r>
            <w:proofErr w:type="spellStart"/>
            <w:r w:rsidRPr="00E43879">
              <w:rPr>
                <w:rFonts w:ascii="Arial Narrow" w:hAnsi="Arial Narrow" w:cs="Calibri"/>
                <w:b/>
                <w:bCs/>
                <w:color w:val="000000"/>
                <w:sz w:val="20"/>
                <w:szCs w:val="20"/>
              </w:rPr>
              <w:t>ošetrov</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0D553A6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9AF6F3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259,9</w:t>
            </w:r>
          </w:p>
        </w:tc>
        <w:tc>
          <w:tcPr>
            <w:tcW w:w="960" w:type="dxa"/>
            <w:tcBorders>
              <w:top w:val="nil"/>
              <w:left w:val="nil"/>
              <w:bottom w:val="nil"/>
              <w:right w:val="nil"/>
            </w:tcBorders>
            <w:shd w:val="clear" w:color="auto" w:fill="auto"/>
            <w:noWrap/>
            <w:vAlign w:val="center"/>
            <w:hideMark/>
          </w:tcPr>
          <w:p w14:paraId="7A4A885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0,40%</w:t>
            </w:r>
          </w:p>
        </w:tc>
        <w:tc>
          <w:tcPr>
            <w:tcW w:w="960" w:type="dxa"/>
            <w:tcBorders>
              <w:top w:val="nil"/>
              <w:left w:val="nil"/>
              <w:bottom w:val="nil"/>
              <w:right w:val="nil"/>
            </w:tcBorders>
            <w:shd w:val="clear" w:color="auto" w:fill="auto"/>
            <w:noWrap/>
            <w:vAlign w:val="bottom"/>
            <w:hideMark/>
          </w:tcPr>
          <w:p w14:paraId="185D590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AAFE08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39ED19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0913-01</w:t>
            </w:r>
          </w:p>
        </w:tc>
        <w:tc>
          <w:tcPr>
            <w:tcW w:w="2380" w:type="dxa"/>
            <w:tcBorders>
              <w:top w:val="nil"/>
              <w:left w:val="nil"/>
              <w:bottom w:val="nil"/>
              <w:right w:val="nil"/>
            </w:tcBorders>
            <w:shd w:val="clear" w:color="auto" w:fill="auto"/>
            <w:noWrap/>
            <w:vAlign w:val="center"/>
            <w:hideMark/>
          </w:tcPr>
          <w:p w14:paraId="0EDB798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Kuchyňa</w:t>
            </w:r>
          </w:p>
        </w:tc>
        <w:tc>
          <w:tcPr>
            <w:tcW w:w="2000" w:type="dxa"/>
            <w:tcBorders>
              <w:top w:val="nil"/>
              <w:left w:val="nil"/>
              <w:bottom w:val="nil"/>
              <w:right w:val="nil"/>
            </w:tcBorders>
            <w:shd w:val="clear" w:color="auto" w:fill="auto"/>
            <w:noWrap/>
            <w:vAlign w:val="center"/>
            <w:hideMark/>
          </w:tcPr>
          <w:p w14:paraId="14D20A8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58EBD39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2 470,20</w:t>
            </w:r>
          </w:p>
        </w:tc>
        <w:tc>
          <w:tcPr>
            <w:tcW w:w="960" w:type="dxa"/>
            <w:tcBorders>
              <w:top w:val="nil"/>
              <w:left w:val="nil"/>
              <w:bottom w:val="nil"/>
              <w:right w:val="nil"/>
            </w:tcBorders>
            <w:shd w:val="clear" w:color="auto" w:fill="auto"/>
            <w:noWrap/>
            <w:vAlign w:val="center"/>
            <w:hideMark/>
          </w:tcPr>
          <w:p w14:paraId="6A21E25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3,79%</w:t>
            </w:r>
          </w:p>
        </w:tc>
        <w:tc>
          <w:tcPr>
            <w:tcW w:w="960" w:type="dxa"/>
            <w:tcBorders>
              <w:top w:val="nil"/>
              <w:left w:val="nil"/>
              <w:bottom w:val="nil"/>
              <w:right w:val="nil"/>
            </w:tcBorders>
            <w:shd w:val="clear" w:color="auto" w:fill="auto"/>
            <w:noWrap/>
            <w:vAlign w:val="bottom"/>
            <w:hideMark/>
          </w:tcPr>
          <w:p w14:paraId="30F4CED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6E2030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8456D6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0914-01</w:t>
            </w:r>
          </w:p>
        </w:tc>
        <w:tc>
          <w:tcPr>
            <w:tcW w:w="2380" w:type="dxa"/>
            <w:tcBorders>
              <w:top w:val="nil"/>
              <w:left w:val="nil"/>
              <w:bottom w:val="nil"/>
              <w:right w:val="nil"/>
            </w:tcBorders>
            <w:shd w:val="clear" w:color="auto" w:fill="auto"/>
            <w:noWrap/>
            <w:vAlign w:val="center"/>
            <w:hideMark/>
          </w:tcPr>
          <w:p w14:paraId="6A8260B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Práčovňa</w:t>
            </w:r>
          </w:p>
        </w:tc>
        <w:tc>
          <w:tcPr>
            <w:tcW w:w="2000" w:type="dxa"/>
            <w:tcBorders>
              <w:top w:val="nil"/>
              <w:left w:val="nil"/>
              <w:bottom w:val="nil"/>
              <w:right w:val="nil"/>
            </w:tcBorders>
            <w:shd w:val="clear" w:color="auto" w:fill="auto"/>
            <w:noWrap/>
            <w:vAlign w:val="center"/>
            <w:hideMark/>
          </w:tcPr>
          <w:p w14:paraId="26C4CF4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74FBFB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672,63</w:t>
            </w:r>
          </w:p>
        </w:tc>
        <w:tc>
          <w:tcPr>
            <w:tcW w:w="960" w:type="dxa"/>
            <w:tcBorders>
              <w:top w:val="nil"/>
              <w:left w:val="nil"/>
              <w:bottom w:val="nil"/>
              <w:right w:val="nil"/>
            </w:tcBorders>
            <w:shd w:val="clear" w:color="auto" w:fill="auto"/>
            <w:noWrap/>
            <w:vAlign w:val="center"/>
            <w:hideMark/>
          </w:tcPr>
          <w:p w14:paraId="797B884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1,03%</w:t>
            </w:r>
          </w:p>
        </w:tc>
        <w:tc>
          <w:tcPr>
            <w:tcW w:w="960" w:type="dxa"/>
            <w:tcBorders>
              <w:top w:val="nil"/>
              <w:left w:val="nil"/>
              <w:bottom w:val="nil"/>
              <w:right w:val="nil"/>
            </w:tcBorders>
            <w:shd w:val="clear" w:color="auto" w:fill="auto"/>
            <w:noWrap/>
            <w:vAlign w:val="bottom"/>
            <w:hideMark/>
          </w:tcPr>
          <w:p w14:paraId="1328FF9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9207C4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79AB56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0915-01</w:t>
            </w:r>
          </w:p>
        </w:tc>
        <w:tc>
          <w:tcPr>
            <w:tcW w:w="2380" w:type="dxa"/>
            <w:tcBorders>
              <w:top w:val="nil"/>
              <w:left w:val="nil"/>
              <w:bottom w:val="nil"/>
              <w:right w:val="nil"/>
            </w:tcBorders>
            <w:shd w:val="clear" w:color="auto" w:fill="auto"/>
            <w:noWrap/>
            <w:vAlign w:val="center"/>
            <w:hideMark/>
          </w:tcPr>
          <w:p w14:paraId="152D068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Doprava</w:t>
            </w:r>
          </w:p>
        </w:tc>
        <w:tc>
          <w:tcPr>
            <w:tcW w:w="2000" w:type="dxa"/>
            <w:tcBorders>
              <w:top w:val="nil"/>
              <w:left w:val="nil"/>
              <w:bottom w:val="nil"/>
              <w:right w:val="nil"/>
            </w:tcBorders>
            <w:shd w:val="clear" w:color="auto" w:fill="auto"/>
            <w:noWrap/>
            <w:vAlign w:val="center"/>
            <w:hideMark/>
          </w:tcPr>
          <w:p w14:paraId="7B6157E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075ABA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6,7</w:t>
            </w:r>
          </w:p>
        </w:tc>
        <w:tc>
          <w:tcPr>
            <w:tcW w:w="960" w:type="dxa"/>
            <w:tcBorders>
              <w:top w:val="nil"/>
              <w:left w:val="nil"/>
              <w:bottom w:val="nil"/>
              <w:right w:val="nil"/>
            </w:tcBorders>
            <w:shd w:val="clear" w:color="auto" w:fill="auto"/>
            <w:noWrap/>
            <w:vAlign w:val="center"/>
            <w:hideMark/>
          </w:tcPr>
          <w:p w14:paraId="1D47202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4CAA378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1EC866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E4C618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0916-01</w:t>
            </w:r>
          </w:p>
        </w:tc>
        <w:tc>
          <w:tcPr>
            <w:tcW w:w="2380" w:type="dxa"/>
            <w:tcBorders>
              <w:top w:val="nil"/>
              <w:left w:val="nil"/>
              <w:bottom w:val="nil"/>
              <w:right w:val="nil"/>
            </w:tcBorders>
            <w:shd w:val="clear" w:color="auto" w:fill="auto"/>
            <w:noWrap/>
            <w:vAlign w:val="center"/>
            <w:hideMark/>
          </w:tcPr>
          <w:p w14:paraId="434702B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Údržba</w:t>
            </w:r>
          </w:p>
        </w:tc>
        <w:tc>
          <w:tcPr>
            <w:tcW w:w="2000" w:type="dxa"/>
            <w:tcBorders>
              <w:top w:val="nil"/>
              <w:left w:val="nil"/>
              <w:bottom w:val="nil"/>
              <w:right w:val="nil"/>
            </w:tcBorders>
            <w:shd w:val="clear" w:color="auto" w:fill="auto"/>
            <w:noWrap/>
            <w:vAlign w:val="center"/>
            <w:hideMark/>
          </w:tcPr>
          <w:p w14:paraId="163FEB9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D3CDF4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403,75</w:t>
            </w:r>
          </w:p>
        </w:tc>
        <w:tc>
          <w:tcPr>
            <w:tcW w:w="960" w:type="dxa"/>
            <w:tcBorders>
              <w:top w:val="nil"/>
              <w:left w:val="nil"/>
              <w:bottom w:val="nil"/>
              <w:right w:val="nil"/>
            </w:tcBorders>
            <w:shd w:val="clear" w:color="auto" w:fill="auto"/>
            <w:noWrap/>
            <w:vAlign w:val="center"/>
            <w:hideMark/>
          </w:tcPr>
          <w:p w14:paraId="134EC38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0,62%</w:t>
            </w:r>
          </w:p>
        </w:tc>
        <w:tc>
          <w:tcPr>
            <w:tcW w:w="960" w:type="dxa"/>
            <w:tcBorders>
              <w:top w:val="nil"/>
              <w:left w:val="nil"/>
              <w:bottom w:val="nil"/>
              <w:right w:val="nil"/>
            </w:tcBorders>
            <w:shd w:val="clear" w:color="auto" w:fill="auto"/>
            <w:noWrap/>
            <w:vAlign w:val="bottom"/>
            <w:hideMark/>
          </w:tcPr>
          <w:p w14:paraId="4FB0850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228C78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9EE13D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0917-01</w:t>
            </w:r>
          </w:p>
        </w:tc>
        <w:tc>
          <w:tcPr>
            <w:tcW w:w="2380" w:type="dxa"/>
            <w:tcBorders>
              <w:top w:val="nil"/>
              <w:left w:val="nil"/>
              <w:bottom w:val="nil"/>
              <w:right w:val="nil"/>
            </w:tcBorders>
            <w:shd w:val="clear" w:color="auto" w:fill="auto"/>
            <w:noWrap/>
            <w:vAlign w:val="center"/>
            <w:hideMark/>
          </w:tcPr>
          <w:p w14:paraId="2D7BC578"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Uprat</w:t>
            </w:r>
            <w:proofErr w:type="spellEnd"/>
            <w:r w:rsidRPr="00E43879">
              <w:rPr>
                <w:rFonts w:ascii="Arial Narrow" w:hAnsi="Arial Narrow" w:cs="Calibri"/>
                <w:b/>
                <w:bCs/>
                <w:color w:val="000000"/>
                <w:sz w:val="20"/>
                <w:szCs w:val="20"/>
              </w:rPr>
              <w:t>. PK</w:t>
            </w:r>
          </w:p>
        </w:tc>
        <w:tc>
          <w:tcPr>
            <w:tcW w:w="2000" w:type="dxa"/>
            <w:tcBorders>
              <w:top w:val="nil"/>
              <w:left w:val="nil"/>
              <w:bottom w:val="nil"/>
              <w:right w:val="nil"/>
            </w:tcBorders>
            <w:shd w:val="clear" w:color="auto" w:fill="auto"/>
            <w:noWrap/>
            <w:vAlign w:val="center"/>
            <w:hideMark/>
          </w:tcPr>
          <w:p w14:paraId="0053667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A8D820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180,64</w:t>
            </w:r>
          </w:p>
        </w:tc>
        <w:tc>
          <w:tcPr>
            <w:tcW w:w="960" w:type="dxa"/>
            <w:tcBorders>
              <w:top w:val="nil"/>
              <w:left w:val="nil"/>
              <w:bottom w:val="nil"/>
              <w:right w:val="nil"/>
            </w:tcBorders>
            <w:shd w:val="clear" w:color="auto" w:fill="auto"/>
            <w:noWrap/>
            <w:vAlign w:val="center"/>
            <w:hideMark/>
          </w:tcPr>
          <w:p w14:paraId="41C0ED0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0,28%</w:t>
            </w:r>
          </w:p>
        </w:tc>
        <w:tc>
          <w:tcPr>
            <w:tcW w:w="960" w:type="dxa"/>
            <w:tcBorders>
              <w:top w:val="nil"/>
              <w:left w:val="nil"/>
              <w:bottom w:val="nil"/>
              <w:right w:val="nil"/>
            </w:tcBorders>
            <w:shd w:val="clear" w:color="auto" w:fill="auto"/>
            <w:noWrap/>
            <w:vAlign w:val="bottom"/>
            <w:hideMark/>
          </w:tcPr>
          <w:p w14:paraId="2152022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B42F95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17BD64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0917-02</w:t>
            </w:r>
          </w:p>
        </w:tc>
        <w:tc>
          <w:tcPr>
            <w:tcW w:w="2380" w:type="dxa"/>
            <w:tcBorders>
              <w:top w:val="nil"/>
              <w:left w:val="nil"/>
              <w:bottom w:val="nil"/>
              <w:right w:val="nil"/>
            </w:tcBorders>
            <w:shd w:val="clear" w:color="auto" w:fill="auto"/>
            <w:noWrap/>
            <w:vAlign w:val="center"/>
            <w:hideMark/>
          </w:tcPr>
          <w:p w14:paraId="16D7E671"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Uprat.DPK</w:t>
            </w:r>
            <w:proofErr w:type="spellEnd"/>
          </w:p>
        </w:tc>
        <w:tc>
          <w:tcPr>
            <w:tcW w:w="2000" w:type="dxa"/>
            <w:tcBorders>
              <w:top w:val="nil"/>
              <w:left w:val="nil"/>
              <w:bottom w:val="nil"/>
              <w:right w:val="nil"/>
            </w:tcBorders>
            <w:shd w:val="clear" w:color="auto" w:fill="auto"/>
            <w:noWrap/>
            <w:vAlign w:val="center"/>
            <w:hideMark/>
          </w:tcPr>
          <w:p w14:paraId="73B03A9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AC3AB6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34,55</w:t>
            </w:r>
          </w:p>
        </w:tc>
        <w:tc>
          <w:tcPr>
            <w:tcW w:w="960" w:type="dxa"/>
            <w:tcBorders>
              <w:top w:val="nil"/>
              <w:left w:val="nil"/>
              <w:bottom w:val="nil"/>
              <w:right w:val="nil"/>
            </w:tcBorders>
            <w:shd w:val="clear" w:color="auto" w:fill="auto"/>
            <w:noWrap/>
            <w:vAlign w:val="center"/>
            <w:hideMark/>
          </w:tcPr>
          <w:p w14:paraId="4F92BF3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4BBEA16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C5B7C6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3650B7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0917-03</w:t>
            </w:r>
          </w:p>
        </w:tc>
        <w:tc>
          <w:tcPr>
            <w:tcW w:w="2380" w:type="dxa"/>
            <w:tcBorders>
              <w:top w:val="nil"/>
              <w:left w:val="nil"/>
              <w:bottom w:val="nil"/>
              <w:right w:val="nil"/>
            </w:tcBorders>
            <w:shd w:val="clear" w:color="auto" w:fill="auto"/>
            <w:noWrap/>
            <w:vAlign w:val="center"/>
            <w:hideMark/>
          </w:tcPr>
          <w:p w14:paraId="56750A20"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Refrát</w:t>
            </w:r>
            <w:proofErr w:type="spellEnd"/>
            <w:r w:rsidRPr="00E43879">
              <w:rPr>
                <w:rFonts w:ascii="Arial Narrow" w:hAnsi="Arial Narrow" w:cs="Calibri"/>
                <w:b/>
                <w:bCs/>
                <w:color w:val="000000"/>
                <w:sz w:val="20"/>
                <w:szCs w:val="20"/>
              </w:rPr>
              <w:t xml:space="preserve"> hygieny a </w:t>
            </w:r>
            <w:proofErr w:type="spellStart"/>
            <w:r w:rsidRPr="00E43879">
              <w:rPr>
                <w:rFonts w:ascii="Arial Narrow" w:hAnsi="Arial Narrow" w:cs="Calibri"/>
                <w:b/>
                <w:bCs/>
                <w:color w:val="000000"/>
                <w:sz w:val="20"/>
                <w:szCs w:val="20"/>
              </w:rPr>
              <w:t>epid</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6312552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15A7A3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16</w:t>
            </w:r>
          </w:p>
        </w:tc>
        <w:tc>
          <w:tcPr>
            <w:tcW w:w="960" w:type="dxa"/>
            <w:tcBorders>
              <w:top w:val="nil"/>
              <w:left w:val="nil"/>
              <w:bottom w:val="nil"/>
              <w:right w:val="nil"/>
            </w:tcBorders>
            <w:shd w:val="clear" w:color="auto" w:fill="auto"/>
            <w:noWrap/>
            <w:vAlign w:val="center"/>
            <w:hideMark/>
          </w:tcPr>
          <w:p w14:paraId="1710364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63FFEE0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D7CB08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CBF560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0918-01</w:t>
            </w:r>
          </w:p>
        </w:tc>
        <w:tc>
          <w:tcPr>
            <w:tcW w:w="2380" w:type="dxa"/>
            <w:tcBorders>
              <w:top w:val="nil"/>
              <w:left w:val="nil"/>
              <w:bottom w:val="nil"/>
              <w:right w:val="nil"/>
            </w:tcBorders>
            <w:shd w:val="clear" w:color="auto" w:fill="auto"/>
            <w:noWrap/>
            <w:vAlign w:val="center"/>
            <w:hideMark/>
          </w:tcPr>
          <w:p w14:paraId="23550F3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Energetické zdroje</w:t>
            </w:r>
          </w:p>
        </w:tc>
        <w:tc>
          <w:tcPr>
            <w:tcW w:w="2000" w:type="dxa"/>
            <w:tcBorders>
              <w:top w:val="nil"/>
              <w:left w:val="nil"/>
              <w:bottom w:val="nil"/>
              <w:right w:val="nil"/>
            </w:tcBorders>
            <w:shd w:val="clear" w:color="auto" w:fill="auto"/>
            <w:noWrap/>
            <w:vAlign w:val="center"/>
            <w:hideMark/>
          </w:tcPr>
          <w:p w14:paraId="11353FF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2E3CD2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68,78</w:t>
            </w:r>
          </w:p>
        </w:tc>
        <w:tc>
          <w:tcPr>
            <w:tcW w:w="960" w:type="dxa"/>
            <w:tcBorders>
              <w:top w:val="nil"/>
              <w:left w:val="nil"/>
              <w:bottom w:val="nil"/>
              <w:right w:val="nil"/>
            </w:tcBorders>
            <w:shd w:val="clear" w:color="auto" w:fill="auto"/>
            <w:noWrap/>
            <w:vAlign w:val="center"/>
            <w:hideMark/>
          </w:tcPr>
          <w:p w14:paraId="38425CF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0,11%</w:t>
            </w:r>
          </w:p>
        </w:tc>
        <w:tc>
          <w:tcPr>
            <w:tcW w:w="960" w:type="dxa"/>
            <w:tcBorders>
              <w:top w:val="nil"/>
              <w:left w:val="nil"/>
              <w:bottom w:val="nil"/>
              <w:right w:val="nil"/>
            </w:tcBorders>
            <w:shd w:val="clear" w:color="auto" w:fill="auto"/>
            <w:noWrap/>
            <w:vAlign w:val="bottom"/>
            <w:hideMark/>
          </w:tcPr>
          <w:p w14:paraId="64F6072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A3A45C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38C99E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0918-02</w:t>
            </w:r>
          </w:p>
        </w:tc>
        <w:tc>
          <w:tcPr>
            <w:tcW w:w="2380" w:type="dxa"/>
            <w:tcBorders>
              <w:top w:val="nil"/>
              <w:left w:val="nil"/>
              <w:bottom w:val="nil"/>
              <w:right w:val="nil"/>
            </w:tcBorders>
            <w:shd w:val="clear" w:color="auto" w:fill="auto"/>
            <w:noWrap/>
            <w:vAlign w:val="center"/>
            <w:hideMark/>
          </w:tcPr>
          <w:p w14:paraId="03F85C74"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Medic.plyny</w:t>
            </w:r>
            <w:proofErr w:type="spellEnd"/>
          </w:p>
        </w:tc>
        <w:tc>
          <w:tcPr>
            <w:tcW w:w="2000" w:type="dxa"/>
            <w:tcBorders>
              <w:top w:val="nil"/>
              <w:left w:val="nil"/>
              <w:bottom w:val="nil"/>
              <w:right w:val="nil"/>
            </w:tcBorders>
            <w:shd w:val="clear" w:color="auto" w:fill="auto"/>
            <w:noWrap/>
            <w:vAlign w:val="center"/>
            <w:hideMark/>
          </w:tcPr>
          <w:p w14:paraId="69FF907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C55827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206,8</w:t>
            </w:r>
          </w:p>
        </w:tc>
        <w:tc>
          <w:tcPr>
            <w:tcW w:w="960" w:type="dxa"/>
            <w:tcBorders>
              <w:top w:val="nil"/>
              <w:left w:val="nil"/>
              <w:bottom w:val="nil"/>
              <w:right w:val="nil"/>
            </w:tcBorders>
            <w:shd w:val="clear" w:color="auto" w:fill="auto"/>
            <w:noWrap/>
            <w:vAlign w:val="center"/>
            <w:hideMark/>
          </w:tcPr>
          <w:p w14:paraId="477ADE4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0,32%</w:t>
            </w:r>
          </w:p>
        </w:tc>
        <w:tc>
          <w:tcPr>
            <w:tcW w:w="960" w:type="dxa"/>
            <w:tcBorders>
              <w:top w:val="nil"/>
              <w:left w:val="nil"/>
              <w:bottom w:val="nil"/>
              <w:right w:val="nil"/>
            </w:tcBorders>
            <w:shd w:val="clear" w:color="auto" w:fill="auto"/>
            <w:noWrap/>
            <w:vAlign w:val="bottom"/>
            <w:hideMark/>
          </w:tcPr>
          <w:p w14:paraId="4FAE3BD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727CE0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892BBC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0919-01</w:t>
            </w:r>
          </w:p>
        </w:tc>
        <w:tc>
          <w:tcPr>
            <w:tcW w:w="2380" w:type="dxa"/>
            <w:tcBorders>
              <w:top w:val="nil"/>
              <w:left w:val="nil"/>
              <w:bottom w:val="nil"/>
              <w:right w:val="nil"/>
            </w:tcBorders>
            <w:shd w:val="clear" w:color="auto" w:fill="auto"/>
            <w:noWrap/>
            <w:vAlign w:val="center"/>
            <w:hideMark/>
          </w:tcPr>
          <w:p w14:paraId="1039AF4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Spaľovňa</w:t>
            </w:r>
          </w:p>
        </w:tc>
        <w:tc>
          <w:tcPr>
            <w:tcW w:w="2000" w:type="dxa"/>
            <w:tcBorders>
              <w:top w:val="nil"/>
              <w:left w:val="nil"/>
              <w:bottom w:val="nil"/>
              <w:right w:val="nil"/>
            </w:tcBorders>
            <w:shd w:val="clear" w:color="auto" w:fill="auto"/>
            <w:noWrap/>
            <w:vAlign w:val="center"/>
            <w:hideMark/>
          </w:tcPr>
          <w:p w14:paraId="1005502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6E054C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35,4</w:t>
            </w:r>
          </w:p>
        </w:tc>
        <w:tc>
          <w:tcPr>
            <w:tcW w:w="960" w:type="dxa"/>
            <w:tcBorders>
              <w:top w:val="nil"/>
              <w:left w:val="nil"/>
              <w:bottom w:val="nil"/>
              <w:right w:val="nil"/>
            </w:tcBorders>
            <w:shd w:val="clear" w:color="auto" w:fill="auto"/>
            <w:noWrap/>
            <w:vAlign w:val="center"/>
            <w:hideMark/>
          </w:tcPr>
          <w:p w14:paraId="572094F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17FF45D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3B9D8B5"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D16E85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0920-01</w:t>
            </w:r>
          </w:p>
        </w:tc>
        <w:tc>
          <w:tcPr>
            <w:tcW w:w="2380" w:type="dxa"/>
            <w:tcBorders>
              <w:top w:val="nil"/>
              <w:left w:val="nil"/>
              <w:bottom w:val="nil"/>
              <w:right w:val="nil"/>
            </w:tcBorders>
            <w:shd w:val="clear" w:color="auto" w:fill="auto"/>
            <w:noWrap/>
            <w:vAlign w:val="center"/>
            <w:hideMark/>
          </w:tcPr>
          <w:p w14:paraId="42DBFB4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Záhrada</w:t>
            </w:r>
          </w:p>
        </w:tc>
        <w:tc>
          <w:tcPr>
            <w:tcW w:w="2000" w:type="dxa"/>
            <w:tcBorders>
              <w:top w:val="nil"/>
              <w:left w:val="nil"/>
              <w:bottom w:val="nil"/>
              <w:right w:val="nil"/>
            </w:tcBorders>
            <w:shd w:val="clear" w:color="auto" w:fill="auto"/>
            <w:noWrap/>
            <w:vAlign w:val="center"/>
            <w:hideMark/>
          </w:tcPr>
          <w:p w14:paraId="0C43393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9F7DBB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292,9</w:t>
            </w:r>
          </w:p>
        </w:tc>
        <w:tc>
          <w:tcPr>
            <w:tcW w:w="960" w:type="dxa"/>
            <w:tcBorders>
              <w:top w:val="nil"/>
              <w:left w:val="nil"/>
              <w:bottom w:val="nil"/>
              <w:right w:val="nil"/>
            </w:tcBorders>
            <w:shd w:val="clear" w:color="auto" w:fill="auto"/>
            <w:noWrap/>
            <w:vAlign w:val="center"/>
            <w:hideMark/>
          </w:tcPr>
          <w:p w14:paraId="04B3B27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0,45%</w:t>
            </w:r>
          </w:p>
        </w:tc>
        <w:tc>
          <w:tcPr>
            <w:tcW w:w="960" w:type="dxa"/>
            <w:tcBorders>
              <w:top w:val="nil"/>
              <w:left w:val="nil"/>
              <w:bottom w:val="nil"/>
              <w:right w:val="nil"/>
            </w:tcBorders>
            <w:shd w:val="clear" w:color="auto" w:fill="auto"/>
            <w:noWrap/>
            <w:vAlign w:val="bottom"/>
            <w:hideMark/>
          </w:tcPr>
          <w:p w14:paraId="7CD1B280"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B23405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BBB432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0921-01</w:t>
            </w:r>
          </w:p>
        </w:tc>
        <w:tc>
          <w:tcPr>
            <w:tcW w:w="2380" w:type="dxa"/>
            <w:tcBorders>
              <w:top w:val="nil"/>
              <w:left w:val="nil"/>
              <w:bottom w:val="nil"/>
              <w:right w:val="nil"/>
            </w:tcBorders>
            <w:shd w:val="clear" w:color="auto" w:fill="auto"/>
            <w:noWrap/>
            <w:vAlign w:val="center"/>
            <w:hideMark/>
          </w:tcPr>
          <w:p w14:paraId="3A0B761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Sklad</w:t>
            </w:r>
          </w:p>
        </w:tc>
        <w:tc>
          <w:tcPr>
            <w:tcW w:w="2000" w:type="dxa"/>
            <w:tcBorders>
              <w:top w:val="nil"/>
              <w:left w:val="nil"/>
              <w:bottom w:val="nil"/>
              <w:right w:val="nil"/>
            </w:tcBorders>
            <w:shd w:val="clear" w:color="auto" w:fill="auto"/>
            <w:noWrap/>
            <w:vAlign w:val="center"/>
            <w:hideMark/>
          </w:tcPr>
          <w:p w14:paraId="64BD810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50AF5D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586,9</w:t>
            </w:r>
          </w:p>
        </w:tc>
        <w:tc>
          <w:tcPr>
            <w:tcW w:w="960" w:type="dxa"/>
            <w:tcBorders>
              <w:top w:val="nil"/>
              <w:left w:val="nil"/>
              <w:bottom w:val="nil"/>
              <w:right w:val="nil"/>
            </w:tcBorders>
            <w:shd w:val="clear" w:color="auto" w:fill="auto"/>
            <w:noWrap/>
            <w:vAlign w:val="center"/>
            <w:hideMark/>
          </w:tcPr>
          <w:p w14:paraId="20869B0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0,90%</w:t>
            </w:r>
          </w:p>
        </w:tc>
        <w:tc>
          <w:tcPr>
            <w:tcW w:w="960" w:type="dxa"/>
            <w:tcBorders>
              <w:top w:val="nil"/>
              <w:left w:val="nil"/>
              <w:bottom w:val="nil"/>
              <w:right w:val="nil"/>
            </w:tcBorders>
            <w:shd w:val="clear" w:color="auto" w:fill="auto"/>
            <w:noWrap/>
            <w:vAlign w:val="bottom"/>
            <w:hideMark/>
          </w:tcPr>
          <w:p w14:paraId="66F5B4B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1EDC42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2679A8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0978-01</w:t>
            </w:r>
          </w:p>
        </w:tc>
        <w:tc>
          <w:tcPr>
            <w:tcW w:w="2380" w:type="dxa"/>
            <w:tcBorders>
              <w:top w:val="nil"/>
              <w:left w:val="nil"/>
              <w:bottom w:val="nil"/>
              <w:right w:val="nil"/>
            </w:tcBorders>
            <w:shd w:val="clear" w:color="auto" w:fill="auto"/>
            <w:noWrap/>
            <w:vAlign w:val="center"/>
            <w:hideMark/>
          </w:tcPr>
          <w:p w14:paraId="2BA0EA5E"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Nerozl.nákl.zdrav</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574BD52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33C9A6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1 094,40</w:t>
            </w:r>
          </w:p>
        </w:tc>
        <w:tc>
          <w:tcPr>
            <w:tcW w:w="960" w:type="dxa"/>
            <w:tcBorders>
              <w:top w:val="nil"/>
              <w:left w:val="nil"/>
              <w:bottom w:val="nil"/>
              <w:right w:val="nil"/>
            </w:tcBorders>
            <w:shd w:val="clear" w:color="auto" w:fill="auto"/>
            <w:noWrap/>
            <w:vAlign w:val="center"/>
            <w:hideMark/>
          </w:tcPr>
          <w:p w14:paraId="16FB159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1,68%</w:t>
            </w:r>
          </w:p>
        </w:tc>
        <w:tc>
          <w:tcPr>
            <w:tcW w:w="960" w:type="dxa"/>
            <w:tcBorders>
              <w:top w:val="nil"/>
              <w:left w:val="nil"/>
              <w:bottom w:val="nil"/>
              <w:right w:val="nil"/>
            </w:tcBorders>
            <w:shd w:val="clear" w:color="auto" w:fill="auto"/>
            <w:noWrap/>
            <w:vAlign w:val="bottom"/>
            <w:hideMark/>
          </w:tcPr>
          <w:p w14:paraId="3978FF7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0693B6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98C293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0984-01</w:t>
            </w:r>
          </w:p>
        </w:tc>
        <w:tc>
          <w:tcPr>
            <w:tcW w:w="2380" w:type="dxa"/>
            <w:tcBorders>
              <w:top w:val="nil"/>
              <w:left w:val="nil"/>
              <w:bottom w:val="nil"/>
              <w:right w:val="nil"/>
            </w:tcBorders>
            <w:shd w:val="clear" w:color="auto" w:fill="auto"/>
            <w:noWrap/>
            <w:vAlign w:val="center"/>
            <w:hideMark/>
          </w:tcPr>
          <w:p w14:paraId="21173E90"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Hosp.mobilizácia</w:t>
            </w:r>
            <w:proofErr w:type="spellEnd"/>
          </w:p>
        </w:tc>
        <w:tc>
          <w:tcPr>
            <w:tcW w:w="2000" w:type="dxa"/>
            <w:tcBorders>
              <w:top w:val="nil"/>
              <w:left w:val="nil"/>
              <w:bottom w:val="nil"/>
              <w:right w:val="nil"/>
            </w:tcBorders>
            <w:shd w:val="clear" w:color="auto" w:fill="auto"/>
            <w:noWrap/>
            <w:vAlign w:val="center"/>
            <w:hideMark/>
          </w:tcPr>
          <w:p w14:paraId="13C7EAA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7813E4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58,38</w:t>
            </w:r>
          </w:p>
        </w:tc>
        <w:tc>
          <w:tcPr>
            <w:tcW w:w="960" w:type="dxa"/>
            <w:tcBorders>
              <w:top w:val="nil"/>
              <w:left w:val="nil"/>
              <w:bottom w:val="nil"/>
              <w:right w:val="nil"/>
            </w:tcBorders>
            <w:shd w:val="clear" w:color="auto" w:fill="auto"/>
            <w:noWrap/>
            <w:vAlign w:val="center"/>
            <w:hideMark/>
          </w:tcPr>
          <w:p w14:paraId="343E826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0,09%</w:t>
            </w:r>
          </w:p>
        </w:tc>
        <w:tc>
          <w:tcPr>
            <w:tcW w:w="960" w:type="dxa"/>
            <w:tcBorders>
              <w:top w:val="nil"/>
              <w:left w:val="nil"/>
              <w:bottom w:val="nil"/>
              <w:right w:val="nil"/>
            </w:tcBorders>
            <w:shd w:val="clear" w:color="auto" w:fill="auto"/>
            <w:noWrap/>
            <w:vAlign w:val="bottom"/>
            <w:hideMark/>
          </w:tcPr>
          <w:p w14:paraId="5D1CAEC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276967F"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501943C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0986-04</w:t>
            </w:r>
          </w:p>
        </w:tc>
        <w:tc>
          <w:tcPr>
            <w:tcW w:w="2380" w:type="dxa"/>
            <w:tcBorders>
              <w:top w:val="nil"/>
              <w:left w:val="nil"/>
              <w:bottom w:val="nil"/>
              <w:right w:val="nil"/>
            </w:tcBorders>
            <w:shd w:val="clear" w:color="000000" w:fill="DCE6F1"/>
            <w:noWrap/>
            <w:vAlign w:val="center"/>
            <w:hideMark/>
          </w:tcPr>
          <w:p w14:paraId="7449DCD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Závodné stravovanie</w:t>
            </w:r>
          </w:p>
        </w:tc>
        <w:tc>
          <w:tcPr>
            <w:tcW w:w="2000" w:type="dxa"/>
            <w:tcBorders>
              <w:top w:val="nil"/>
              <w:left w:val="nil"/>
              <w:bottom w:val="nil"/>
              <w:right w:val="nil"/>
            </w:tcBorders>
            <w:shd w:val="clear" w:color="000000" w:fill="DCE6F1"/>
            <w:noWrap/>
            <w:vAlign w:val="center"/>
            <w:hideMark/>
          </w:tcPr>
          <w:p w14:paraId="50AA231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000000" w:fill="DCE6F1"/>
            <w:noWrap/>
            <w:vAlign w:val="center"/>
            <w:hideMark/>
          </w:tcPr>
          <w:p w14:paraId="2A11BE8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1 107,20</w:t>
            </w:r>
          </w:p>
        </w:tc>
        <w:tc>
          <w:tcPr>
            <w:tcW w:w="960" w:type="dxa"/>
            <w:tcBorders>
              <w:top w:val="nil"/>
              <w:left w:val="nil"/>
              <w:bottom w:val="nil"/>
              <w:right w:val="nil"/>
            </w:tcBorders>
            <w:shd w:val="clear" w:color="000000" w:fill="DCE6F1"/>
            <w:noWrap/>
            <w:vAlign w:val="center"/>
            <w:hideMark/>
          </w:tcPr>
          <w:p w14:paraId="05C6A38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1,70%</w:t>
            </w:r>
          </w:p>
        </w:tc>
        <w:tc>
          <w:tcPr>
            <w:tcW w:w="960" w:type="dxa"/>
            <w:vMerge w:val="restart"/>
            <w:tcBorders>
              <w:top w:val="nil"/>
              <w:left w:val="nil"/>
              <w:bottom w:val="nil"/>
              <w:right w:val="nil"/>
            </w:tcBorders>
            <w:shd w:val="clear" w:color="000000" w:fill="DCE6F1"/>
            <w:textDirection w:val="btLr"/>
            <w:vAlign w:val="center"/>
            <w:hideMark/>
          </w:tcPr>
          <w:p w14:paraId="307C0FC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Podnikateľská činnosť</w:t>
            </w:r>
          </w:p>
        </w:tc>
      </w:tr>
      <w:tr w:rsidR="00E43879" w:rsidRPr="00E43879" w14:paraId="38C743B3"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3A783F0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0986-05</w:t>
            </w:r>
          </w:p>
        </w:tc>
        <w:tc>
          <w:tcPr>
            <w:tcW w:w="2380" w:type="dxa"/>
            <w:tcBorders>
              <w:top w:val="nil"/>
              <w:left w:val="nil"/>
              <w:bottom w:val="nil"/>
              <w:right w:val="nil"/>
            </w:tcBorders>
            <w:shd w:val="clear" w:color="000000" w:fill="DCE6F1"/>
            <w:noWrap/>
            <w:vAlign w:val="center"/>
            <w:hideMark/>
          </w:tcPr>
          <w:p w14:paraId="3216046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Pranie PČ</w:t>
            </w:r>
          </w:p>
        </w:tc>
        <w:tc>
          <w:tcPr>
            <w:tcW w:w="2000" w:type="dxa"/>
            <w:tcBorders>
              <w:top w:val="nil"/>
              <w:left w:val="nil"/>
              <w:bottom w:val="nil"/>
              <w:right w:val="nil"/>
            </w:tcBorders>
            <w:shd w:val="clear" w:color="000000" w:fill="DCE6F1"/>
            <w:noWrap/>
            <w:vAlign w:val="center"/>
            <w:hideMark/>
          </w:tcPr>
          <w:p w14:paraId="11B37A4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000000" w:fill="DCE6F1"/>
            <w:noWrap/>
            <w:vAlign w:val="center"/>
            <w:hideMark/>
          </w:tcPr>
          <w:p w14:paraId="2D66924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27,44</w:t>
            </w:r>
          </w:p>
        </w:tc>
        <w:tc>
          <w:tcPr>
            <w:tcW w:w="960" w:type="dxa"/>
            <w:tcBorders>
              <w:top w:val="nil"/>
              <w:left w:val="nil"/>
              <w:bottom w:val="nil"/>
              <w:right w:val="nil"/>
            </w:tcBorders>
            <w:shd w:val="clear" w:color="000000" w:fill="DCE6F1"/>
            <w:noWrap/>
            <w:vAlign w:val="center"/>
            <w:hideMark/>
          </w:tcPr>
          <w:p w14:paraId="5306157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0,04%</w:t>
            </w:r>
          </w:p>
        </w:tc>
        <w:tc>
          <w:tcPr>
            <w:tcW w:w="960" w:type="dxa"/>
            <w:vMerge/>
            <w:tcBorders>
              <w:top w:val="nil"/>
              <w:left w:val="nil"/>
              <w:bottom w:val="nil"/>
              <w:right w:val="nil"/>
            </w:tcBorders>
            <w:vAlign w:val="center"/>
            <w:hideMark/>
          </w:tcPr>
          <w:p w14:paraId="2B71689E" w14:textId="77777777" w:rsidR="00E43879" w:rsidRPr="00E43879" w:rsidRDefault="00E43879" w:rsidP="00E43879">
            <w:pPr>
              <w:spacing w:line="240" w:lineRule="auto"/>
              <w:jc w:val="left"/>
              <w:rPr>
                <w:rFonts w:ascii="Arial Narrow" w:hAnsi="Arial Narrow" w:cs="Calibri"/>
                <w:color w:val="000000"/>
                <w:sz w:val="20"/>
                <w:szCs w:val="20"/>
              </w:rPr>
            </w:pPr>
          </w:p>
        </w:tc>
      </w:tr>
      <w:tr w:rsidR="00E43879" w:rsidRPr="00E43879" w14:paraId="3FCF7A41"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4F7CFCB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0986-20</w:t>
            </w:r>
          </w:p>
        </w:tc>
        <w:tc>
          <w:tcPr>
            <w:tcW w:w="2380" w:type="dxa"/>
            <w:tcBorders>
              <w:top w:val="nil"/>
              <w:left w:val="nil"/>
              <w:bottom w:val="nil"/>
              <w:right w:val="nil"/>
            </w:tcBorders>
            <w:shd w:val="clear" w:color="000000" w:fill="DCE6F1"/>
            <w:noWrap/>
            <w:vAlign w:val="center"/>
            <w:hideMark/>
          </w:tcPr>
          <w:p w14:paraId="08F9199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Služby spoj. s nájmom</w:t>
            </w:r>
          </w:p>
        </w:tc>
        <w:tc>
          <w:tcPr>
            <w:tcW w:w="2000" w:type="dxa"/>
            <w:tcBorders>
              <w:top w:val="nil"/>
              <w:left w:val="nil"/>
              <w:bottom w:val="nil"/>
              <w:right w:val="nil"/>
            </w:tcBorders>
            <w:shd w:val="clear" w:color="000000" w:fill="DCE6F1"/>
            <w:noWrap/>
            <w:vAlign w:val="center"/>
            <w:hideMark/>
          </w:tcPr>
          <w:p w14:paraId="5758309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000000" w:fill="DCE6F1"/>
            <w:noWrap/>
            <w:vAlign w:val="center"/>
            <w:hideMark/>
          </w:tcPr>
          <w:p w14:paraId="6D4BFBA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6 402,28</w:t>
            </w:r>
          </w:p>
        </w:tc>
        <w:tc>
          <w:tcPr>
            <w:tcW w:w="960" w:type="dxa"/>
            <w:tcBorders>
              <w:top w:val="nil"/>
              <w:left w:val="nil"/>
              <w:bottom w:val="nil"/>
              <w:right w:val="nil"/>
            </w:tcBorders>
            <w:shd w:val="clear" w:color="000000" w:fill="DCE6F1"/>
            <w:noWrap/>
            <w:vAlign w:val="center"/>
            <w:hideMark/>
          </w:tcPr>
          <w:p w14:paraId="1702DCE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9,83%</w:t>
            </w:r>
          </w:p>
        </w:tc>
        <w:tc>
          <w:tcPr>
            <w:tcW w:w="960" w:type="dxa"/>
            <w:vMerge/>
            <w:tcBorders>
              <w:top w:val="nil"/>
              <w:left w:val="nil"/>
              <w:bottom w:val="nil"/>
              <w:right w:val="nil"/>
            </w:tcBorders>
            <w:vAlign w:val="center"/>
            <w:hideMark/>
          </w:tcPr>
          <w:p w14:paraId="63E0BD6A" w14:textId="77777777" w:rsidR="00E43879" w:rsidRPr="00E43879" w:rsidRDefault="00E43879" w:rsidP="00E43879">
            <w:pPr>
              <w:spacing w:line="240" w:lineRule="auto"/>
              <w:jc w:val="left"/>
              <w:rPr>
                <w:rFonts w:ascii="Arial Narrow" w:hAnsi="Arial Narrow" w:cs="Calibri"/>
                <w:color w:val="000000"/>
                <w:sz w:val="20"/>
                <w:szCs w:val="20"/>
              </w:rPr>
            </w:pPr>
          </w:p>
        </w:tc>
      </w:tr>
      <w:tr w:rsidR="00E43879" w:rsidRPr="00E43879" w14:paraId="51CF6A40"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1591D4E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0986-50</w:t>
            </w:r>
          </w:p>
        </w:tc>
        <w:tc>
          <w:tcPr>
            <w:tcW w:w="2380" w:type="dxa"/>
            <w:tcBorders>
              <w:top w:val="nil"/>
              <w:left w:val="nil"/>
              <w:bottom w:val="nil"/>
              <w:right w:val="nil"/>
            </w:tcBorders>
            <w:shd w:val="clear" w:color="000000" w:fill="DCE6F1"/>
            <w:noWrap/>
            <w:vAlign w:val="center"/>
            <w:hideMark/>
          </w:tcPr>
          <w:p w14:paraId="16A23C4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Lekáreň Farmácia</w:t>
            </w:r>
          </w:p>
        </w:tc>
        <w:tc>
          <w:tcPr>
            <w:tcW w:w="2000" w:type="dxa"/>
            <w:tcBorders>
              <w:top w:val="nil"/>
              <w:left w:val="nil"/>
              <w:bottom w:val="nil"/>
              <w:right w:val="nil"/>
            </w:tcBorders>
            <w:shd w:val="clear" w:color="000000" w:fill="DCE6F1"/>
            <w:noWrap/>
            <w:vAlign w:val="center"/>
            <w:hideMark/>
          </w:tcPr>
          <w:p w14:paraId="68EE26E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000000" w:fill="DCE6F1"/>
            <w:noWrap/>
            <w:vAlign w:val="center"/>
            <w:hideMark/>
          </w:tcPr>
          <w:p w14:paraId="1357935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144,43</w:t>
            </w:r>
          </w:p>
        </w:tc>
        <w:tc>
          <w:tcPr>
            <w:tcW w:w="960" w:type="dxa"/>
            <w:tcBorders>
              <w:top w:val="nil"/>
              <w:left w:val="nil"/>
              <w:bottom w:val="nil"/>
              <w:right w:val="nil"/>
            </w:tcBorders>
            <w:shd w:val="clear" w:color="000000" w:fill="DCE6F1"/>
            <w:noWrap/>
            <w:vAlign w:val="center"/>
            <w:hideMark/>
          </w:tcPr>
          <w:p w14:paraId="21BB0F4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0,22%</w:t>
            </w:r>
          </w:p>
        </w:tc>
        <w:tc>
          <w:tcPr>
            <w:tcW w:w="960" w:type="dxa"/>
            <w:vMerge/>
            <w:tcBorders>
              <w:top w:val="nil"/>
              <w:left w:val="nil"/>
              <w:bottom w:val="nil"/>
              <w:right w:val="nil"/>
            </w:tcBorders>
            <w:vAlign w:val="center"/>
            <w:hideMark/>
          </w:tcPr>
          <w:p w14:paraId="2046A908" w14:textId="77777777" w:rsidR="00E43879" w:rsidRPr="00E43879" w:rsidRDefault="00E43879" w:rsidP="00E43879">
            <w:pPr>
              <w:spacing w:line="240" w:lineRule="auto"/>
              <w:jc w:val="left"/>
              <w:rPr>
                <w:rFonts w:ascii="Arial Narrow" w:hAnsi="Arial Narrow" w:cs="Calibri"/>
                <w:color w:val="000000"/>
                <w:sz w:val="20"/>
                <w:szCs w:val="20"/>
              </w:rPr>
            </w:pPr>
          </w:p>
        </w:tc>
      </w:tr>
      <w:tr w:rsidR="00E43879" w:rsidRPr="00E43879" w14:paraId="386EE6D7"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1D2C0AF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0986-60</w:t>
            </w:r>
          </w:p>
        </w:tc>
        <w:tc>
          <w:tcPr>
            <w:tcW w:w="2380" w:type="dxa"/>
            <w:tcBorders>
              <w:top w:val="nil"/>
              <w:left w:val="nil"/>
              <w:bottom w:val="nil"/>
              <w:right w:val="nil"/>
            </w:tcBorders>
            <w:shd w:val="clear" w:color="000000" w:fill="DCE6F1"/>
            <w:noWrap/>
            <w:vAlign w:val="center"/>
            <w:hideMark/>
          </w:tcPr>
          <w:p w14:paraId="3DAE81C6"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Nem.lek.odd.výd.verej</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000000" w:fill="DCE6F1"/>
            <w:noWrap/>
            <w:vAlign w:val="center"/>
            <w:hideMark/>
          </w:tcPr>
          <w:p w14:paraId="6AB5580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000000" w:fill="DCE6F1"/>
            <w:noWrap/>
            <w:vAlign w:val="center"/>
            <w:hideMark/>
          </w:tcPr>
          <w:p w14:paraId="49FFE3B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90,1</w:t>
            </w:r>
          </w:p>
        </w:tc>
        <w:tc>
          <w:tcPr>
            <w:tcW w:w="960" w:type="dxa"/>
            <w:tcBorders>
              <w:top w:val="nil"/>
              <w:left w:val="nil"/>
              <w:bottom w:val="nil"/>
              <w:right w:val="nil"/>
            </w:tcBorders>
            <w:shd w:val="clear" w:color="000000" w:fill="DCE6F1"/>
            <w:noWrap/>
            <w:vAlign w:val="center"/>
            <w:hideMark/>
          </w:tcPr>
          <w:p w14:paraId="78D0642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0,14%</w:t>
            </w:r>
          </w:p>
        </w:tc>
        <w:tc>
          <w:tcPr>
            <w:tcW w:w="960" w:type="dxa"/>
            <w:vMerge/>
            <w:tcBorders>
              <w:top w:val="nil"/>
              <w:left w:val="nil"/>
              <w:bottom w:val="nil"/>
              <w:right w:val="nil"/>
            </w:tcBorders>
            <w:vAlign w:val="center"/>
            <w:hideMark/>
          </w:tcPr>
          <w:p w14:paraId="6DA04473" w14:textId="77777777" w:rsidR="00E43879" w:rsidRPr="00E43879" w:rsidRDefault="00E43879" w:rsidP="00E43879">
            <w:pPr>
              <w:spacing w:line="240" w:lineRule="auto"/>
              <w:jc w:val="left"/>
              <w:rPr>
                <w:rFonts w:ascii="Arial Narrow" w:hAnsi="Arial Narrow" w:cs="Calibri"/>
                <w:color w:val="000000"/>
                <w:sz w:val="20"/>
                <w:szCs w:val="20"/>
              </w:rPr>
            </w:pPr>
          </w:p>
        </w:tc>
      </w:tr>
      <w:tr w:rsidR="00E43879" w:rsidRPr="00E43879" w14:paraId="2080F9D0"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119A91B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lastRenderedPageBreak/>
              <w:t>0986-70</w:t>
            </w:r>
          </w:p>
        </w:tc>
        <w:tc>
          <w:tcPr>
            <w:tcW w:w="2380" w:type="dxa"/>
            <w:tcBorders>
              <w:top w:val="nil"/>
              <w:left w:val="nil"/>
              <w:bottom w:val="nil"/>
              <w:right w:val="nil"/>
            </w:tcBorders>
            <w:shd w:val="clear" w:color="000000" w:fill="DCE6F1"/>
            <w:noWrap/>
            <w:vAlign w:val="center"/>
            <w:hideMark/>
          </w:tcPr>
          <w:p w14:paraId="71D4B12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Nem.lek.odd.výd.ver.PK</w:t>
            </w:r>
          </w:p>
        </w:tc>
        <w:tc>
          <w:tcPr>
            <w:tcW w:w="2000" w:type="dxa"/>
            <w:tcBorders>
              <w:top w:val="nil"/>
              <w:left w:val="nil"/>
              <w:bottom w:val="nil"/>
              <w:right w:val="nil"/>
            </w:tcBorders>
            <w:shd w:val="clear" w:color="000000" w:fill="DCE6F1"/>
            <w:noWrap/>
            <w:vAlign w:val="center"/>
            <w:hideMark/>
          </w:tcPr>
          <w:p w14:paraId="079D34A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000000" w:fill="DCE6F1"/>
            <w:noWrap/>
            <w:vAlign w:val="center"/>
            <w:hideMark/>
          </w:tcPr>
          <w:p w14:paraId="34F9E4E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62,9</w:t>
            </w:r>
          </w:p>
        </w:tc>
        <w:tc>
          <w:tcPr>
            <w:tcW w:w="960" w:type="dxa"/>
            <w:tcBorders>
              <w:top w:val="nil"/>
              <w:left w:val="nil"/>
              <w:bottom w:val="nil"/>
              <w:right w:val="nil"/>
            </w:tcBorders>
            <w:shd w:val="clear" w:color="000000" w:fill="DCE6F1"/>
            <w:noWrap/>
            <w:vAlign w:val="center"/>
            <w:hideMark/>
          </w:tcPr>
          <w:p w14:paraId="71CE490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0,10%</w:t>
            </w:r>
          </w:p>
        </w:tc>
        <w:tc>
          <w:tcPr>
            <w:tcW w:w="960" w:type="dxa"/>
            <w:vMerge/>
            <w:tcBorders>
              <w:top w:val="nil"/>
              <w:left w:val="nil"/>
              <w:bottom w:val="nil"/>
              <w:right w:val="nil"/>
            </w:tcBorders>
            <w:vAlign w:val="center"/>
            <w:hideMark/>
          </w:tcPr>
          <w:p w14:paraId="11D481B7" w14:textId="77777777" w:rsidR="00E43879" w:rsidRPr="00E43879" w:rsidRDefault="00E43879" w:rsidP="00E43879">
            <w:pPr>
              <w:spacing w:line="240" w:lineRule="auto"/>
              <w:jc w:val="left"/>
              <w:rPr>
                <w:rFonts w:ascii="Arial Narrow" w:hAnsi="Arial Narrow" w:cs="Calibri"/>
                <w:color w:val="000000"/>
                <w:sz w:val="20"/>
                <w:szCs w:val="20"/>
              </w:rPr>
            </w:pPr>
          </w:p>
        </w:tc>
      </w:tr>
      <w:tr w:rsidR="00E43879" w:rsidRPr="00E43879" w14:paraId="77F3265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EFC5A1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lastRenderedPageBreak/>
              <w:t>1001-01</w:t>
            </w:r>
          </w:p>
        </w:tc>
        <w:tc>
          <w:tcPr>
            <w:tcW w:w="2380" w:type="dxa"/>
            <w:tcBorders>
              <w:top w:val="nil"/>
              <w:left w:val="nil"/>
              <w:bottom w:val="nil"/>
              <w:right w:val="nil"/>
            </w:tcBorders>
            <w:shd w:val="clear" w:color="auto" w:fill="auto"/>
            <w:noWrap/>
            <w:vAlign w:val="center"/>
            <w:hideMark/>
          </w:tcPr>
          <w:p w14:paraId="0219AAD5"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Vnutorne</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lekarstvo</w:t>
            </w:r>
            <w:proofErr w:type="spellEnd"/>
          </w:p>
        </w:tc>
        <w:tc>
          <w:tcPr>
            <w:tcW w:w="2000" w:type="dxa"/>
            <w:tcBorders>
              <w:top w:val="nil"/>
              <w:left w:val="nil"/>
              <w:bottom w:val="nil"/>
              <w:right w:val="nil"/>
            </w:tcBorders>
            <w:shd w:val="clear" w:color="auto" w:fill="auto"/>
            <w:noWrap/>
            <w:vAlign w:val="center"/>
            <w:hideMark/>
          </w:tcPr>
          <w:p w14:paraId="2DBB6BD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A26103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3 136,59</w:t>
            </w:r>
          </w:p>
        </w:tc>
        <w:tc>
          <w:tcPr>
            <w:tcW w:w="960" w:type="dxa"/>
            <w:tcBorders>
              <w:top w:val="nil"/>
              <w:left w:val="nil"/>
              <w:bottom w:val="nil"/>
              <w:right w:val="nil"/>
            </w:tcBorders>
            <w:shd w:val="clear" w:color="auto" w:fill="auto"/>
            <w:noWrap/>
            <w:vAlign w:val="center"/>
            <w:hideMark/>
          </w:tcPr>
          <w:p w14:paraId="71492CC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4,82%</w:t>
            </w:r>
          </w:p>
        </w:tc>
        <w:tc>
          <w:tcPr>
            <w:tcW w:w="960" w:type="dxa"/>
            <w:tcBorders>
              <w:top w:val="nil"/>
              <w:left w:val="nil"/>
              <w:bottom w:val="nil"/>
              <w:right w:val="nil"/>
            </w:tcBorders>
            <w:shd w:val="clear" w:color="auto" w:fill="auto"/>
            <w:noWrap/>
            <w:vAlign w:val="bottom"/>
            <w:hideMark/>
          </w:tcPr>
          <w:p w14:paraId="1F46BDF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2B4EB4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611CCF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1004-01</w:t>
            </w:r>
          </w:p>
        </w:tc>
        <w:tc>
          <w:tcPr>
            <w:tcW w:w="2380" w:type="dxa"/>
            <w:tcBorders>
              <w:top w:val="nil"/>
              <w:left w:val="nil"/>
              <w:bottom w:val="nil"/>
              <w:right w:val="nil"/>
            </w:tcBorders>
            <w:shd w:val="clear" w:color="auto" w:fill="auto"/>
            <w:noWrap/>
            <w:vAlign w:val="center"/>
            <w:hideMark/>
          </w:tcPr>
          <w:p w14:paraId="33F1DE8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Neurológia</w:t>
            </w:r>
          </w:p>
        </w:tc>
        <w:tc>
          <w:tcPr>
            <w:tcW w:w="2000" w:type="dxa"/>
            <w:tcBorders>
              <w:top w:val="nil"/>
              <w:left w:val="nil"/>
              <w:bottom w:val="nil"/>
              <w:right w:val="nil"/>
            </w:tcBorders>
            <w:shd w:val="clear" w:color="auto" w:fill="auto"/>
            <w:noWrap/>
            <w:vAlign w:val="center"/>
            <w:hideMark/>
          </w:tcPr>
          <w:p w14:paraId="60F39C7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CC75C5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686,04</w:t>
            </w:r>
          </w:p>
        </w:tc>
        <w:tc>
          <w:tcPr>
            <w:tcW w:w="960" w:type="dxa"/>
            <w:tcBorders>
              <w:top w:val="nil"/>
              <w:left w:val="nil"/>
              <w:bottom w:val="nil"/>
              <w:right w:val="nil"/>
            </w:tcBorders>
            <w:shd w:val="clear" w:color="auto" w:fill="auto"/>
            <w:noWrap/>
            <w:vAlign w:val="center"/>
            <w:hideMark/>
          </w:tcPr>
          <w:p w14:paraId="072F971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1,05%</w:t>
            </w:r>
          </w:p>
        </w:tc>
        <w:tc>
          <w:tcPr>
            <w:tcW w:w="960" w:type="dxa"/>
            <w:tcBorders>
              <w:top w:val="nil"/>
              <w:left w:val="nil"/>
              <w:bottom w:val="nil"/>
              <w:right w:val="nil"/>
            </w:tcBorders>
            <w:shd w:val="clear" w:color="auto" w:fill="auto"/>
            <w:noWrap/>
            <w:vAlign w:val="bottom"/>
            <w:hideMark/>
          </w:tcPr>
          <w:p w14:paraId="47C4C48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9E8AA5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1B1DF8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1005-01</w:t>
            </w:r>
          </w:p>
        </w:tc>
        <w:tc>
          <w:tcPr>
            <w:tcW w:w="2380" w:type="dxa"/>
            <w:tcBorders>
              <w:top w:val="nil"/>
              <w:left w:val="nil"/>
              <w:bottom w:val="nil"/>
              <w:right w:val="nil"/>
            </w:tcBorders>
            <w:shd w:val="clear" w:color="auto" w:fill="auto"/>
            <w:noWrap/>
            <w:vAlign w:val="center"/>
            <w:hideMark/>
          </w:tcPr>
          <w:p w14:paraId="2FD8F96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Psychiatrické‚ odd.</w:t>
            </w:r>
          </w:p>
        </w:tc>
        <w:tc>
          <w:tcPr>
            <w:tcW w:w="2000" w:type="dxa"/>
            <w:tcBorders>
              <w:top w:val="nil"/>
              <w:left w:val="nil"/>
              <w:bottom w:val="nil"/>
              <w:right w:val="nil"/>
            </w:tcBorders>
            <w:shd w:val="clear" w:color="auto" w:fill="auto"/>
            <w:noWrap/>
            <w:vAlign w:val="center"/>
            <w:hideMark/>
          </w:tcPr>
          <w:p w14:paraId="31E41F6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795CDD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2 449,90</w:t>
            </w:r>
          </w:p>
        </w:tc>
        <w:tc>
          <w:tcPr>
            <w:tcW w:w="960" w:type="dxa"/>
            <w:tcBorders>
              <w:top w:val="nil"/>
              <w:left w:val="nil"/>
              <w:bottom w:val="nil"/>
              <w:right w:val="nil"/>
            </w:tcBorders>
            <w:shd w:val="clear" w:color="auto" w:fill="auto"/>
            <w:noWrap/>
            <w:vAlign w:val="center"/>
            <w:hideMark/>
          </w:tcPr>
          <w:p w14:paraId="6905C07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3,76%</w:t>
            </w:r>
          </w:p>
        </w:tc>
        <w:tc>
          <w:tcPr>
            <w:tcW w:w="960" w:type="dxa"/>
            <w:tcBorders>
              <w:top w:val="nil"/>
              <w:left w:val="nil"/>
              <w:bottom w:val="nil"/>
              <w:right w:val="nil"/>
            </w:tcBorders>
            <w:shd w:val="clear" w:color="auto" w:fill="auto"/>
            <w:noWrap/>
            <w:vAlign w:val="bottom"/>
            <w:hideMark/>
          </w:tcPr>
          <w:p w14:paraId="1CB6550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ECDB05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DDA7E7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1007-01</w:t>
            </w:r>
          </w:p>
        </w:tc>
        <w:tc>
          <w:tcPr>
            <w:tcW w:w="2380" w:type="dxa"/>
            <w:tcBorders>
              <w:top w:val="nil"/>
              <w:left w:val="nil"/>
              <w:bottom w:val="nil"/>
              <w:right w:val="nil"/>
            </w:tcBorders>
            <w:shd w:val="clear" w:color="auto" w:fill="auto"/>
            <w:noWrap/>
            <w:vAlign w:val="center"/>
            <w:hideMark/>
          </w:tcPr>
          <w:p w14:paraId="1231F53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Pediatria</w:t>
            </w:r>
          </w:p>
        </w:tc>
        <w:tc>
          <w:tcPr>
            <w:tcW w:w="2000" w:type="dxa"/>
            <w:tcBorders>
              <w:top w:val="nil"/>
              <w:left w:val="nil"/>
              <w:bottom w:val="nil"/>
              <w:right w:val="nil"/>
            </w:tcBorders>
            <w:shd w:val="clear" w:color="auto" w:fill="auto"/>
            <w:noWrap/>
            <w:vAlign w:val="center"/>
            <w:hideMark/>
          </w:tcPr>
          <w:p w14:paraId="219A21D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111188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1 670,82</w:t>
            </w:r>
          </w:p>
        </w:tc>
        <w:tc>
          <w:tcPr>
            <w:tcW w:w="960" w:type="dxa"/>
            <w:tcBorders>
              <w:top w:val="nil"/>
              <w:left w:val="nil"/>
              <w:bottom w:val="nil"/>
              <w:right w:val="nil"/>
            </w:tcBorders>
            <w:shd w:val="clear" w:color="auto" w:fill="auto"/>
            <w:noWrap/>
            <w:vAlign w:val="center"/>
            <w:hideMark/>
          </w:tcPr>
          <w:p w14:paraId="77E71B0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2,57%</w:t>
            </w:r>
          </w:p>
        </w:tc>
        <w:tc>
          <w:tcPr>
            <w:tcW w:w="960" w:type="dxa"/>
            <w:tcBorders>
              <w:top w:val="nil"/>
              <w:left w:val="nil"/>
              <w:bottom w:val="nil"/>
              <w:right w:val="nil"/>
            </w:tcBorders>
            <w:shd w:val="clear" w:color="auto" w:fill="auto"/>
            <w:noWrap/>
            <w:vAlign w:val="bottom"/>
            <w:hideMark/>
          </w:tcPr>
          <w:p w14:paraId="7804E4E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3B952D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3F36F7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1009-01</w:t>
            </w:r>
          </w:p>
        </w:tc>
        <w:tc>
          <w:tcPr>
            <w:tcW w:w="2380" w:type="dxa"/>
            <w:tcBorders>
              <w:top w:val="nil"/>
              <w:left w:val="nil"/>
              <w:bottom w:val="nil"/>
              <w:right w:val="nil"/>
            </w:tcBorders>
            <w:shd w:val="clear" w:color="auto" w:fill="auto"/>
            <w:noWrap/>
            <w:vAlign w:val="center"/>
            <w:hideMark/>
          </w:tcPr>
          <w:p w14:paraId="0D0740E8"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Gyn</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pôrodn</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6A51CB9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5EFD1CE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2 428,03</w:t>
            </w:r>
          </w:p>
        </w:tc>
        <w:tc>
          <w:tcPr>
            <w:tcW w:w="960" w:type="dxa"/>
            <w:tcBorders>
              <w:top w:val="nil"/>
              <w:left w:val="nil"/>
              <w:bottom w:val="nil"/>
              <w:right w:val="nil"/>
            </w:tcBorders>
            <w:shd w:val="clear" w:color="auto" w:fill="auto"/>
            <w:noWrap/>
            <w:vAlign w:val="center"/>
            <w:hideMark/>
          </w:tcPr>
          <w:p w14:paraId="2F49AB3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3,73%</w:t>
            </w:r>
          </w:p>
        </w:tc>
        <w:tc>
          <w:tcPr>
            <w:tcW w:w="960" w:type="dxa"/>
            <w:tcBorders>
              <w:top w:val="nil"/>
              <w:left w:val="nil"/>
              <w:bottom w:val="nil"/>
              <w:right w:val="nil"/>
            </w:tcBorders>
            <w:shd w:val="clear" w:color="auto" w:fill="auto"/>
            <w:noWrap/>
            <w:vAlign w:val="bottom"/>
            <w:hideMark/>
          </w:tcPr>
          <w:p w14:paraId="383A6820"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643CF8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7ACCDD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1010-01</w:t>
            </w:r>
          </w:p>
        </w:tc>
        <w:tc>
          <w:tcPr>
            <w:tcW w:w="2380" w:type="dxa"/>
            <w:tcBorders>
              <w:top w:val="nil"/>
              <w:left w:val="nil"/>
              <w:bottom w:val="nil"/>
              <w:right w:val="nil"/>
            </w:tcBorders>
            <w:shd w:val="clear" w:color="auto" w:fill="auto"/>
            <w:noWrap/>
            <w:vAlign w:val="center"/>
            <w:hideMark/>
          </w:tcPr>
          <w:p w14:paraId="6B60831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Chirurgické odd.</w:t>
            </w:r>
          </w:p>
        </w:tc>
        <w:tc>
          <w:tcPr>
            <w:tcW w:w="2000" w:type="dxa"/>
            <w:tcBorders>
              <w:top w:val="nil"/>
              <w:left w:val="nil"/>
              <w:bottom w:val="nil"/>
              <w:right w:val="nil"/>
            </w:tcBorders>
            <w:shd w:val="clear" w:color="auto" w:fill="auto"/>
            <w:noWrap/>
            <w:vAlign w:val="center"/>
            <w:hideMark/>
          </w:tcPr>
          <w:p w14:paraId="70931EF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5716E5E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2 619,24</w:t>
            </w:r>
          </w:p>
        </w:tc>
        <w:tc>
          <w:tcPr>
            <w:tcW w:w="960" w:type="dxa"/>
            <w:tcBorders>
              <w:top w:val="nil"/>
              <w:left w:val="nil"/>
              <w:bottom w:val="nil"/>
              <w:right w:val="nil"/>
            </w:tcBorders>
            <w:shd w:val="clear" w:color="auto" w:fill="auto"/>
            <w:noWrap/>
            <w:vAlign w:val="center"/>
            <w:hideMark/>
          </w:tcPr>
          <w:p w14:paraId="247FC85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4,02%</w:t>
            </w:r>
          </w:p>
        </w:tc>
        <w:tc>
          <w:tcPr>
            <w:tcW w:w="960" w:type="dxa"/>
            <w:tcBorders>
              <w:top w:val="nil"/>
              <w:left w:val="nil"/>
              <w:bottom w:val="nil"/>
              <w:right w:val="nil"/>
            </w:tcBorders>
            <w:shd w:val="clear" w:color="auto" w:fill="auto"/>
            <w:noWrap/>
            <w:vAlign w:val="bottom"/>
            <w:hideMark/>
          </w:tcPr>
          <w:p w14:paraId="55353BC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20FF9D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27E819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1011-01</w:t>
            </w:r>
          </w:p>
        </w:tc>
        <w:tc>
          <w:tcPr>
            <w:tcW w:w="2380" w:type="dxa"/>
            <w:tcBorders>
              <w:top w:val="nil"/>
              <w:left w:val="nil"/>
              <w:bottom w:val="nil"/>
              <w:right w:val="nil"/>
            </w:tcBorders>
            <w:shd w:val="clear" w:color="auto" w:fill="auto"/>
            <w:noWrap/>
            <w:vAlign w:val="center"/>
            <w:hideMark/>
          </w:tcPr>
          <w:p w14:paraId="6A3EFD6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Ortopédia-dospelý</w:t>
            </w:r>
          </w:p>
        </w:tc>
        <w:tc>
          <w:tcPr>
            <w:tcW w:w="2000" w:type="dxa"/>
            <w:tcBorders>
              <w:top w:val="nil"/>
              <w:left w:val="nil"/>
              <w:bottom w:val="nil"/>
              <w:right w:val="nil"/>
            </w:tcBorders>
            <w:shd w:val="clear" w:color="auto" w:fill="auto"/>
            <w:noWrap/>
            <w:vAlign w:val="center"/>
            <w:hideMark/>
          </w:tcPr>
          <w:p w14:paraId="0D8D7B4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7BEC7C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800,94</w:t>
            </w:r>
          </w:p>
        </w:tc>
        <w:tc>
          <w:tcPr>
            <w:tcW w:w="960" w:type="dxa"/>
            <w:tcBorders>
              <w:top w:val="nil"/>
              <w:left w:val="nil"/>
              <w:bottom w:val="nil"/>
              <w:right w:val="nil"/>
            </w:tcBorders>
            <w:shd w:val="clear" w:color="auto" w:fill="auto"/>
            <w:noWrap/>
            <w:vAlign w:val="center"/>
            <w:hideMark/>
          </w:tcPr>
          <w:p w14:paraId="3D03029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1,23%</w:t>
            </w:r>
          </w:p>
        </w:tc>
        <w:tc>
          <w:tcPr>
            <w:tcW w:w="960" w:type="dxa"/>
            <w:tcBorders>
              <w:top w:val="nil"/>
              <w:left w:val="nil"/>
              <w:bottom w:val="nil"/>
              <w:right w:val="nil"/>
            </w:tcBorders>
            <w:shd w:val="clear" w:color="auto" w:fill="auto"/>
            <w:noWrap/>
            <w:vAlign w:val="bottom"/>
            <w:hideMark/>
          </w:tcPr>
          <w:p w14:paraId="3787713D"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3A0650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9F08E4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1012-01</w:t>
            </w:r>
          </w:p>
        </w:tc>
        <w:tc>
          <w:tcPr>
            <w:tcW w:w="2380" w:type="dxa"/>
            <w:tcBorders>
              <w:top w:val="nil"/>
              <w:left w:val="nil"/>
              <w:bottom w:val="nil"/>
              <w:right w:val="nil"/>
            </w:tcBorders>
            <w:shd w:val="clear" w:color="auto" w:fill="auto"/>
            <w:noWrap/>
            <w:vAlign w:val="center"/>
            <w:hideMark/>
          </w:tcPr>
          <w:p w14:paraId="3C8F76E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Urológia</w:t>
            </w:r>
          </w:p>
        </w:tc>
        <w:tc>
          <w:tcPr>
            <w:tcW w:w="2000" w:type="dxa"/>
            <w:tcBorders>
              <w:top w:val="nil"/>
              <w:left w:val="nil"/>
              <w:bottom w:val="nil"/>
              <w:right w:val="nil"/>
            </w:tcBorders>
            <w:shd w:val="clear" w:color="auto" w:fill="auto"/>
            <w:noWrap/>
            <w:vAlign w:val="center"/>
            <w:hideMark/>
          </w:tcPr>
          <w:p w14:paraId="66D1B42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5F9A23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2 281,50</w:t>
            </w:r>
          </w:p>
        </w:tc>
        <w:tc>
          <w:tcPr>
            <w:tcW w:w="960" w:type="dxa"/>
            <w:tcBorders>
              <w:top w:val="nil"/>
              <w:left w:val="nil"/>
              <w:bottom w:val="nil"/>
              <w:right w:val="nil"/>
            </w:tcBorders>
            <w:shd w:val="clear" w:color="auto" w:fill="auto"/>
            <w:noWrap/>
            <w:vAlign w:val="center"/>
            <w:hideMark/>
          </w:tcPr>
          <w:p w14:paraId="24D04A6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3,50%</w:t>
            </w:r>
          </w:p>
        </w:tc>
        <w:tc>
          <w:tcPr>
            <w:tcW w:w="960" w:type="dxa"/>
            <w:tcBorders>
              <w:top w:val="nil"/>
              <w:left w:val="nil"/>
              <w:bottom w:val="nil"/>
              <w:right w:val="nil"/>
            </w:tcBorders>
            <w:shd w:val="clear" w:color="auto" w:fill="auto"/>
            <w:noWrap/>
            <w:vAlign w:val="bottom"/>
            <w:hideMark/>
          </w:tcPr>
          <w:p w14:paraId="65C437DF"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F2E79E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B501FB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1013-01</w:t>
            </w:r>
          </w:p>
        </w:tc>
        <w:tc>
          <w:tcPr>
            <w:tcW w:w="2380" w:type="dxa"/>
            <w:tcBorders>
              <w:top w:val="nil"/>
              <w:left w:val="nil"/>
              <w:bottom w:val="nil"/>
              <w:right w:val="nil"/>
            </w:tcBorders>
            <w:shd w:val="clear" w:color="auto" w:fill="auto"/>
            <w:noWrap/>
            <w:vAlign w:val="center"/>
            <w:hideMark/>
          </w:tcPr>
          <w:p w14:paraId="3BDDCAC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Úrazová chirurgia</w:t>
            </w:r>
          </w:p>
        </w:tc>
        <w:tc>
          <w:tcPr>
            <w:tcW w:w="2000" w:type="dxa"/>
            <w:tcBorders>
              <w:top w:val="nil"/>
              <w:left w:val="nil"/>
              <w:bottom w:val="nil"/>
              <w:right w:val="nil"/>
            </w:tcBorders>
            <w:shd w:val="clear" w:color="auto" w:fill="auto"/>
            <w:noWrap/>
            <w:vAlign w:val="center"/>
            <w:hideMark/>
          </w:tcPr>
          <w:p w14:paraId="46BA2F6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FBA6CB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1 262,91</w:t>
            </w:r>
          </w:p>
        </w:tc>
        <w:tc>
          <w:tcPr>
            <w:tcW w:w="960" w:type="dxa"/>
            <w:tcBorders>
              <w:top w:val="nil"/>
              <w:left w:val="nil"/>
              <w:bottom w:val="nil"/>
              <w:right w:val="nil"/>
            </w:tcBorders>
            <w:shd w:val="clear" w:color="auto" w:fill="auto"/>
            <w:noWrap/>
            <w:vAlign w:val="center"/>
            <w:hideMark/>
          </w:tcPr>
          <w:p w14:paraId="5DE8CB6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1,94%</w:t>
            </w:r>
          </w:p>
        </w:tc>
        <w:tc>
          <w:tcPr>
            <w:tcW w:w="960" w:type="dxa"/>
            <w:tcBorders>
              <w:top w:val="nil"/>
              <w:left w:val="nil"/>
              <w:bottom w:val="nil"/>
              <w:right w:val="nil"/>
            </w:tcBorders>
            <w:shd w:val="clear" w:color="auto" w:fill="auto"/>
            <w:noWrap/>
            <w:vAlign w:val="bottom"/>
            <w:hideMark/>
          </w:tcPr>
          <w:p w14:paraId="46D0B14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D72BDD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506EC08"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1014-01</w:t>
            </w:r>
          </w:p>
        </w:tc>
        <w:tc>
          <w:tcPr>
            <w:tcW w:w="2380" w:type="dxa"/>
            <w:tcBorders>
              <w:top w:val="nil"/>
              <w:left w:val="nil"/>
              <w:bottom w:val="nil"/>
              <w:right w:val="nil"/>
            </w:tcBorders>
            <w:shd w:val="clear" w:color="auto" w:fill="auto"/>
            <w:noWrap/>
            <w:vAlign w:val="center"/>
            <w:hideMark/>
          </w:tcPr>
          <w:p w14:paraId="3599BE5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ORL- </w:t>
            </w:r>
            <w:proofErr w:type="spellStart"/>
            <w:r w:rsidRPr="00E43879">
              <w:rPr>
                <w:rFonts w:ascii="Arial Narrow" w:hAnsi="Arial Narrow" w:cs="Calibri"/>
                <w:b/>
                <w:bCs/>
                <w:color w:val="000000"/>
                <w:sz w:val="20"/>
                <w:szCs w:val="20"/>
              </w:rPr>
              <w:t>lôžkova</w:t>
            </w:r>
            <w:proofErr w:type="spellEnd"/>
            <w:r w:rsidRPr="00E43879">
              <w:rPr>
                <w:rFonts w:ascii="Arial Narrow" w:hAnsi="Arial Narrow" w:cs="Calibri"/>
                <w:b/>
                <w:bCs/>
                <w:color w:val="000000"/>
                <w:sz w:val="20"/>
                <w:szCs w:val="20"/>
              </w:rPr>
              <w:t xml:space="preserve"> časť</w:t>
            </w:r>
          </w:p>
        </w:tc>
        <w:tc>
          <w:tcPr>
            <w:tcW w:w="2000" w:type="dxa"/>
            <w:tcBorders>
              <w:top w:val="nil"/>
              <w:left w:val="nil"/>
              <w:bottom w:val="nil"/>
              <w:right w:val="nil"/>
            </w:tcBorders>
            <w:shd w:val="clear" w:color="auto" w:fill="auto"/>
            <w:noWrap/>
            <w:vAlign w:val="center"/>
            <w:hideMark/>
          </w:tcPr>
          <w:p w14:paraId="66278B0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60DAF0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41</w:t>
            </w:r>
          </w:p>
        </w:tc>
        <w:tc>
          <w:tcPr>
            <w:tcW w:w="960" w:type="dxa"/>
            <w:tcBorders>
              <w:top w:val="nil"/>
              <w:left w:val="nil"/>
              <w:bottom w:val="nil"/>
              <w:right w:val="nil"/>
            </w:tcBorders>
            <w:shd w:val="clear" w:color="auto" w:fill="auto"/>
            <w:noWrap/>
            <w:vAlign w:val="center"/>
            <w:hideMark/>
          </w:tcPr>
          <w:p w14:paraId="2600D32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0,06%</w:t>
            </w:r>
          </w:p>
        </w:tc>
        <w:tc>
          <w:tcPr>
            <w:tcW w:w="960" w:type="dxa"/>
            <w:tcBorders>
              <w:top w:val="nil"/>
              <w:left w:val="nil"/>
              <w:bottom w:val="nil"/>
              <w:right w:val="nil"/>
            </w:tcBorders>
            <w:shd w:val="clear" w:color="auto" w:fill="auto"/>
            <w:noWrap/>
            <w:vAlign w:val="bottom"/>
            <w:hideMark/>
          </w:tcPr>
          <w:p w14:paraId="08B11B5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5B8AB11"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5E97D6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1015-01</w:t>
            </w:r>
          </w:p>
        </w:tc>
        <w:tc>
          <w:tcPr>
            <w:tcW w:w="2380" w:type="dxa"/>
            <w:tcBorders>
              <w:top w:val="nil"/>
              <w:left w:val="nil"/>
              <w:bottom w:val="nil"/>
              <w:right w:val="nil"/>
            </w:tcBorders>
            <w:shd w:val="clear" w:color="auto" w:fill="auto"/>
            <w:noWrap/>
            <w:vAlign w:val="center"/>
            <w:hideMark/>
          </w:tcPr>
          <w:p w14:paraId="697DB1C3"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Oftalmológia</w:t>
            </w:r>
            <w:proofErr w:type="spellEnd"/>
            <w:r w:rsidRPr="00E43879">
              <w:rPr>
                <w:rFonts w:ascii="Arial Narrow" w:hAnsi="Arial Narrow" w:cs="Calibri"/>
                <w:b/>
                <w:bCs/>
                <w:color w:val="000000"/>
                <w:sz w:val="20"/>
                <w:szCs w:val="20"/>
              </w:rPr>
              <w:t xml:space="preserve"> odd.</w:t>
            </w:r>
          </w:p>
        </w:tc>
        <w:tc>
          <w:tcPr>
            <w:tcW w:w="2000" w:type="dxa"/>
            <w:tcBorders>
              <w:top w:val="nil"/>
              <w:left w:val="nil"/>
              <w:bottom w:val="nil"/>
              <w:right w:val="nil"/>
            </w:tcBorders>
            <w:shd w:val="clear" w:color="auto" w:fill="auto"/>
            <w:noWrap/>
            <w:vAlign w:val="center"/>
            <w:hideMark/>
          </w:tcPr>
          <w:p w14:paraId="161966A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783BBD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587,02</w:t>
            </w:r>
          </w:p>
        </w:tc>
        <w:tc>
          <w:tcPr>
            <w:tcW w:w="960" w:type="dxa"/>
            <w:tcBorders>
              <w:top w:val="nil"/>
              <w:left w:val="nil"/>
              <w:bottom w:val="nil"/>
              <w:right w:val="nil"/>
            </w:tcBorders>
            <w:shd w:val="clear" w:color="auto" w:fill="auto"/>
            <w:noWrap/>
            <w:vAlign w:val="center"/>
            <w:hideMark/>
          </w:tcPr>
          <w:p w14:paraId="43CA9A5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0,90%</w:t>
            </w:r>
          </w:p>
        </w:tc>
        <w:tc>
          <w:tcPr>
            <w:tcW w:w="960" w:type="dxa"/>
            <w:tcBorders>
              <w:top w:val="nil"/>
              <w:left w:val="nil"/>
              <w:bottom w:val="nil"/>
              <w:right w:val="nil"/>
            </w:tcBorders>
            <w:shd w:val="clear" w:color="auto" w:fill="auto"/>
            <w:noWrap/>
            <w:vAlign w:val="bottom"/>
            <w:hideMark/>
          </w:tcPr>
          <w:p w14:paraId="4E8F2CD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E8FDE6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8879F6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1025-01</w:t>
            </w:r>
          </w:p>
        </w:tc>
        <w:tc>
          <w:tcPr>
            <w:tcW w:w="2380" w:type="dxa"/>
            <w:tcBorders>
              <w:top w:val="nil"/>
              <w:left w:val="nil"/>
              <w:bottom w:val="nil"/>
              <w:right w:val="nil"/>
            </w:tcBorders>
            <w:shd w:val="clear" w:color="auto" w:fill="auto"/>
            <w:noWrap/>
            <w:vAlign w:val="center"/>
            <w:hideMark/>
          </w:tcPr>
          <w:p w14:paraId="05FA8E9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OAIM</w:t>
            </w:r>
          </w:p>
        </w:tc>
        <w:tc>
          <w:tcPr>
            <w:tcW w:w="2000" w:type="dxa"/>
            <w:tcBorders>
              <w:top w:val="nil"/>
              <w:left w:val="nil"/>
              <w:bottom w:val="nil"/>
              <w:right w:val="nil"/>
            </w:tcBorders>
            <w:shd w:val="clear" w:color="auto" w:fill="auto"/>
            <w:noWrap/>
            <w:vAlign w:val="center"/>
            <w:hideMark/>
          </w:tcPr>
          <w:p w14:paraId="783D8AA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BFDFBC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717,6</w:t>
            </w:r>
          </w:p>
        </w:tc>
        <w:tc>
          <w:tcPr>
            <w:tcW w:w="960" w:type="dxa"/>
            <w:tcBorders>
              <w:top w:val="nil"/>
              <w:left w:val="nil"/>
              <w:bottom w:val="nil"/>
              <w:right w:val="nil"/>
            </w:tcBorders>
            <w:shd w:val="clear" w:color="auto" w:fill="auto"/>
            <w:noWrap/>
            <w:vAlign w:val="center"/>
            <w:hideMark/>
          </w:tcPr>
          <w:p w14:paraId="09B178C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1,10%</w:t>
            </w:r>
          </w:p>
        </w:tc>
        <w:tc>
          <w:tcPr>
            <w:tcW w:w="960" w:type="dxa"/>
            <w:tcBorders>
              <w:top w:val="nil"/>
              <w:left w:val="nil"/>
              <w:bottom w:val="nil"/>
              <w:right w:val="nil"/>
            </w:tcBorders>
            <w:shd w:val="clear" w:color="auto" w:fill="auto"/>
            <w:noWrap/>
            <w:vAlign w:val="bottom"/>
            <w:hideMark/>
          </w:tcPr>
          <w:p w14:paraId="787368F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5918CE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053A7E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1027-01</w:t>
            </w:r>
          </w:p>
        </w:tc>
        <w:tc>
          <w:tcPr>
            <w:tcW w:w="2380" w:type="dxa"/>
            <w:tcBorders>
              <w:top w:val="nil"/>
              <w:left w:val="nil"/>
              <w:bottom w:val="nil"/>
              <w:right w:val="nil"/>
            </w:tcBorders>
            <w:shd w:val="clear" w:color="auto" w:fill="auto"/>
            <w:noWrap/>
            <w:vAlign w:val="center"/>
            <w:hideMark/>
          </w:tcPr>
          <w:p w14:paraId="545E03D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FBLR lôžko</w:t>
            </w:r>
          </w:p>
        </w:tc>
        <w:tc>
          <w:tcPr>
            <w:tcW w:w="2000" w:type="dxa"/>
            <w:tcBorders>
              <w:top w:val="nil"/>
              <w:left w:val="nil"/>
              <w:bottom w:val="nil"/>
              <w:right w:val="nil"/>
            </w:tcBorders>
            <w:shd w:val="clear" w:color="auto" w:fill="auto"/>
            <w:noWrap/>
            <w:vAlign w:val="center"/>
            <w:hideMark/>
          </w:tcPr>
          <w:p w14:paraId="35C639B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0A1809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597,1</w:t>
            </w:r>
          </w:p>
        </w:tc>
        <w:tc>
          <w:tcPr>
            <w:tcW w:w="960" w:type="dxa"/>
            <w:tcBorders>
              <w:top w:val="nil"/>
              <w:left w:val="nil"/>
              <w:bottom w:val="nil"/>
              <w:right w:val="nil"/>
            </w:tcBorders>
            <w:shd w:val="clear" w:color="auto" w:fill="auto"/>
            <w:noWrap/>
            <w:vAlign w:val="center"/>
            <w:hideMark/>
          </w:tcPr>
          <w:p w14:paraId="1ED0046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0,92%</w:t>
            </w:r>
          </w:p>
        </w:tc>
        <w:tc>
          <w:tcPr>
            <w:tcW w:w="960" w:type="dxa"/>
            <w:tcBorders>
              <w:top w:val="nil"/>
              <w:left w:val="nil"/>
              <w:bottom w:val="nil"/>
              <w:right w:val="nil"/>
            </w:tcBorders>
            <w:shd w:val="clear" w:color="auto" w:fill="auto"/>
            <w:noWrap/>
            <w:vAlign w:val="bottom"/>
            <w:hideMark/>
          </w:tcPr>
          <w:p w14:paraId="2D4545BF"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DBCBB65"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BD8201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1037-01</w:t>
            </w:r>
          </w:p>
        </w:tc>
        <w:tc>
          <w:tcPr>
            <w:tcW w:w="2380" w:type="dxa"/>
            <w:tcBorders>
              <w:top w:val="nil"/>
              <w:left w:val="nil"/>
              <w:bottom w:val="nil"/>
              <w:right w:val="nil"/>
            </w:tcBorders>
            <w:shd w:val="clear" w:color="auto" w:fill="auto"/>
            <w:noWrap/>
            <w:vAlign w:val="center"/>
            <w:hideMark/>
          </w:tcPr>
          <w:p w14:paraId="3D53CA7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Neurochirurgia</w:t>
            </w:r>
          </w:p>
        </w:tc>
        <w:tc>
          <w:tcPr>
            <w:tcW w:w="2000" w:type="dxa"/>
            <w:tcBorders>
              <w:top w:val="nil"/>
              <w:left w:val="nil"/>
              <w:bottom w:val="nil"/>
              <w:right w:val="nil"/>
            </w:tcBorders>
            <w:shd w:val="clear" w:color="auto" w:fill="auto"/>
            <w:noWrap/>
            <w:vAlign w:val="center"/>
            <w:hideMark/>
          </w:tcPr>
          <w:p w14:paraId="528B860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4DA1C75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721</w:t>
            </w:r>
          </w:p>
        </w:tc>
        <w:tc>
          <w:tcPr>
            <w:tcW w:w="960" w:type="dxa"/>
            <w:tcBorders>
              <w:top w:val="nil"/>
              <w:left w:val="nil"/>
              <w:bottom w:val="nil"/>
              <w:right w:val="nil"/>
            </w:tcBorders>
            <w:shd w:val="clear" w:color="auto" w:fill="auto"/>
            <w:noWrap/>
            <w:vAlign w:val="center"/>
            <w:hideMark/>
          </w:tcPr>
          <w:p w14:paraId="5268ED5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1,11%</w:t>
            </w:r>
          </w:p>
        </w:tc>
        <w:tc>
          <w:tcPr>
            <w:tcW w:w="960" w:type="dxa"/>
            <w:tcBorders>
              <w:top w:val="nil"/>
              <w:left w:val="nil"/>
              <w:bottom w:val="nil"/>
              <w:right w:val="nil"/>
            </w:tcBorders>
            <w:shd w:val="clear" w:color="auto" w:fill="auto"/>
            <w:noWrap/>
            <w:vAlign w:val="bottom"/>
            <w:hideMark/>
          </w:tcPr>
          <w:p w14:paraId="1E65AD7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FA2E96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C6DF3A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1043-01</w:t>
            </w:r>
          </w:p>
        </w:tc>
        <w:tc>
          <w:tcPr>
            <w:tcW w:w="2380" w:type="dxa"/>
            <w:tcBorders>
              <w:top w:val="nil"/>
              <w:left w:val="nil"/>
              <w:bottom w:val="nil"/>
              <w:right w:val="nil"/>
            </w:tcBorders>
            <w:shd w:val="clear" w:color="auto" w:fill="auto"/>
            <w:noWrap/>
            <w:vAlign w:val="center"/>
            <w:hideMark/>
          </w:tcPr>
          <w:p w14:paraId="7128041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Radiačná onkológia</w:t>
            </w:r>
          </w:p>
        </w:tc>
        <w:tc>
          <w:tcPr>
            <w:tcW w:w="2000" w:type="dxa"/>
            <w:tcBorders>
              <w:top w:val="nil"/>
              <w:left w:val="nil"/>
              <w:bottom w:val="nil"/>
              <w:right w:val="nil"/>
            </w:tcBorders>
            <w:shd w:val="clear" w:color="auto" w:fill="auto"/>
            <w:noWrap/>
            <w:vAlign w:val="center"/>
            <w:hideMark/>
          </w:tcPr>
          <w:p w14:paraId="27328ED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99EEB3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1 784,36</w:t>
            </w:r>
          </w:p>
        </w:tc>
        <w:tc>
          <w:tcPr>
            <w:tcW w:w="960" w:type="dxa"/>
            <w:tcBorders>
              <w:top w:val="nil"/>
              <w:left w:val="nil"/>
              <w:bottom w:val="nil"/>
              <w:right w:val="nil"/>
            </w:tcBorders>
            <w:shd w:val="clear" w:color="auto" w:fill="auto"/>
            <w:noWrap/>
            <w:vAlign w:val="center"/>
            <w:hideMark/>
          </w:tcPr>
          <w:p w14:paraId="40B30C7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2,74%</w:t>
            </w:r>
          </w:p>
        </w:tc>
        <w:tc>
          <w:tcPr>
            <w:tcW w:w="960" w:type="dxa"/>
            <w:tcBorders>
              <w:top w:val="nil"/>
              <w:left w:val="nil"/>
              <w:bottom w:val="nil"/>
              <w:right w:val="nil"/>
            </w:tcBorders>
            <w:shd w:val="clear" w:color="auto" w:fill="auto"/>
            <w:noWrap/>
            <w:vAlign w:val="bottom"/>
            <w:hideMark/>
          </w:tcPr>
          <w:p w14:paraId="2FF185B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FEF1A9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7E142A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1051-01</w:t>
            </w:r>
          </w:p>
        </w:tc>
        <w:tc>
          <w:tcPr>
            <w:tcW w:w="2380" w:type="dxa"/>
            <w:tcBorders>
              <w:top w:val="nil"/>
              <w:left w:val="nil"/>
              <w:bottom w:val="nil"/>
              <w:right w:val="nil"/>
            </w:tcBorders>
            <w:shd w:val="clear" w:color="auto" w:fill="auto"/>
            <w:noWrap/>
            <w:vAlign w:val="center"/>
            <w:hideMark/>
          </w:tcPr>
          <w:p w14:paraId="67C5DA06"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Neonatológia</w:t>
            </w:r>
            <w:proofErr w:type="spellEnd"/>
          </w:p>
        </w:tc>
        <w:tc>
          <w:tcPr>
            <w:tcW w:w="2000" w:type="dxa"/>
            <w:tcBorders>
              <w:top w:val="nil"/>
              <w:left w:val="nil"/>
              <w:bottom w:val="nil"/>
              <w:right w:val="nil"/>
            </w:tcBorders>
            <w:shd w:val="clear" w:color="auto" w:fill="auto"/>
            <w:noWrap/>
            <w:vAlign w:val="center"/>
            <w:hideMark/>
          </w:tcPr>
          <w:p w14:paraId="2C4A199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1C4373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935,31</w:t>
            </w:r>
          </w:p>
        </w:tc>
        <w:tc>
          <w:tcPr>
            <w:tcW w:w="960" w:type="dxa"/>
            <w:tcBorders>
              <w:top w:val="nil"/>
              <w:left w:val="nil"/>
              <w:bottom w:val="nil"/>
              <w:right w:val="nil"/>
            </w:tcBorders>
            <w:shd w:val="clear" w:color="auto" w:fill="auto"/>
            <w:noWrap/>
            <w:vAlign w:val="center"/>
            <w:hideMark/>
          </w:tcPr>
          <w:p w14:paraId="4F86AA1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1,44%</w:t>
            </w:r>
          </w:p>
        </w:tc>
        <w:tc>
          <w:tcPr>
            <w:tcW w:w="960" w:type="dxa"/>
            <w:tcBorders>
              <w:top w:val="nil"/>
              <w:left w:val="nil"/>
              <w:bottom w:val="nil"/>
              <w:right w:val="nil"/>
            </w:tcBorders>
            <w:shd w:val="clear" w:color="auto" w:fill="auto"/>
            <w:noWrap/>
            <w:vAlign w:val="bottom"/>
            <w:hideMark/>
          </w:tcPr>
          <w:p w14:paraId="7C3748C1"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5F197A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2DCAE4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1073-01</w:t>
            </w:r>
          </w:p>
        </w:tc>
        <w:tc>
          <w:tcPr>
            <w:tcW w:w="2380" w:type="dxa"/>
            <w:tcBorders>
              <w:top w:val="nil"/>
              <w:left w:val="nil"/>
              <w:bottom w:val="nil"/>
              <w:right w:val="nil"/>
            </w:tcBorders>
            <w:shd w:val="clear" w:color="auto" w:fill="auto"/>
            <w:noWrap/>
            <w:vAlign w:val="center"/>
            <w:hideMark/>
          </w:tcPr>
          <w:p w14:paraId="2717EC3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CPLDZ</w:t>
            </w:r>
          </w:p>
        </w:tc>
        <w:tc>
          <w:tcPr>
            <w:tcW w:w="2000" w:type="dxa"/>
            <w:tcBorders>
              <w:top w:val="nil"/>
              <w:left w:val="nil"/>
              <w:bottom w:val="nil"/>
              <w:right w:val="nil"/>
            </w:tcBorders>
            <w:shd w:val="clear" w:color="auto" w:fill="auto"/>
            <w:noWrap/>
            <w:vAlign w:val="center"/>
            <w:hideMark/>
          </w:tcPr>
          <w:p w14:paraId="5BCE83F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CA9E0E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987</w:t>
            </w:r>
          </w:p>
        </w:tc>
        <w:tc>
          <w:tcPr>
            <w:tcW w:w="960" w:type="dxa"/>
            <w:tcBorders>
              <w:top w:val="nil"/>
              <w:left w:val="nil"/>
              <w:bottom w:val="nil"/>
              <w:right w:val="nil"/>
            </w:tcBorders>
            <w:shd w:val="clear" w:color="auto" w:fill="auto"/>
            <w:noWrap/>
            <w:vAlign w:val="center"/>
            <w:hideMark/>
          </w:tcPr>
          <w:p w14:paraId="3C265BB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1,52%</w:t>
            </w:r>
          </w:p>
        </w:tc>
        <w:tc>
          <w:tcPr>
            <w:tcW w:w="960" w:type="dxa"/>
            <w:tcBorders>
              <w:top w:val="nil"/>
              <w:left w:val="nil"/>
              <w:bottom w:val="nil"/>
              <w:right w:val="nil"/>
            </w:tcBorders>
            <w:shd w:val="clear" w:color="auto" w:fill="auto"/>
            <w:noWrap/>
            <w:vAlign w:val="bottom"/>
            <w:hideMark/>
          </w:tcPr>
          <w:p w14:paraId="2698FB6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8836F9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053B77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1108-01</w:t>
            </w:r>
          </w:p>
        </w:tc>
        <w:tc>
          <w:tcPr>
            <w:tcW w:w="2380" w:type="dxa"/>
            <w:tcBorders>
              <w:top w:val="nil"/>
              <w:left w:val="nil"/>
              <w:bottom w:val="nil"/>
              <w:right w:val="nil"/>
            </w:tcBorders>
            <w:shd w:val="clear" w:color="auto" w:fill="auto"/>
            <w:noWrap/>
            <w:vAlign w:val="center"/>
            <w:hideMark/>
          </w:tcPr>
          <w:p w14:paraId="16B202E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Ortopédia-deti</w:t>
            </w:r>
          </w:p>
        </w:tc>
        <w:tc>
          <w:tcPr>
            <w:tcW w:w="2000" w:type="dxa"/>
            <w:tcBorders>
              <w:top w:val="nil"/>
              <w:left w:val="nil"/>
              <w:bottom w:val="nil"/>
              <w:right w:val="nil"/>
            </w:tcBorders>
            <w:shd w:val="clear" w:color="auto" w:fill="auto"/>
            <w:noWrap/>
            <w:vAlign w:val="center"/>
            <w:hideMark/>
          </w:tcPr>
          <w:p w14:paraId="462569D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45A8A3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494,07</w:t>
            </w:r>
          </w:p>
        </w:tc>
        <w:tc>
          <w:tcPr>
            <w:tcW w:w="960" w:type="dxa"/>
            <w:tcBorders>
              <w:top w:val="nil"/>
              <w:left w:val="nil"/>
              <w:bottom w:val="nil"/>
              <w:right w:val="nil"/>
            </w:tcBorders>
            <w:shd w:val="clear" w:color="auto" w:fill="auto"/>
            <w:noWrap/>
            <w:vAlign w:val="center"/>
            <w:hideMark/>
          </w:tcPr>
          <w:p w14:paraId="407443E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0,76%</w:t>
            </w:r>
          </w:p>
        </w:tc>
        <w:tc>
          <w:tcPr>
            <w:tcW w:w="960" w:type="dxa"/>
            <w:tcBorders>
              <w:top w:val="nil"/>
              <w:left w:val="nil"/>
              <w:bottom w:val="nil"/>
              <w:right w:val="nil"/>
            </w:tcBorders>
            <w:shd w:val="clear" w:color="auto" w:fill="auto"/>
            <w:noWrap/>
            <w:vAlign w:val="bottom"/>
            <w:hideMark/>
          </w:tcPr>
          <w:p w14:paraId="475DE76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61F55B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55D3338"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1193-01</w:t>
            </w:r>
          </w:p>
        </w:tc>
        <w:tc>
          <w:tcPr>
            <w:tcW w:w="2380" w:type="dxa"/>
            <w:tcBorders>
              <w:top w:val="nil"/>
              <w:left w:val="nil"/>
              <w:bottom w:val="nil"/>
              <w:right w:val="nil"/>
            </w:tcBorders>
            <w:shd w:val="clear" w:color="auto" w:fill="auto"/>
            <w:noWrap/>
            <w:vAlign w:val="center"/>
            <w:hideMark/>
          </w:tcPr>
          <w:p w14:paraId="4382E84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Dom </w:t>
            </w:r>
            <w:proofErr w:type="spellStart"/>
            <w:r w:rsidRPr="00E43879">
              <w:rPr>
                <w:rFonts w:ascii="Arial Narrow" w:hAnsi="Arial Narrow" w:cs="Calibri"/>
                <w:b/>
                <w:bCs/>
                <w:color w:val="000000"/>
                <w:sz w:val="20"/>
                <w:szCs w:val="20"/>
              </w:rPr>
              <w:t>ošetr.starostlivosti</w:t>
            </w:r>
            <w:proofErr w:type="spellEnd"/>
          </w:p>
        </w:tc>
        <w:tc>
          <w:tcPr>
            <w:tcW w:w="2000" w:type="dxa"/>
            <w:tcBorders>
              <w:top w:val="nil"/>
              <w:left w:val="nil"/>
              <w:bottom w:val="nil"/>
              <w:right w:val="nil"/>
            </w:tcBorders>
            <w:shd w:val="clear" w:color="auto" w:fill="auto"/>
            <w:noWrap/>
            <w:vAlign w:val="center"/>
            <w:hideMark/>
          </w:tcPr>
          <w:p w14:paraId="1014B13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4DFA69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801,7</w:t>
            </w:r>
          </w:p>
        </w:tc>
        <w:tc>
          <w:tcPr>
            <w:tcW w:w="960" w:type="dxa"/>
            <w:tcBorders>
              <w:top w:val="nil"/>
              <w:left w:val="nil"/>
              <w:bottom w:val="nil"/>
              <w:right w:val="nil"/>
            </w:tcBorders>
            <w:shd w:val="clear" w:color="auto" w:fill="auto"/>
            <w:noWrap/>
            <w:vAlign w:val="center"/>
            <w:hideMark/>
          </w:tcPr>
          <w:p w14:paraId="13076C6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1,23%</w:t>
            </w:r>
          </w:p>
        </w:tc>
        <w:tc>
          <w:tcPr>
            <w:tcW w:w="960" w:type="dxa"/>
            <w:tcBorders>
              <w:top w:val="nil"/>
              <w:left w:val="nil"/>
              <w:bottom w:val="nil"/>
              <w:right w:val="nil"/>
            </w:tcBorders>
            <w:shd w:val="clear" w:color="auto" w:fill="auto"/>
            <w:noWrap/>
            <w:vAlign w:val="bottom"/>
            <w:hideMark/>
          </w:tcPr>
          <w:p w14:paraId="1ED6EBC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934B6A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B28C21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1196-01</w:t>
            </w:r>
          </w:p>
        </w:tc>
        <w:tc>
          <w:tcPr>
            <w:tcW w:w="2380" w:type="dxa"/>
            <w:tcBorders>
              <w:top w:val="nil"/>
              <w:left w:val="nil"/>
              <w:bottom w:val="nil"/>
              <w:right w:val="nil"/>
            </w:tcBorders>
            <w:shd w:val="clear" w:color="auto" w:fill="auto"/>
            <w:noWrap/>
            <w:vAlign w:val="center"/>
            <w:hideMark/>
          </w:tcPr>
          <w:p w14:paraId="15ABFB47"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Vnutorne</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lekarstvo</w:t>
            </w:r>
            <w:proofErr w:type="spellEnd"/>
            <w:r w:rsidRPr="00E43879">
              <w:rPr>
                <w:rFonts w:ascii="Arial Narrow" w:hAnsi="Arial Narrow" w:cs="Calibri"/>
                <w:b/>
                <w:bCs/>
                <w:color w:val="000000"/>
                <w:sz w:val="20"/>
                <w:szCs w:val="20"/>
              </w:rPr>
              <w:t xml:space="preserve"> JIS</w:t>
            </w:r>
          </w:p>
        </w:tc>
        <w:tc>
          <w:tcPr>
            <w:tcW w:w="2000" w:type="dxa"/>
            <w:tcBorders>
              <w:top w:val="nil"/>
              <w:left w:val="nil"/>
              <w:bottom w:val="nil"/>
              <w:right w:val="nil"/>
            </w:tcBorders>
            <w:shd w:val="clear" w:color="auto" w:fill="auto"/>
            <w:noWrap/>
            <w:vAlign w:val="center"/>
            <w:hideMark/>
          </w:tcPr>
          <w:p w14:paraId="01D3885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B23531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208,32</w:t>
            </w:r>
          </w:p>
        </w:tc>
        <w:tc>
          <w:tcPr>
            <w:tcW w:w="960" w:type="dxa"/>
            <w:tcBorders>
              <w:top w:val="nil"/>
              <w:left w:val="nil"/>
              <w:bottom w:val="nil"/>
              <w:right w:val="nil"/>
            </w:tcBorders>
            <w:shd w:val="clear" w:color="auto" w:fill="auto"/>
            <w:noWrap/>
            <w:vAlign w:val="center"/>
            <w:hideMark/>
          </w:tcPr>
          <w:p w14:paraId="05387EF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0,32%</w:t>
            </w:r>
          </w:p>
        </w:tc>
        <w:tc>
          <w:tcPr>
            <w:tcW w:w="960" w:type="dxa"/>
            <w:tcBorders>
              <w:top w:val="nil"/>
              <w:left w:val="nil"/>
              <w:bottom w:val="nil"/>
              <w:right w:val="nil"/>
            </w:tcBorders>
            <w:shd w:val="clear" w:color="auto" w:fill="auto"/>
            <w:noWrap/>
            <w:vAlign w:val="bottom"/>
            <w:hideMark/>
          </w:tcPr>
          <w:p w14:paraId="636C9FA0"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73D832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6503CB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1199-01</w:t>
            </w:r>
          </w:p>
        </w:tc>
        <w:tc>
          <w:tcPr>
            <w:tcW w:w="2380" w:type="dxa"/>
            <w:tcBorders>
              <w:top w:val="nil"/>
              <w:left w:val="nil"/>
              <w:bottom w:val="nil"/>
              <w:right w:val="nil"/>
            </w:tcBorders>
            <w:shd w:val="clear" w:color="auto" w:fill="auto"/>
            <w:noWrap/>
            <w:vAlign w:val="center"/>
            <w:hideMark/>
          </w:tcPr>
          <w:p w14:paraId="5F35678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Pediatria-JIS</w:t>
            </w:r>
          </w:p>
        </w:tc>
        <w:tc>
          <w:tcPr>
            <w:tcW w:w="2000" w:type="dxa"/>
            <w:tcBorders>
              <w:top w:val="nil"/>
              <w:left w:val="nil"/>
              <w:bottom w:val="nil"/>
              <w:right w:val="nil"/>
            </w:tcBorders>
            <w:shd w:val="clear" w:color="auto" w:fill="auto"/>
            <w:noWrap/>
            <w:vAlign w:val="center"/>
            <w:hideMark/>
          </w:tcPr>
          <w:p w14:paraId="1ED2AC3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324CC7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125,36</w:t>
            </w:r>
          </w:p>
        </w:tc>
        <w:tc>
          <w:tcPr>
            <w:tcW w:w="960" w:type="dxa"/>
            <w:tcBorders>
              <w:top w:val="nil"/>
              <w:left w:val="nil"/>
              <w:bottom w:val="nil"/>
              <w:right w:val="nil"/>
            </w:tcBorders>
            <w:shd w:val="clear" w:color="auto" w:fill="auto"/>
            <w:noWrap/>
            <w:vAlign w:val="center"/>
            <w:hideMark/>
          </w:tcPr>
          <w:p w14:paraId="05C3A91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0,19%</w:t>
            </w:r>
          </w:p>
        </w:tc>
        <w:tc>
          <w:tcPr>
            <w:tcW w:w="960" w:type="dxa"/>
            <w:tcBorders>
              <w:top w:val="nil"/>
              <w:left w:val="nil"/>
              <w:bottom w:val="nil"/>
              <w:right w:val="nil"/>
            </w:tcBorders>
            <w:shd w:val="clear" w:color="auto" w:fill="auto"/>
            <w:noWrap/>
            <w:vAlign w:val="bottom"/>
            <w:hideMark/>
          </w:tcPr>
          <w:p w14:paraId="3E3AF7B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3B63AD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DDCD24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1201-01</w:t>
            </w:r>
          </w:p>
        </w:tc>
        <w:tc>
          <w:tcPr>
            <w:tcW w:w="2380" w:type="dxa"/>
            <w:tcBorders>
              <w:top w:val="nil"/>
              <w:left w:val="nil"/>
              <w:bottom w:val="nil"/>
              <w:right w:val="nil"/>
            </w:tcBorders>
            <w:shd w:val="clear" w:color="auto" w:fill="auto"/>
            <w:noWrap/>
            <w:vAlign w:val="center"/>
            <w:hideMark/>
          </w:tcPr>
          <w:p w14:paraId="6B7A908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Neurológia-JIS</w:t>
            </w:r>
          </w:p>
        </w:tc>
        <w:tc>
          <w:tcPr>
            <w:tcW w:w="2000" w:type="dxa"/>
            <w:tcBorders>
              <w:top w:val="nil"/>
              <w:left w:val="nil"/>
              <w:bottom w:val="nil"/>
              <w:right w:val="nil"/>
            </w:tcBorders>
            <w:shd w:val="clear" w:color="auto" w:fill="auto"/>
            <w:noWrap/>
            <w:vAlign w:val="center"/>
            <w:hideMark/>
          </w:tcPr>
          <w:p w14:paraId="58077C7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23F7B3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111,76</w:t>
            </w:r>
          </w:p>
        </w:tc>
        <w:tc>
          <w:tcPr>
            <w:tcW w:w="960" w:type="dxa"/>
            <w:tcBorders>
              <w:top w:val="nil"/>
              <w:left w:val="nil"/>
              <w:bottom w:val="nil"/>
              <w:right w:val="nil"/>
            </w:tcBorders>
            <w:shd w:val="clear" w:color="auto" w:fill="auto"/>
            <w:noWrap/>
            <w:vAlign w:val="center"/>
            <w:hideMark/>
          </w:tcPr>
          <w:p w14:paraId="4865A79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0,17%</w:t>
            </w:r>
          </w:p>
        </w:tc>
        <w:tc>
          <w:tcPr>
            <w:tcW w:w="960" w:type="dxa"/>
            <w:tcBorders>
              <w:top w:val="nil"/>
              <w:left w:val="nil"/>
              <w:bottom w:val="nil"/>
              <w:right w:val="nil"/>
            </w:tcBorders>
            <w:shd w:val="clear" w:color="auto" w:fill="auto"/>
            <w:noWrap/>
            <w:vAlign w:val="bottom"/>
            <w:hideMark/>
          </w:tcPr>
          <w:p w14:paraId="7EDC47A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2E78EF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0FC547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1202-01</w:t>
            </w:r>
          </w:p>
        </w:tc>
        <w:tc>
          <w:tcPr>
            <w:tcW w:w="2380" w:type="dxa"/>
            <w:tcBorders>
              <w:top w:val="nil"/>
              <w:left w:val="nil"/>
              <w:bottom w:val="nil"/>
              <w:right w:val="nil"/>
            </w:tcBorders>
            <w:shd w:val="clear" w:color="auto" w:fill="auto"/>
            <w:noWrap/>
            <w:vAlign w:val="center"/>
            <w:hideMark/>
          </w:tcPr>
          <w:p w14:paraId="4B4278C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Chirurgia-JIS</w:t>
            </w:r>
          </w:p>
        </w:tc>
        <w:tc>
          <w:tcPr>
            <w:tcW w:w="2000" w:type="dxa"/>
            <w:tcBorders>
              <w:top w:val="nil"/>
              <w:left w:val="nil"/>
              <w:bottom w:val="nil"/>
              <w:right w:val="nil"/>
            </w:tcBorders>
            <w:shd w:val="clear" w:color="auto" w:fill="auto"/>
            <w:noWrap/>
            <w:vAlign w:val="center"/>
            <w:hideMark/>
          </w:tcPr>
          <w:p w14:paraId="5020790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8D002B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87,7</w:t>
            </w:r>
          </w:p>
        </w:tc>
        <w:tc>
          <w:tcPr>
            <w:tcW w:w="960" w:type="dxa"/>
            <w:tcBorders>
              <w:top w:val="nil"/>
              <w:left w:val="nil"/>
              <w:bottom w:val="nil"/>
              <w:right w:val="nil"/>
            </w:tcBorders>
            <w:shd w:val="clear" w:color="auto" w:fill="auto"/>
            <w:noWrap/>
            <w:vAlign w:val="center"/>
            <w:hideMark/>
          </w:tcPr>
          <w:p w14:paraId="2F052C6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0,13%</w:t>
            </w:r>
          </w:p>
        </w:tc>
        <w:tc>
          <w:tcPr>
            <w:tcW w:w="960" w:type="dxa"/>
            <w:tcBorders>
              <w:top w:val="nil"/>
              <w:left w:val="nil"/>
              <w:bottom w:val="nil"/>
              <w:right w:val="nil"/>
            </w:tcBorders>
            <w:shd w:val="clear" w:color="auto" w:fill="auto"/>
            <w:noWrap/>
            <w:vAlign w:val="bottom"/>
            <w:hideMark/>
          </w:tcPr>
          <w:p w14:paraId="74844F6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6B4946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864848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1203-01</w:t>
            </w:r>
          </w:p>
        </w:tc>
        <w:tc>
          <w:tcPr>
            <w:tcW w:w="2380" w:type="dxa"/>
            <w:tcBorders>
              <w:top w:val="nil"/>
              <w:left w:val="nil"/>
              <w:bottom w:val="nil"/>
              <w:right w:val="nil"/>
            </w:tcBorders>
            <w:shd w:val="clear" w:color="auto" w:fill="auto"/>
            <w:noWrap/>
            <w:vAlign w:val="center"/>
            <w:hideMark/>
          </w:tcPr>
          <w:p w14:paraId="233C1C7C"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Neonatológia</w:t>
            </w:r>
            <w:proofErr w:type="spellEnd"/>
            <w:r w:rsidRPr="00E43879">
              <w:rPr>
                <w:rFonts w:ascii="Arial Narrow" w:hAnsi="Arial Narrow" w:cs="Calibri"/>
                <w:b/>
                <w:bCs/>
                <w:color w:val="000000"/>
                <w:sz w:val="20"/>
                <w:szCs w:val="20"/>
              </w:rPr>
              <w:t>-JIRS</w:t>
            </w:r>
          </w:p>
        </w:tc>
        <w:tc>
          <w:tcPr>
            <w:tcW w:w="2000" w:type="dxa"/>
            <w:tcBorders>
              <w:top w:val="nil"/>
              <w:left w:val="nil"/>
              <w:bottom w:val="nil"/>
              <w:right w:val="nil"/>
            </w:tcBorders>
            <w:shd w:val="clear" w:color="auto" w:fill="auto"/>
            <w:noWrap/>
            <w:vAlign w:val="center"/>
            <w:hideMark/>
          </w:tcPr>
          <w:p w14:paraId="541D8FC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D225B4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329</w:t>
            </w:r>
          </w:p>
        </w:tc>
        <w:tc>
          <w:tcPr>
            <w:tcW w:w="960" w:type="dxa"/>
            <w:tcBorders>
              <w:top w:val="nil"/>
              <w:left w:val="nil"/>
              <w:bottom w:val="nil"/>
              <w:right w:val="nil"/>
            </w:tcBorders>
            <w:shd w:val="clear" w:color="auto" w:fill="auto"/>
            <w:noWrap/>
            <w:vAlign w:val="center"/>
            <w:hideMark/>
          </w:tcPr>
          <w:p w14:paraId="7A14884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0,51%</w:t>
            </w:r>
          </w:p>
        </w:tc>
        <w:tc>
          <w:tcPr>
            <w:tcW w:w="960" w:type="dxa"/>
            <w:tcBorders>
              <w:top w:val="nil"/>
              <w:left w:val="nil"/>
              <w:bottom w:val="nil"/>
              <w:right w:val="nil"/>
            </w:tcBorders>
            <w:shd w:val="clear" w:color="auto" w:fill="auto"/>
            <w:noWrap/>
            <w:vAlign w:val="bottom"/>
            <w:hideMark/>
          </w:tcPr>
          <w:p w14:paraId="00BD3C0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1D51BE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8AE5F0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1205-01</w:t>
            </w:r>
          </w:p>
        </w:tc>
        <w:tc>
          <w:tcPr>
            <w:tcW w:w="2380" w:type="dxa"/>
            <w:tcBorders>
              <w:top w:val="nil"/>
              <w:left w:val="nil"/>
              <w:bottom w:val="nil"/>
              <w:right w:val="nil"/>
            </w:tcBorders>
            <w:shd w:val="clear" w:color="auto" w:fill="auto"/>
            <w:noWrap/>
            <w:vAlign w:val="center"/>
            <w:hideMark/>
          </w:tcPr>
          <w:p w14:paraId="247F8D1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LDCH</w:t>
            </w:r>
          </w:p>
        </w:tc>
        <w:tc>
          <w:tcPr>
            <w:tcW w:w="2000" w:type="dxa"/>
            <w:tcBorders>
              <w:top w:val="nil"/>
              <w:left w:val="nil"/>
              <w:bottom w:val="nil"/>
              <w:right w:val="nil"/>
            </w:tcBorders>
            <w:shd w:val="clear" w:color="auto" w:fill="auto"/>
            <w:noWrap/>
            <w:vAlign w:val="center"/>
            <w:hideMark/>
          </w:tcPr>
          <w:p w14:paraId="4C54A27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5EA8E4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2 262,36</w:t>
            </w:r>
          </w:p>
        </w:tc>
        <w:tc>
          <w:tcPr>
            <w:tcW w:w="960" w:type="dxa"/>
            <w:tcBorders>
              <w:top w:val="nil"/>
              <w:left w:val="nil"/>
              <w:bottom w:val="nil"/>
              <w:right w:val="nil"/>
            </w:tcBorders>
            <w:shd w:val="clear" w:color="auto" w:fill="auto"/>
            <w:noWrap/>
            <w:vAlign w:val="center"/>
            <w:hideMark/>
          </w:tcPr>
          <w:p w14:paraId="7260C66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3,47%</w:t>
            </w:r>
          </w:p>
        </w:tc>
        <w:tc>
          <w:tcPr>
            <w:tcW w:w="960" w:type="dxa"/>
            <w:tcBorders>
              <w:top w:val="nil"/>
              <w:left w:val="nil"/>
              <w:bottom w:val="nil"/>
              <w:right w:val="nil"/>
            </w:tcBorders>
            <w:shd w:val="clear" w:color="auto" w:fill="auto"/>
            <w:noWrap/>
            <w:vAlign w:val="bottom"/>
            <w:hideMark/>
          </w:tcPr>
          <w:p w14:paraId="05A764DD"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EED639D"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79B0C9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1599-01</w:t>
            </w:r>
          </w:p>
        </w:tc>
        <w:tc>
          <w:tcPr>
            <w:tcW w:w="2380" w:type="dxa"/>
            <w:tcBorders>
              <w:top w:val="nil"/>
              <w:left w:val="nil"/>
              <w:bottom w:val="nil"/>
              <w:right w:val="nil"/>
            </w:tcBorders>
            <w:shd w:val="clear" w:color="auto" w:fill="auto"/>
            <w:noWrap/>
            <w:vAlign w:val="center"/>
            <w:hideMark/>
          </w:tcPr>
          <w:p w14:paraId="423E906A"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Spondylochir</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ped.ortop</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75370CA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5BED037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23,5</w:t>
            </w:r>
          </w:p>
        </w:tc>
        <w:tc>
          <w:tcPr>
            <w:tcW w:w="960" w:type="dxa"/>
            <w:tcBorders>
              <w:top w:val="nil"/>
              <w:left w:val="nil"/>
              <w:bottom w:val="nil"/>
              <w:right w:val="nil"/>
            </w:tcBorders>
            <w:shd w:val="clear" w:color="auto" w:fill="auto"/>
            <w:noWrap/>
            <w:vAlign w:val="center"/>
            <w:hideMark/>
          </w:tcPr>
          <w:p w14:paraId="2EAB9B7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0,04%</w:t>
            </w:r>
          </w:p>
        </w:tc>
        <w:tc>
          <w:tcPr>
            <w:tcW w:w="960" w:type="dxa"/>
            <w:tcBorders>
              <w:top w:val="nil"/>
              <w:left w:val="nil"/>
              <w:bottom w:val="nil"/>
              <w:right w:val="nil"/>
            </w:tcBorders>
            <w:shd w:val="clear" w:color="auto" w:fill="auto"/>
            <w:noWrap/>
            <w:vAlign w:val="bottom"/>
            <w:hideMark/>
          </w:tcPr>
          <w:p w14:paraId="087801E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345684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4136B6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1599-02</w:t>
            </w:r>
          </w:p>
        </w:tc>
        <w:tc>
          <w:tcPr>
            <w:tcW w:w="2380" w:type="dxa"/>
            <w:tcBorders>
              <w:top w:val="nil"/>
              <w:left w:val="nil"/>
              <w:bottom w:val="nil"/>
              <w:right w:val="nil"/>
            </w:tcBorders>
            <w:shd w:val="clear" w:color="auto" w:fill="auto"/>
            <w:noWrap/>
            <w:vAlign w:val="center"/>
            <w:hideMark/>
          </w:tcPr>
          <w:p w14:paraId="280D3C4B"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Spondylochir</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úraz.chir</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1ECEE14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1A597C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30,6</w:t>
            </w:r>
          </w:p>
        </w:tc>
        <w:tc>
          <w:tcPr>
            <w:tcW w:w="960" w:type="dxa"/>
            <w:tcBorders>
              <w:top w:val="nil"/>
              <w:left w:val="nil"/>
              <w:bottom w:val="nil"/>
              <w:right w:val="nil"/>
            </w:tcBorders>
            <w:shd w:val="clear" w:color="auto" w:fill="auto"/>
            <w:noWrap/>
            <w:vAlign w:val="center"/>
            <w:hideMark/>
          </w:tcPr>
          <w:p w14:paraId="48BC29C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759B562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E314FE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8BDDED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1599-03</w:t>
            </w:r>
          </w:p>
        </w:tc>
        <w:tc>
          <w:tcPr>
            <w:tcW w:w="2380" w:type="dxa"/>
            <w:tcBorders>
              <w:top w:val="nil"/>
              <w:left w:val="nil"/>
              <w:bottom w:val="nil"/>
              <w:right w:val="nil"/>
            </w:tcBorders>
            <w:shd w:val="clear" w:color="auto" w:fill="auto"/>
            <w:noWrap/>
            <w:vAlign w:val="center"/>
            <w:hideMark/>
          </w:tcPr>
          <w:p w14:paraId="271A5AF6"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Spondylochir</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neurochir</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3920513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7D9115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48,9</w:t>
            </w:r>
          </w:p>
        </w:tc>
        <w:tc>
          <w:tcPr>
            <w:tcW w:w="960" w:type="dxa"/>
            <w:tcBorders>
              <w:top w:val="nil"/>
              <w:left w:val="nil"/>
              <w:bottom w:val="nil"/>
              <w:right w:val="nil"/>
            </w:tcBorders>
            <w:shd w:val="clear" w:color="auto" w:fill="auto"/>
            <w:noWrap/>
            <w:vAlign w:val="center"/>
            <w:hideMark/>
          </w:tcPr>
          <w:p w14:paraId="4D79EB7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0,08%</w:t>
            </w:r>
          </w:p>
        </w:tc>
        <w:tc>
          <w:tcPr>
            <w:tcW w:w="960" w:type="dxa"/>
            <w:tcBorders>
              <w:top w:val="nil"/>
              <w:left w:val="nil"/>
              <w:bottom w:val="nil"/>
              <w:right w:val="nil"/>
            </w:tcBorders>
            <w:shd w:val="clear" w:color="auto" w:fill="auto"/>
            <w:noWrap/>
            <w:vAlign w:val="bottom"/>
            <w:hideMark/>
          </w:tcPr>
          <w:p w14:paraId="594B70C0"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24A017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4D2A50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1609-01</w:t>
            </w:r>
          </w:p>
        </w:tc>
        <w:tc>
          <w:tcPr>
            <w:tcW w:w="2380" w:type="dxa"/>
            <w:tcBorders>
              <w:top w:val="nil"/>
              <w:left w:val="nil"/>
              <w:bottom w:val="nil"/>
              <w:right w:val="nil"/>
            </w:tcBorders>
            <w:shd w:val="clear" w:color="auto" w:fill="auto"/>
            <w:noWrap/>
            <w:vAlign w:val="center"/>
            <w:hideMark/>
          </w:tcPr>
          <w:p w14:paraId="20112CFF"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Gyn</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pôrodn</w:t>
            </w:r>
            <w:proofErr w:type="spellEnd"/>
            <w:r w:rsidRPr="00E43879">
              <w:rPr>
                <w:rFonts w:ascii="Arial Narrow" w:hAnsi="Arial Narrow" w:cs="Calibri"/>
                <w:b/>
                <w:bCs/>
                <w:color w:val="000000"/>
                <w:sz w:val="20"/>
                <w:szCs w:val="20"/>
              </w:rPr>
              <w:t>. JIS</w:t>
            </w:r>
          </w:p>
        </w:tc>
        <w:tc>
          <w:tcPr>
            <w:tcW w:w="2000" w:type="dxa"/>
            <w:tcBorders>
              <w:top w:val="nil"/>
              <w:left w:val="nil"/>
              <w:bottom w:val="nil"/>
              <w:right w:val="nil"/>
            </w:tcBorders>
            <w:shd w:val="clear" w:color="auto" w:fill="auto"/>
            <w:noWrap/>
            <w:vAlign w:val="center"/>
            <w:hideMark/>
          </w:tcPr>
          <w:p w14:paraId="4DF8025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E7F677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18,1</w:t>
            </w:r>
          </w:p>
        </w:tc>
        <w:tc>
          <w:tcPr>
            <w:tcW w:w="960" w:type="dxa"/>
            <w:tcBorders>
              <w:top w:val="nil"/>
              <w:left w:val="nil"/>
              <w:bottom w:val="nil"/>
              <w:right w:val="nil"/>
            </w:tcBorders>
            <w:shd w:val="clear" w:color="auto" w:fill="auto"/>
            <w:noWrap/>
            <w:vAlign w:val="center"/>
            <w:hideMark/>
          </w:tcPr>
          <w:p w14:paraId="38B0936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0,03%</w:t>
            </w:r>
          </w:p>
        </w:tc>
        <w:tc>
          <w:tcPr>
            <w:tcW w:w="960" w:type="dxa"/>
            <w:tcBorders>
              <w:top w:val="nil"/>
              <w:left w:val="nil"/>
              <w:bottom w:val="nil"/>
              <w:right w:val="nil"/>
            </w:tcBorders>
            <w:shd w:val="clear" w:color="auto" w:fill="auto"/>
            <w:noWrap/>
            <w:vAlign w:val="bottom"/>
            <w:hideMark/>
          </w:tcPr>
          <w:p w14:paraId="69147E9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644EFA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C27D19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1611-01</w:t>
            </w:r>
          </w:p>
        </w:tc>
        <w:tc>
          <w:tcPr>
            <w:tcW w:w="2380" w:type="dxa"/>
            <w:tcBorders>
              <w:top w:val="nil"/>
              <w:left w:val="nil"/>
              <w:bottom w:val="nil"/>
              <w:right w:val="nil"/>
            </w:tcBorders>
            <w:shd w:val="clear" w:color="auto" w:fill="auto"/>
            <w:noWrap/>
            <w:vAlign w:val="center"/>
            <w:hideMark/>
          </w:tcPr>
          <w:p w14:paraId="1EA00B4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Ortopédia-JIS</w:t>
            </w:r>
          </w:p>
        </w:tc>
        <w:tc>
          <w:tcPr>
            <w:tcW w:w="2000" w:type="dxa"/>
            <w:tcBorders>
              <w:top w:val="nil"/>
              <w:left w:val="nil"/>
              <w:bottom w:val="nil"/>
              <w:right w:val="nil"/>
            </w:tcBorders>
            <w:shd w:val="clear" w:color="auto" w:fill="auto"/>
            <w:noWrap/>
            <w:vAlign w:val="center"/>
            <w:hideMark/>
          </w:tcPr>
          <w:p w14:paraId="7CDEA8F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5041E3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16</w:t>
            </w:r>
          </w:p>
        </w:tc>
        <w:tc>
          <w:tcPr>
            <w:tcW w:w="960" w:type="dxa"/>
            <w:tcBorders>
              <w:top w:val="nil"/>
              <w:left w:val="nil"/>
              <w:bottom w:val="nil"/>
              <w:right w:val="nil"/>
            </w:tcBorders>
            <w:shd w:val="clear" w:color="auto" w:fill="auto"/>
            <w:noWrap/>
            <w:vAlign w:val="center"/>
            <w:hideMark/>
          </w:tcPr>
          <w:p w14:paraId="0A06DC0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4432A73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06820A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DAB706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1612-01</w:t>
            </w:r>
          </w:p>
        </w:tc>
        <w:tc>
          <w:tcPr>
            <w:tcW w:w="2380" w:type="dxa"/>
            <w:tcBorders>
              <w:top w:val="nil"/>
              <w:left w:val="nil"/>
              <w:bottom w:val="nil"/>
              <w:right w:val="nil"/>
            </w:tcBorders>
            <w:shd w:val="clear" w:color="auto" w:fill="auto"/>
            <w:noWrap/>
            <w:vAlign w:val="center"/>
            <w:hideMark/>
          </w:tcPr>
          <w:p w14:paraId="3503EDD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Urológia-JIS</w:t>
            </w:r>
          </w:p>
        </w:tc>
        <w:tc>
          <w:tcPr>
            <w:tcW w:w="2000" w:type="dxa"/>
            <w:tcBorders>
              <w:top w:val="nil"/>
              <w:left w:val="nil"/>
              <w:bottom w:val="nil"/>
              <w:right w:val="nil"/>
            </w:tcBorders>
            <w:shd w:val="clear" w:color="auto" w:fill="auto"/>
            <w:noWrap/>
            <w:vAlign w:val="center"/>
            <w:hideMark/>
          </w:tcPr>
          <w:p w14:paraId="72C93E6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D6AFC2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53,2</w:t>
            </w:r>
          </w:p>
        </w:tc>
        <w:tc>
          <w:tcPr>
            <w:tcW w:w="960" w:type="dxa"/>
            <w:tcBorders>
              <w:top w:val="nil"/>
              <w:left w:val="nil"/>
              <w:bottom w:val="nil"/>
              <w:right w:val="nil"/>
            </w:tcBorders>
            <w:shd w:val="clear" w:color="auto" w:fill="auto"/>
            <w:noWrap/>
            <w:vAlign w:val="center"/>
            <w:hideMark/>
          </w:tcPr>
          <w:p w14:paraId="7C59751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0,08%</w:t>
            </w:r>
          </w:p>
        </w:tc>
        <w:tc>
          <w:tcPr>
            <w:tcW w:w="960" w:type="dxa"/>
            <w:tcBorders>
              <w:top w:val="nil"/>
              <w:left w:val="nil"/>
              <w:bottom w:val="nil"/>
              <w:right w:val="nil"/>
            </w:tcBorders>
            <w:shd w:val="clear" w:color="auto" w:fill="auto"/>
            <w:noWrap/>
            <w:vAlign w:val="bottom"/>
            <w:hideMark/>
          </w:tcPr>
          <w:p w14:paraId="0EEE8B71"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A02615D"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5B88B4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1613-01</w:t>
            </w:r>
          </w:p>
        </w:tc>
        <w:tc>
          <w:tcPr>
            <w:tcW w:w="2380" w:type="dxa"/>
            <w:tcBorders>
              <w:top w:val="nil"/>
              <w:left w:val="nil"/>
              <w:bottom w:val="nil"/>
              <w:right w:val="nil"/>
            </w:tcBorders>
            <w:shd w:val="clear" w:color="auto" w:fill="auto"/>
            <w:noWrap/>
            <w:vAlign w:val="center"/>
            <w:hideMark/>
          </w:tcPr>
          <w:p w14:paraId="73C3945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Úrazová chirurgia JIS</w:t>
            </w:r>
          </w:p>
        </w:tc>
        <w:tc>
          <w:tcPr>
            <w:tcW w:w="2000" w:type="dxa"/>
            <w:tcBorders>
              <w:top w:val="nil"/>
              <w:left w:val="nil"/>
              <w:bottom w:val="nil"/>
              <w:right w:val="nil"/>
            </w:tcBorders>
            <w:shd w:val="clear" w:color="auto" w:fill="auto"/>
            <w:noWrap/>
            <w:vAlign w:val="center"/>
            <w:hideMark/>
          </w:tcPr>
          <w:p w14:paraId="311E588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7437BA6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57,11</w:t>
            </w:r>
          </w:p>
        </w:tc>
        <w:tc>
          <w:tcPr>
            <w:tcW w:w="960" w:type="dxa"/>
            <w:tcBorders>
              <w:top w:val="nil"/>
              <w:left w:val="nil"/>
              <w:bottom w:val="nil"/>
              <w:right w:val="nil"/>
            </w:tcBorders>
            <w:shd w:val="clear" w:color="auto" w:fill="auto"/>
            <w:noWrap/>
            <w:vAlign w:val="center"/>
            <w:hideMark/>
          </w:tcPr>
          <w:p w14:paraId="18F7604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0,09%</w:t>
            </w:r>
          </w:p>
        </w:tc>
        <w:tc>
          <w:tcPr>
            <w:tcW w:w="960" w:type="dxa"/>
            <w:tcBorders>
              <w:top w:val="nil"/>
              <w:left w:val="nil"/>
              <w:bottom w:val="nil"/>
              <w:right w:val="nil"/>
            </w:tcBorders>
            <w:shd w:val="clear" w:color="auto" w:fill="auto"/>
            <w:noWrap/>
            <w:vAlign w:val="bottom"/>
            <w:hideMark/>
          </w:tcPr>
          <w:p w14:paraId="65347F3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1E51F5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85DFF9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1637-01</w:t>
            </w:r>
          </w:p>
        </w:tc>
        <w:tc>
          <w:tcPr>
            <w:tcW w:w="2380" w:type="dxa"/>
            <w:tcBorders>
              <w:top w:val="nil"/>
              <w:left w:val="nil"/>
              <w:bottom w:val="nil"/>
              <w:right w:val="nil"/>
            </w:tcBorders>
            <w:shd w:val="clear" w:color="auto" w:fill="auto"/>
            <w:noWrap/>
            <w:vAlign w:val="center"/>
            <w:hideMark/>
          </w:tcPr>
          <w:p w14:paraId="0922C5F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Neurochirurgia-JIS</w:t>
            </w:r>
          </w:p>
        </w:tc>
        <w:tc>
          <w:tcPr>
            <w:tcW w:w="2000" w:type="dxa"/>
            <w:tcBorders>
              <w:top w:val="nil"/>
              <w:left w:val="nil"/>
              <w:bottom w:val="nil"/>
              <w:right w:val="nil"/>
            </w:tcBorders>
            <w:shd w:val="clear" w:color="auto" w:fill="auto"/>
            <w:noWrap/>
            <w:vAlign w:val="center"/>
            <w:hideMark/>
          </w:tcPr>
          <w:p w14:paraId="1610FEC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50AE9A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37,82</w:t>
            </w:r>
          </w:p>
        </w:tc>
        <w:tc>
          <w:tcPr>
            <w:tcW w:w="960" w:type="dxa"/>
            <w:tcBorders>
              <w:top w:val="nil"/>
              <w:left w:val="nil"/>
              <w:bottom w:val="nil"/>
              <w:right w:val="nil"/>
            </w:tcBorders>
            <w:shd w:val="clear" w:color="auto" w:fill="auto"/>
            <w:noWrap/>
            <w:vAlign w:val="center"/>
            <w:hideMark/>
          </w:tcPr>
          <w:p w14:paraId="2EB302A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0,06%</w:t>
            </w:r>
          </w:p>
        </w:tc>
        <w:tc>
          <w:tcPr>
            <w:tcW w:w="960" w:type="dxa"/>
            <w:tcBorders>
              <w:top w:val="nil"/>
              <w:left w:val="nil"/>
              <w:bottom w:val="nil"/>
              <w:right w:val="nil"/>
            </w:tcBorders>
            <w:shd w:val="clear" w:color="auto" w:fill="auto"/>
            <w:noWrap/>
            <w:vAlign w:val="bottom"/>
            <w:hideMark/>
          </w:tcPr>
          <w:p w14:paraId="247905ED"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67C971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DF099C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2001-01</w:t>
            </w:r>
          </w:p>
        </w:tc>
        <w:tc>
          <w:tcPr>
            <w:tcW w:w="2380" w:type="dxa"/>
            <w:tcBorders>
              <w:top w:val="nil"/>
              <w:left w:val="nil"/>
              <w:bottom w:val="nil"/>
              <w:right w:val="nil"/>
            </w:tcBorders>
            <w:shd w:val="clear" w:color="auto" w:fill="auto"/>
            <w:noWrap/>
            <w:vAlign w:val="center"/>
            <w:hideMark/>
          </w:tcPr>
          <w:p w14:paraId="72478E0D"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Vnutorne</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lekarstvo</w:t>
            </w:r>
            <w:proofErr w:type="spellEnd"/>
          </w:p>
        </w:tc>
        <w:tc>
          <w:tcPr>
            <w:tcW w:w="2000" w:type="dxa"/>
            <w:tcBorders>
              <w:top w:val="nil"/>
              <w:left w:val="nil"/>
              <w:bottom w:val="nil"/>
              <w:right w:val="nil"/>
            </w:tcBorders>
            <w:shd w:val="clear" w:color="auto" w:fill="auto"/>
            <w:noWrap/>
            <w:vAlign w:val="center"/>
            <w:hideMark/>
          </w:tcPr>
          <w:p w14:paraId="3E217C1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5A333E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284,79</w:t>
            </w:r>
          </w:p>
        </w:tc>
        <w:tc>
          <w:tcPr>
            <w:tcW w:w="960" w:type="dxa"/>
            <w:tcBorders>
              <w:top w:val="nil"/>
              <w:left w:val="nil"/>
              <w:bottom w:val="nil"/>
              <w:right w:val="nil"/>
            </w:tcBorders>
            <w:shd w:val="clear" w:color="auto" w:fill="auto"/>
            <w:noWrap/>
            <w:vAlign w:val="center"/>
            <w:hideMark/>
          </w:tcPr>
          <w:p w14:paraId="010A4CA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0,44%</w:t>
            </w:r>
          </w:p>
        </w:tc>
        <w:tc>
          <w:tcPr>
            <w:tcW w:w="960" w:type="dxa"/>
            <w:tcBorders>
              <w:top w:val="nil"/>
              <w:left w:val="nil"/>
              <w:bottom w:val="nil"/>
              <w:right w:val="nil"/>
            </w:tcBorders>
            <w:shd w:val="clear" w:color="auto" w:fill="auto"/>
            <w:noWrap/>
            <w:vAlign w:val="bottom"/>
            <w:hideMark/>
          </w:tcPr>
          <w:p w14:paraId="032B7D8F"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83A703D"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4BD1EE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2002-01</w:t>
            </w:r>
          </w:p>
        </w:tc>
        <w:tc>
          <w:tcPr>
            <w:tcW w:w="2380" w:type="dxa"/>
            <w:tcBorders>
              <w:top w:val="nil"/>
              <w:left w:val="nil"/>
              <w:bottom w:val="nil"/>
              <w:right w:val="nil"/>
            </w:tcBorders>
            <w:shd w:val="clear" w:color="auto" w:fill="auto"/>
            <w:noWrap/>
            <w:vAlign w:val="center"/>
            <w:hideMark/>
          </w:tcPr>
          <w:p w14:paraId="4657C229"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Infektológia</w:t>
            </w:r>
            <w:proofErr w:type="spellEnd"/>
          </w:p>
        </w:tc>
        <w:tc>
          <w:tcPr>
            <w:tcW w:w="2000" w:type="dxa"/>
            <w:tcBorders>
              <w:top w:val="nil"/>
              <w:left w:val="nil"/>
              <w:bottom w:val="nil"/>
              <w:right w:val="nil"/>
            </w:tcBorders>
            <w:shd w:val="clear" w:color="auto" w:fill="auto"/>
            <w:noWrap/>
            <w:vAlign w:val="center"/>
            <w:hideMark/>
          </w:tcPr>
          <w:p w14:paraId="2FC07FD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6F5A9B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346,33</w:t>
            </w:r>
          </w:p>
        </w:tc>
        <w:tc>
          <w:tcPr>
            <w:tcW w:w="960" w:type="dxa"/>
            <w:tcBorders>
              <w:top w:val="nil"/>
              <w:left w:val="nil"/>
              <w:bottom w:val="nil"/>
              <w:right w:val="nil"/>
            </w:tcBorders>
            <w:shd w:val="clear" w:color="auto" w:fill="auto"/>
            <w:noWrap/>
            <w:vAlign w:val="center"/>
            <w:hideMark/>
          </w:tcPr>
          <w:p w14:paraId="197B701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0,53%</w:t>
            </w:r>
          </w:p>
        </w:tc>
        <w:tc>
          <w:tcPr>
            <w:tcW w:w="960" w:type="dxa"/>
            <w:tcBorders>
              <w:top w:val="nil"/>
              <w:left w:val="nil"/>
              <w:bottom w:val="nil"/>
              <w:right w:val="nil"/>
            </w:tcBorders>
            <w:shd w:val="clear" w:color="auto" w:fill="auto"/>
            <w:noWrap/>
            <w:vAlign w:val="bottom"/>
            <w:hideMark/>
          </w:tcPr>
          <w:p w14:paraId="2F883A8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A3A21C1"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4F09F2B"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2003-01</w:t>
            </w:r>
          </w:p>
        </w:tc>
        <w:tc>
          <w:tcPr>
            <w:tcW w:w="2380" w:type="dxa"/>
            <w:tcBorders>
              <w:top w:val="nil"/>
              <w:left w:val="nil"/>
              <w:bottom w:val="nil"/>
              <w:right w:val="nil"/>
            </w:tcBorders>
            <w:shd w:val="clear" w:color="auto" w:fill="auto"/>
            <w:noWrap/>
            <w:vAlign w:val="center"/>
            <w:hideMark/>
          </w:tcPr>
          <w:p w14:paraId="6E16E147"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Pneumol</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ftizeológia</w:t>
            </w:r>
            <w:proofErr w:type="spellEnd"/>
          </w:p>
        </w:tc>
        <w:tc>
          <w:tcPr>
            <w:tcW w:w="2000" w:type="dxa"/>
            <w:tcBorders>
              <w:top w:val="nil"/>
              <w:left w:val="nil"/>
              <w:bottom w:val="nil"/>
              <w:right w:val="nil"/>
            </w:tcBorders>
            <w:shd w:val="clear" w:color="auto" w:fill="auto"/>
            <w:noWrap/>
            <w:vAlign w:val="center"/>
            <w:hideMark/>
          </w:tcPr>
          <w:p w14:paraId="7ECD448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3CA998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345,79</w:t>
            </w:r>
          </w:p>
        </w:tc>
        <w:tc>
          <w:tcPr>
            <w:tcW w:w="960" w:type="dxa"/>
            <w:tcBorders>
              <w:top w:val="nil"/>
              <w:left w:val="nil"/>
              <w:bottom w:val="nil"/>
              <w:right w:val="nil"/>
            </w:tcBorders>
            <w:shd w:val="clear" w:color="auto" w:fill="auto"/>
            <w:noWrap/>
            <w:vAlign w:val="center"/>
            <w:hideMark/>
          </w:tcPr>
          <w:p w14:paraId="2E70A99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0,53%</w:t>
            </w:r>
          </w:p>
        </w:tc>
        <w:tc>
          <w:tcPr>
            <w:tcW w:w="960" w:type="dxa"/>
            <w:tcBorders>
              <w:top w:val="nil"/>
              <w:left w:val="nil"/>
              <w:bottom w:val="nil"/>
              <w:right w:val="nil"/>
            </w:tcBorders>
            <w:shd w:val="clear" w:color="auto" w:fill="auto"/>
            <w:noWrap/>
            <w:vAlign w:val="bottom"/>
            <w:hideMark/>
          </w:tcPr>
          <w:p w14:paraId="3326954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8C6462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32DDC3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2004-01</w:t>
            </w:r>
          </w:p>
        </w:tc>
        <w:tc>
          <w:tcPr>
            <w:tcW w:w="2380" w:type="dxa"/>
            <w:tcBorders>
              <w:top w:val="nil"/>
              <w:left w:val="nil"/>
              <w:bottom w:val="nil"/>
              <w:right w:val="nil"/>
            </w:tcBorders>
            <w:shd w:val="clear" w:color="auto" w:fill="auto"/>
            <w:noWrap/>
            <w:vAlign w:val="center"/>
            <w:hideMark/>
          </w:tcPr>
          <w:p w14:paraId="216590B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Neurológia</w:t>
            </w:r>
          </w:p>
        </w:tc>
        <w:tc>
          <w:tcPr>
            <w:tcW w:w="2000" w:type="dxa"/>
            <w:tcBorders>
              <w:top w:val="nil"/>
              <w:left w:val="nil"/>
              <w:bottom w:val="nil"/>
              <w:right w:val="nil"/>
            </w:tcBorders>
            <w:shd w:val="clear" w:color="auto" w:fill="auto"/>
            <w:noWrap/>
            <w:vAlign w:val="center"/>
            <w:hideMark/>
          </w:tcPr>
          <w:p w14:paraId="506E279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CF23EB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297,34</w:t>
            </w:r>
          </w:p>
        </w:tc>
        <w:tc>
          <w:tcPr>
            <w:tcW w:w="960" w:type="dxa"/>
            <w:tcBorders>
              <w:top w:val="nil"/>
              <w:left w:val="nil"/>
              <w:bottom w:val="nil"/>
              <w:right w:val="nil"/>
            </w:tcBorders>
            <w:shd w:val="clear" w:color="auto" w:fill="auto"/>
            <w:noWrap/>
            <w:vAlign w:val="center"/>
            <w:hideMark/>
          </w:tcPr>
          <w:p w14:paraId="645C274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0,46%</w:t>
            </w:r>
          </w:p>
        </w:tc>
        <w:tc>
          <w:tcPr>
            <w:tcW w:w="960" w:type="dxa"/>
            <w:tcBorders>
              <w:top w:val="nil"/>
              <w:left w:val="nil"/>
              <w:bottom w:val="nil"/>
              <w:right w:val="nil"/>
            </w:tcBorders>
            <w:shd w:val="clear" w:color="auto" w:fill="auto"/>
            <w:noWrap/>
            <w:vAlign w:val="bottom"/>
            <w:hideMark/>
          </w:tcPr>
          <w:p w14:paraId="3E5AB45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B4C2D6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97D1A8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2007-01</w:t>
            </w:r>
          </w:p>
        </w:tc>
        <w:tc>
          <w:tcPr>
            <w:tcW w:w="2380" w:type="dxa"/>
            <w:tcBorders>
              <w:top w:val="nil"/>
              <w:left w:val="nil"/>
              <w:bottom w:val="nil"/>
              <w:right w:val="nil"/>
            </w:tcBorders>
            <w:shd w:val="clear" w:color="auto" w:fill="auto"/>
            <w:noWrap/>
            <w:vAlign w:val="center"/>
            <w:hideMark/>
          </w:tcPr>
          <w:p w14:paraId="3F6EC1B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Pediatria</w:t>
            </w:r>
          </w:p>
        </w:tc>
        <w:tc>
          <w:tcPr>
            <w:tcW w:w="2000" w:type="dxa"/>
            <w:tcBorders>
              <w:top w:val="nil"/>
              <w:left w:val="nil"/>
              <w:bottom w:val="nil"/>
              <w:right w:val="nil"/>
            </w:tcBorders>
            <w:shd w:val="clear" w:color="auto" w:fill="auto"/>
            <w:noWrap/>
            <w:vAlign w:val="center"/>
            <w:hideMark/>
          </w:tcPr>
          <w:p w14:paraId="170B920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1EE07F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128,07</w:t>
            </w:r>
          </w:p>
        </w:tc>
        <w:tc>
          <w:tcPr>
            <w:tcW w:w="960" w:type="dxa"/>
            <w:tcBorders>
              <w:top w:val="nil"/>
              <w:left w:val="nil"/>
              <w:bottom w:val="nil"/>
              <w:right w:val="nil"/>
            </w:tcBorders>
            <w:shd w:val="clear" w:color="auto" w:fill="auto"/>
            <w:noWrap/>
            <w:vAlign w:val="center"/>
            <w:hideMark/>
          </w:tcPr>
          <w:p w14:paraId="13B5288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0,20%</w:t>
            </w:r>
          </w:p>
        </w:tc>
        <w:tc>
          <w:tcPr>
            <w:tcW w:w="960" w:type="dxa"/>
            <w:tcBorders>
              <w:top w:val="nil"/>
              <w:left w:val="nil"/>
              <w:bottom w:val="nil"/>
              <w:right w:val="nil"/>
            </w:tcBorders>
            <w:shd w:val="clear" w:color="auto" w:fill="auto"/>
            <w:noWrap/>
            <w:vAlign w:val="bottom"/>
            <w:hideMark/>
          </w:tcPr>
          <w:p w14:paraId="27E0EF61"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792F3C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475FDF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2009-01</w:t>
            </w:r>
          </w:p>
        </w:tc>
        <w:tc>
          <w:tcPr>
            <w:tcW w:w="2380" w:type="dxa"/>
            <w:tcBorders>
              <w:top w:val="nil"/>
              <w:left w:val="nil"/>
              <w:bottom w:val="nil"/>
              <w:right w:val="nil"/>
            </w:tcBorders>
            <w:shd w:val="clear" w:color="auto" w:fill="auto"/>
            <w:noWrap/>
            <w:vAlign w:val="center"/>
            <w:hideMark/>
          </w:tcPr>
          <w:p w14:paraId="2D9BCB69"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Gyn</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pôrodn</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4CD7523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7B79BE0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92,08</w:t>
            </w:r>
          </w:p>
        </w:tc>
        <w:tc>
          <w:tcPr>
            <w:tcW w:w="960" w:type="dxa"/>
            <w:tcBorders>
              <w:top w:val="nil"/>
              <w:left w:val="nil"/>
              <w:bottom w:val="nil"/>
              <w:right w:val="nil"/>
            </w:tcBorders>
            <w:shd w:val="clear" w:color="auto" w:fill="auto"/>
            <w:noWrap/>
            <w:vAlign w:val="center"/>
            <w:hideMark/>
          </w:tcPr>
          <w:p w14:paraId="087B04C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0,14%</w:t>
            </w:r>
          </w:p>
        </w:tc>
        <w:tc>
          <w:tcPr>
            <w:tcW w:w="960" w:type="dxa"/>
            <w:tcBorders>
              <w:top w:val="nil"/>
              <w:left w:val="nil"/>
              <w:bottom w:val="nil"/>
              <w:right w:val="nil"/>
            </w:tcBorders>
            <w:shd w:val="clear" w:color="auto" w:fill="auto"/>
            <w:noWrap/>
            <w:vAlign w:val="bottom"/>
            <w:hideMark/>
          </w:tcPr>
          <w:p w14:paraId="72732D0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3C328D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B9F06E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2010-01</w:t>
            </w:r>
          </w:p>
        </w:tc>
        <w:tc>
          <w:tcPr>
            <w:tcW w:w="2380" w:type="dxa"/>
            <w:tcBorders>
              <w:top w:val="nil"/>
              <w:left w:val="nil"/>
              <w:bottom w:val="nil"/>
              <w:right w:val="nil"/>
            </w:tcBorders>
            <w:shd w:val="clear" w:color="auto" w:fill="auto"/>
            <w:noWrap/>
            <w:vAlign w:val="center"/>
            <w:hideMark/>
          </w:tcPr>
          <w:p w14:paraId="4ED90EE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Chirurgické </w:t>
            </w:r>
            <w:proofErr w:type="spellStart"/>
            <w:r w:rsidRPr="00E43879">
              <w:rPr>
                <w:rFonts w:ascii="Arial Narrow" w:hAnsi="Arial Narrow" w:cs="Calibri"/>
                <w:b/>
                <w:bCs/>
                <w:color w:val="000000"/>
                <w:sz w:val="20"/>
                <w:szCs w:val="20"/>
              </w:rPr>
              <w:t>ambul</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781CBFD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1F9008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91,6</w:t>
            </w:r>
          </w:p>
        </w:tc>
        <w:tc>
          <w:tcPr>
            <w:tcW w:w="960" w:type="dxa"/>
            <w:tcBorders>
              <w:top w:val="nil"/>
              <w:left w:val="nil"/>
              <w:bottom w:val="nil"/>
              <w:right w:val="nil"/>
            </w:tcBorders>
            <w:shd w:val="clear" w:color="auto" w:fill="auto"/>
            <w:noWrap/>
            <w:vAlign w:val="center"/>
            <w:hideMark/>
          </w:tcPr>
          <w:p w14:paraId="489668C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0,14%</w:t>
            </w:r>
          </w:p>
        </w:tc>
        <w:tc>
          <w:tcPr>
            <w:tcW w:w="960" w:type="dxa"/>
            <w:tcBorders>
              <w:top w:val="nil"/>
              <w:left w:val="nil"/>
              <w:bottom w:val="nil"/>
              <w:right w:val="nil"/>
            </w:tcBorders>
            <w:shd w:val="clear" w:color="auto" w:fill="auto"/>
            <w:noWrap/>
            <w:vAlign w:val="bottom"/>
            <w:hideMark/>
          </w:tcPr>
          <w:p w14:paraId="4D3F62E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26DAB0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1038F6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2011-01</w:t>
            </w:r>
          </w:p>
        </w:tc>
        <w:tc>
          <w:tcPr>
            <w:tcW w:w="2380" w:type="dxa"/>
            <w:tcBorders>
              <w:top w:val="nil"/>
              <w:left w:val="nil"/>
              <w:bottom w:val="nil"/>
              <w:right w:val="nil"/>
            </w:tcBorders>
            <w:shd w:val="clear" w:color="auto" w:fill="auto"/>
            <w:noWrap/>
            <w:vAlign w:val="center"/>
            <w:hideMark/>
          </w:tcPr>
          <w:p w14:paraId="40A182E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Ortopédia</w:t>
            </w:r>
          </w:p>
        </w:tc>
        <w:tc>
          <w:tcPr>
            <w:tcW w:w="2000" w:type="dxa"/>
            <w:tcBorders>
              <w:top w:val="nil"/>
              <w:left w:val="nil"/>
              <w:bottom w:val="nil"/>
              <w:right w:val="nil"/>
            </w:tcBorders>
            <w:shd w:val="clear" w:color="auto" w:fill="auto"/>
            <w:noWrap/>
            <w:vAlign w:val="center"/>
            <w:hideMark/>
          </w:tcPr>
          <w:p w14:paraId="0F2827B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287A59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170,95</w:t>
            </w:r>
          </w:p>
        </w:tc>
        <w:tc>
          <w:tcPr>
            <w:tcW w:w="960" w:type="dxa"/>
            <w:tcBorders>
              <w:top w:val="nil"/>
              <w:left w:val="nil"/>
              <w:bottom w:val="nil"/>
              <w:right w:val="nil"/>
            </w:tcBorders>
            <w:shd w:val="clear" w:color="auto" w:fill="auto"/>
            <w:noWrap/>
            <w:vAlign w:val="center"/>
            <w:hideMark/>
          </w:tcPr>
          <w:p w14:paraId="78E8681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0,26%</w:t>
            </w:r>
          </w:p>
        </w:tc>
        <w:tc>
          <w:tcPr>
            <w:tcW w:w="960" w:type="dxa"/>
            <w:tcBorders>
              <w:top w:val="nil"/>
              <w:left w:val="nil"/>
              <w:bottom w:val="nil"/>
              <w:right w:val="nil"/>
            </w:tcBorders>
            <w:shd w:val="clear" w:color="auto" w:fill="auto"/>
            <w:noWrap/>
            <w:vAlign w:val="bottom"/>
            <w:hideMark/>
          </w:tcPr>
          <w:p w14:paraId="06EE638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2CA341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4471C1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2012-01</w:t>
            </w:r>
          </w:p>
        </w:tc>
        <w:tc>
          <w:tcPr>
            <w:tcW w:w="2380" w:type="dxa"/>
            <w:tcBorders>
              <w:top w:val="nil"/>
              <w:left w:val="nil"/>
              <w:bottom w:val="nil"/>
              <w:right w:val="nil"/>
            </w:tcBorders>
            <w:shd w:val="clear" w:color="auto" w:fill="auto"/>
            <w:noWrap/>
            <w:vAlign w:val="center"/>
            <w:hideMark/>
          </w:tcPr>
          <w:p w14:paraId="770D4B1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Urológia</w:t>
            </w:r>
          </w:p>
        </w:tc>
        <w:tc>
          <w:tcPr>
            <w:tcW w:w="2000" w:type="dxa"/>
            <w:tcBorders>
              <w:top w:val="nil"/>
              <w:left w:val="nil"/>
              <w:bottom w:val="nil"/>
              <w:right w:val="nil"/>
            </w:tcBorders>
            <w:shd w:val="clear" w:color="auto" w:fill="auto"/>
            <w:noWrap/>
            <w:vAlign w:val="center"/>
            <w:hideMark/>
          </w:tcPr>
          <w:p w14:paraId="54068CB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A504C5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153,3</w:t>
            </w:r>
          </w:p>
        </w:tc>
        <w:tc>
          <w:tcPr>
            <w:tcW w:w="960" w:type="dxa"/>
            <w:tcBorders>
              <w:top w:val="nil"/>
              <w:left w:val="nil"/>
              <w:bottom w:val="nil"/>
              <w:right w:val="nil"/>
            </w:tcBorders>
            <w:shd w:val="clear" w:color="auto" w:fill="auto"/>
            <w:noWrap/>
            <w:vAlign w:val="center"/>
            <w:hideMark/>
          </w:tcPr>
          <w:p w14:paraId="158CE6D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0,24%</w:t>
            </w:r>
          </w:p>
        </w:tc>
        <w:tc>
          <w:tcPr>
            <w:tcW w:w="960" w:type="dxa"/>
            <w:tcBorders>
              <w:top w:val="nil"/>
              <w:left w:val="nil"/>
              <w:bottom w:val="nil"/>
              <w:right w:val="nil"/>
            </w:tcBorders>
            <w:shd w:val="clear" w:color="auto" w:fill="auto"/>
            <w:noWrap/>
            <w:vAlign w:val="bottom"/>
            <w:hideMark/>
          </w:tcPr>
          <w:p w14:paraId="597FB18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299C98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23D9BC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2013-01</w:t>
            </w:r>
          </w:p>
        </w:tc>
        <w:tc>
          <w:tcPr>
            <w:tcW w:w="2380" w:type="dxa"/>
            <w:tcBorders>
              <w:top w:val="nil"/>
              <w:left w:val="nil"/>
              <w:bottom w:val="nil"/>
              <w:right w:val="nil"/>
            </w:tcBorders>
            <w:shd w:val="clear" w:color="auto" w:fill="auto"/>
            <w:noWrap/>
            <w:vAlign w:val="center"/>
            <w:hideMark/>
          </w:tcPr>
          <w:p w14:paraId="408E862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Úrazová chirurgia</w:t>
            </w:r>
          </w:p>
        </w:tc>
        <w:tc>
          <w:tcPr>
            <w:tcW w:w="2000" w:type="dxa"/>
            <w:tcBorders>
              <w:top w:val="nil"/>
              <w:left w:val="nil"/>
              <w:bottom w:val="nil"/>
              <w:right w:val="nil"/>
            </w:tcBorders>
            <w:shd w:val="clear" w:color="auto" w:fill="auto"/>
            <w:noWrap/>
            <w:vAlign w:val="center"/>
            <w:hideMark/>
          </w:tcPr>
          <w:p w14:paraId="36BC494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7053DF7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26,1</w:t>
            </w:r>
          </w:p>
        </w:tc>
        <w:tc>
          <w:tcPr>
            <w:tcW w:w="960" w:type="dxa"/>
            <w:tcBorders>
              <w:top w:val="nil"/>
              <w:left w:val="nil"/>
              <w:bottom w:val="nil"/>
              <w:right w:val="nil"/>
            </w:tcBorders>
            <w:shd w:val="clear" w:color="auto" w:fill="auto"/>
            <w:noWrap/>
            <w:vAlign w:val="center"/>
            <w:hideMark/>
          </w:tcPr>
          <w:p w14:paraId="5CB1AF2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0,04%</w:t>
            </w:r>
          </w:p>
        </w:tc>
        <w:tc>
          <w:tcPr>
            <w:tcW w:w="960" w:type="dxa"/>
            <w:tcBorders>
              <w:top w:val="nil"/>
              <w:left w:val="nil"/>
              <w:bottom w:val="nil"/>
              <w:right w:val="nil"/>
            </w:tcBorders>
            <w:shd w:val="clear" w:color="auto" w:fill="auto"/>
            <w:noWrap/>
            <w:vAlign w:val="bottom"/>
            <w:hideMark/>
          </w:tcPr>
          <w:p w14:paraId="279A396D"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312FB3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0D57CC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2014-01</w:t>
            </w:r>
          </w:p>
        </w:tc>
        <w:tc>
          <w:tcPr>
            <w:tcW w:w="2380" w:type="dxa"/>
            <w:tcBorders>
              <w:top w:val="nil"/>
              <w:left w:val="nil"/>
              <w:bottom w:val="nil"/>
              <w:right w:val="nil"/>
            </w:tcBorders>
            <w:shd w:val="clear" w:color="auto" w:fill="auto"/>
            <w:noWrap/>
            <w:vAlign w:val="center"/>
            <w:hideMark/>
          </w:tcPr>
          <w:p w14:paraId="59211A1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ORL ambulancie</w:t>
            </w:r>
          </w:p>
        </w:tc>
        <w:tc>
          <w:tcPr>
            <w:tcW w:w="2000" w:type="dxa"/>
            <w:tcBorders>
              <w:top w:val="nil"/>
              <w:left w:val="nil"/>
              <w:bottom w:val="nil"/>
              <w:right w:val="nil"/>
            </w:tcBorders>
            <w:shd w:val="clear" w:color="auto" w:fill="auto"/>
            <w:noWrap/>
            <w:vAlign w:val="center"/>
            <w:hideMark/>
          </w:tcPr>
          <w:p w14:paraId="65F1B8F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552D8A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270,49</w:t>
            </w:r>
          </w:p>
        </w:tc>
        <w:tc>
          <w:tcPr>
            <w:tcW w:w="960" w:type="dxa"/>
            <w:tcBorders>
              <w:top w:val="nil"/>
              <w:left w:val="nil"/>
              <w:bottom w:val="nil"/>
              <w:right w:val="nil"/>
            </w:tcBorders>
            <w:shd w:val="clear" w:color="auto" w:fill="auto"/>
            <w:noWrap/>
            <w:vAlign w:val="center"/>
            <w:hideMark/>
          </w:tcPr>
          <w:p w14:paraId="564EDD4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0,42%</w:t>
            </w:r>
          </w:p>
        </w:tc>
        <w:tc>
          <w:tcPr>
            <w:tcW w:w="960" w:type="dxa"/>
            <w:tcBorders>
              <w:top w:val="nil"/>
              <w:left w:val="nil"/>
              <w:bottom w:val="nil"/>
              <w:right w:val="nil"/>
            </w:tcBorders>
            <w:shd w:val="clear" w:color="auto" w:fill="auto"/>
            <w:noWrap/>
            <w:vAlign w:val="bottom"/>
            <w:hideMark/>
          </w:tcPr>
          <w:p w14:paraId="2A8BDFB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406B6F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A3BAD7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2015-01</w:t>
            </w:r>
          </w:p>
        </w:tc>
        <w:tc>
          <w:tcPr>
            <w:tcW w:w="2380" w:type="dxa"/>
            <w:tcBorders>
              <w:top w:val="nil"/>
              <w:left w:val="nil"/>
              <w:bottom w:val="nil"/>
              <w:right w:val="nil"/>
            </w:tcBorders>
            <w:shd w:val="clear" w:color="auto" w:fill="auto"/>
            <w:noWrap/>
            <w:vAlign w:val="center"/>
            <w:hideMark/>
          </w:tcPr>
          <w:p w14:paraId="7E79A0B0"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Oftalmológia</w:t>
            </w:r>
            <w:proofErr w:type="spellEnd"/>
          </w:p>
        </w:tc>
        <w:tc>
          <w:tcPr>
            <w:tcW w:w="2000" w:type="dxa"/>
            <w:tcBorders>
              <w:top w:val="nil"/>
              <w:left w:val="nil"/>
              <w:bottom w:val="nil"/>
              <w:right w:val="nil"/>
            </w:tcBorders>
            <w:shd w:val="clear" w:color="auto" w:fill="auto"/>
            <w:noWrap/>
            <w:vAlign w:val="center"/>
            <w:hideMark/>
          </w:tcPr>
          <w:p w14:paraId="1B167B9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88F5EC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207,97</w:t>
            </w:r>
          </w:p>
        </w:tc>
        <w:tc>
          <w:tcPr>
            <w:tcW w:w="960" w:type="dxa"/>
            <w:tcBorders>
              <w:top w:val="nil"/>
              <w:left w:val="nil"/>
              <w:bottom w:val="nil"/>
              <w:right w:val="nil"/>
            </w:tcBorders>
            <w:shd w:val="clear" w:color="auto" w:fill="auto"/>
            <w:noWrap/>
            <w:vAlign w:val="center"/>
            <w:hideMark/>
          </w:tcPr>
          <w:p w14:paraId="3F34418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0,32%</w:t>
            </w:r>
          </w:p>
        </w:tc>
        <w:tc>
          <w:tcPr>
            <w:tcW w:w="960" w:type="dxa"/>
            <w:tcBorders>
              <w:top w:val="nil"/>
              <w:left w:val="nil"/>
              <w:bottom w:val="nil"/>
              <w:right w:val="nil"/>
            </w:tcBorders>
            <w:shd w:val="clear" w:color="auto" w:fill="auto"/>
            <w:noWrap/>
            <w:vAlign w:val="bottom"/>
            <w:hideMark/>
          </w:tcPr>
          <w:p w14:paraId="52C393B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D44224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0A6C3C8"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lastRenderedPageBreak/>
              <w:t>2018-01</w:t>
            </w:r>
          </w:p>
        </w:tc>
        <w:tc>
          <w:tcPr>
            <w:tcW w:w="2380" w:type="dxa"/>
            <w:tcBorders>
              <w:top w:val="nil"/>
              <w:left w:val="nil"/>
              <w:bottom w:val="nil"/>
              <w:right w:val="nil"/>
            </w:tcBorders>
            <w:shd w:val="clear" w:color="auto" w:fill="auto"/>
            <w:noWrap/>
            <w:vAlign w:val="center"/>
            <w:hideMark/>
          </w:tcPr>
          <w:p w14:paraId="18B18828"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Dermatovenerológia</w:t>
            </w:r>
            <w:proofErr w:type="spellEnd"/>
          </w:p>
        </w:tc>
        <w:tc>
          <w:tcPr>
            <w:tcW w:w="2000" w:type="dxa"/>
            <w:tcBorders>
              <w:top w:val="nil"/>
              <w:left w:val="nil"/>
              <w:bottom w:val="nil"/>
              <w:right w:val="nil"/>
            </w:tcBorders>
            <w:shd w:val="clear" w:color="auto" w:fill="auto"/>
            <w:noWrap/>
            <w:vAlign w:val="center"/>
            <w:hideMark/>
          </w:tcPr>
          <w:p w14:paraId="6DC1185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3D05EB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115,45</w:t>
            </w:r>
          </w:p>
        </w:tc>
        <w:tc>
          <w:tcPr>
            <w:tcW w:w="960" w:type="dxa"/>
            <w:tcBorders>
              <w:top w:val="nil"/>
              <w:left w:val="nil"/>
              <w:bottom w:val="nil"/>
              <w:right w:val="nil"/>
            </w:tcBorders>
            <w:shd w:val="clear" w:color="auto" w:fill="auto"/>
            <w:noWrap/>
            <w:vAlign w:val="center"/>
            <w:hideMark/>
          </w:tcPr>
          <w:p w14:paraId="0BCF950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0,18%</w:t>
            </w:r>
          </w:p>
        </w:tc>
        <w:tc>
          <w:tcPr>
            <w:tcW w:w="960" w:type="dxa"/>
            <w:tcBorders>
              <w:top w:val="nil"/>
              <w:left w:val="nil"/>
              <w:bottom w:val="nil"/>
              <w:right w:val="nil"/>
            </w:tcBorders>
            <w:shd w:val="clear" w:color="auto" w:fill="auto"/>
            <w:noWrap/>
            <w:vAlign w:val="bottom"/>
            <w:hideMark/>
          </w:tcPr>
          <w:p w14:paraId="3595575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FE3BAB5"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9E40C2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2019-01</w:t>
            </w:r>
          </w:p>
        </w:tc>
        <w:tc>
          <w:tcPr>
            <w:tcW w:w="2380" w:type="dxa"/>
            <w:tcBorders>
              <w:top w:val="nil"/>
              <w:left w:val="nil"/>
              <w:bottom w:val="nil"/>
              <w:right w:val="nil"/>
            </w:tcBorders>
            <w:shd w:val="clear" w:color="auto" w:fill="auto"/>
            <w:noWrap/>
            <w:vAlign w:val="center"/>
            <w:hideMark/>
          </w:tcPr>
          <w:p w14:paraId="3CB338D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Klinická onkológia</w:t>
            </w:r>
          </w:p>
        </w:tc>
        <w:tc>
          <w:tcPr>
            <w:tcW w:w="2000" w:type="dxa"/>
            <w:tcBorders>
              <w:top w:val="nil"/>
              <w:left w:val="nil"/>
              <w:bottom w:val="nil"/>
              <w:right w:val="nil"/>
            </w:tcBorders>
            <w:shd w:val="clear" w:color="auto" w:fill="auto"/>
            <w:noWrap/>
            <w:vAlign w:val="center"/>
            <w:hideMark/>
          </w:tcPr>
          <w:p w14:paraId="42996A8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2977FC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76,5</w:t>
            </w:r>
          </w:p>
        </w:tc>
        <w:tc>
          <w:tcPr>
            <w:tcW w:w="960" w:type="dxa"/>
            <w:tcBorders>
              <w:top w:val="nil"/>
              <w:left w:val="nil"/>
              <w:bottom w:val="nil"/>
              <w:right w:val="nil"/>
            </w:tcBorders>
            <w:shd w:val="clear" w:color="auto" w:fill="auto"/>
            <w:noWrap/>
            <w:vAlign w:val="center"/>
            <w:hideMark/>
          </w:tcPr>
          <w:p w14:paraId="590DAF8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0,12%</w:t>
            </w:r>
          </w:p>
        </w:tc>
        <w:tc>
          <w:tcPr>
            <w:tcW w:w="960" w:type="dxa"/>
            <w:tcBorders>
              <w:top w:val="nil"/>
              <w:left w:val="nil"/>
              <w:bottom w:val="nil"/>
              <w:right w:val="nil"/>
            </w:tcBorders>
            <w:shd w:val="clear" w:color="auto" w:fill="auto"/>
            <w:noWrap/>
            <w:vAlign w:val="bottom"/>
            <w:hideMark/>
          </w:tcPr>
          <w:p w14:paraId="7D13139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D9057D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E7EA1C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2025-01</w:t>
            </w:r>
          </w:p>
        </w:tc>
        <w:tc>
          <w:tcPr>
            <w:tcW w:w="2380" w:type="dxa"/>
            <w:tcBorders>
              <w:top w:val="nil"/>
              <w:left w:val="nil"/>
              <w:bottom w:val="nil"/>
              <w:right w:val="nil"/>
            </w:tcBorders>
            <w:shd w:val="clear" w:color="auto" w:fill="auto"/>
            <w:noWrap/>
            <w:vAlign w:val="center"/>
            <w:hideMark/>
          </w:tcPr>
          <w:p w14:paraId="1B10F19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OAIM </w:t>
            </w:r>
            <w:proofErr w:type="spellStart"/>
            <w:r w:rsidRPr="00E43879">
              <w:rPr>
                <w:rFonts w:ascii="Arial Narrow" w:hAnsi="Arial Narrow" w:cs="Calibri"/>
                <w:b/>
                <w:bCs/>
                <w:color w:val="000000"/>
                <w:sz w:val="20"/>
                <w:szCs w:val="20"/>
              </w:rPr>
              <w:t>ambul</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7411CED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A39719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239,95</w:t>
            </w:r>
          </w:p>
        </w:tc>
        <w:tc>
          <w:tcPr>
            <w:tcW w:w="960" w:type="dxa"/>
            <w:tcBorders>
              <w:top w:val="nil"/>
              <w:left w:val="nil"/>
              <w:bottom w:val="nil"/>
              <w:right w:val="nil"/>
            </w:tcBorders>
            <w:shd w:val="clear" w:color="auto" w:fill="auto"/>
            <w:noWrap/>
            <w:vAlign w:val="center"/>
            <w:hideMark/>
          </w:tcPr>
          <w:p w14:paraId="38C7730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0,37%</w:t>
            </w:r>
          </w:p>
        </w:tc>
        <w:tc>
          <w:tcPr>
            <w:tcW w:w="960" w:type="dxa"/>
            <w:tcBorders>
              <w:top w:val="nil"/>
              <w:left w:val="nil"/>
              <w:bottom w:val="nil"/>
              <w:right w:val="nil"/>
            </w:tcBorders>
            <w:shd w:val="clear" w:color="auto" w:fill="auto"/>
            <w:noWrap/>
            <w:vAlign w:val="bottom"/>
            <w:hideMark/>
          </w:tcPr>
          <w:p w14:paraId="56942D0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9EE8AB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5857A1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2026-01</w:t>
            </w:r>
          </w:p>
        </w:tc>
        <w:tc>
          <w:tcPr>
            <w:tcW w:w="2380" w:type="dxa"/>
            <w:tcBorders>
              <w:top w:val="nil"/>
              <w:left w:val="nil"/>
              <w:bottom w:val="nil"/>
              <w:right w:val="nil"/>
            </w:tcBorders>
            <w:shd w:val="clear" w:color="auto" w:fill="auto"/>
            <w:noWrap/>
            <w:vAlign w:val="center"/>
            <w:hideMark/>
          </w:tcPr>
          <w:p w14:paraId="1CAA832E"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Ambul.telov.lekárstva</w:t>
            </w:r>
            <w:proofErr w:type="spellEnd"/>
          </w:p>
        </w:tc>
        <w:tc>
          <w:tcPr>
            <w:tcW w:w="2000" w:type="dxa"/>
            <w:tcBorders>
              <w:top w:val="nil"/>
              <w:left w:val="nil"/>
              <w:bottom w:val="nil"/>
              <w:right w:val="nil"/>
            </w:tcBorders>
            <w:shd w:val="clear" w:color="auto" w:fill="auto"/>
            <w:noWrap/>
            <w:vAlign w:val="center"/>
            <w:hideMark/>
          </w:tcPr>
          <w:p w14:paraId="54772AB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AAD9DD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34,5</w:t>
            </w:r>
          </w:p>
        </w:tc>
        <w:tc>
          <w:tcPr>
            <w:tcW w:w="960" w:type="dxa"/>
            <w:tcBorders>
              <w:top w:val="nil"/>
              <w:left w:val="nil"/>
              <w:bottom w:val="nil"/>
              <w:right w:val="nil"/>
            </w:tcBorders>
            <w:shd w:val="clear" w:color="auto" w:fill="auto"/>
            <w:noWrap/>
            <w:vAlign w:val="center"/>
            <w:hideMark/>
          </w:tcPr>
          <w:p w14:paraId="718E381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780BDB7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C9BBC0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F4B7FE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2027-01</w:t>
            </w:r>
          </w:p>
        </w:tc>
        <w:tc>
          <w:tcPr>
            <w:tcW w:w="2380" w:type="dxa"/>
            <w:tcBorders>
              <w:top w:val="nil"/>
              <w:left w:val="nil"/>
              <w:bottom w:val="nil"/>
              <w:right w:val="nil"/>
            </w:tcBorders>
            <w:shd w:val="clear" w:color="auto" w:fill="auto"/>
            <w:noWrap/>
            <w:vAlign w:val="center"/>
            <w:hideMark/>
          </w:tcPr>
          <w:p w14:paraId="1E7634B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FBLR ambulancie</w:t>
            </w:r>
          </w:p>
        </w:tc>
        <w:tc>
          <w:tcPr>
            <w:tcW w:w="2000" w:type="dxa"/>
            <w:tcBorders>
              <w:top w:val="nil"/>
              <w:left w:val="nil"/>
              <w:bottom w:val="nil"/>
              <w:right w:val="nil"/>
            </w:tcBorders>
            <w:shd w:val="clear" w:color="auto" w:fill="auto"/>
            <w:noWrap/>
            <w:vAlign w:val="center"/>
            <w:hideMark/>
          </w:tcPr>
          <w:p w14:paraId="37D0C64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F53EA1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39,9</w:t>
            </w:r>
          </w:p>
        </w:tc>
        <w:tc>
          <w:tcPr>
            <w:tcW w:w="960" w:type="dxa"/>
            <w:tcBorders>
              <w:top w:val="nil"/>
              <w:left w:val="nil"/>
              <w:bottom w:val="nil"/>
              <w:right w:val="nil"/>
            </w:tcBorders>
            <w:shd w:val="clear" w:color="auto" w:fill="auto"/>
            <w:noWrap/>
            <w:vAlign w:val="center"/>
            <w:hideMark/>
          </w:tcPr>
          <w:p w14:paraId="31491D3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0,06%</w:t>
            </w:r>
          </w:p>
        </w:tc>
        <w:tc>
          <w:tcPr>
            <w:tcW w:w="960" w:type="dxa"/>
            <w:tcBorders>
              <w:top w:val="nil"/>
              <w:left w:val="nil"/>
              <w:bottom w:val="nil"/>
              <w:right w:val="nil"/>
            </w:tcBorders>
            <w:shd w:val="clear" w:color="auto" w:fill="auto"/>
            <w:noWrap/>
            <w:vAlign w:val="bottom"/>
            <w:hideMark/>
          </w:tcPr>
          <w:p w14:paraId="5CF2E08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E2E5BA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D8972D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2031-01</w:t>
            </w:r>
          </w:p>
        </w:tc>
        <w:tc>
          <w:tcPr>
            <w:tcW w:w="2380" w:type="dxa"/>
            <w:tcBorders>
              <w:top w:val="nil"/>
              <w:left w:val="nil"/>
              <w:bottom w:val="nil"/>
              <w:right w:val="nil"/>
            </w:tcBorders>
            <w:shd w:val="clear" w:color="auto" w:fill="auto"/>
            <w:noWrap/>
            <w:vAlign w:val="center"/>
            <w:hideMark/>
          </w:tcPr>
          <w:p w14:paraId="0D06BC22"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Hemat</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transf</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566C0FA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AA19FC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229,63</w:t>
            </w:r>
          </w:p>
        </w:tc>
        <w:tc>
          <w:tcPr>
            <w:tcW w:w="960" w:type="dxa"/>
            <w:tcBorders>
              <w:top w:val="nil"/>
              <w:left w:val="nil"/>
              <w:bottom w:val="nil"/>
              <w:right w:val="nil"/>
            </w:tcBorders>
            <w:shd w:val="clear" w:color="auto" w:fill="auto"/>
            <w:noWrap/>
            <w:vAlign w:val="center"/>
            <w:hideMark/>
          </w:tcPr>
          <w:p w14:paraId="757BB03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0,35%</w:t>
            </w:r>
          </w:p>
        </w:tc>
        <w:tc>
          <w:tcPr>
            <w:tcW w:w="960" w:type="dxa"/>
            <w:tcBorders>
              <w:top w:val="nil"/>
              <w:left w:val="nil"/>
              <w:bottom w:val="nil"/>
              <w:right w:val="nil"/>
            </w:tcBorders>
            <w:shd w:val="clear" w:color="auto" w:fill="auto"/>
            <w:noWrap/>
            <w:vAlign w:val="bottom"/>
            <w:hideMark/>
          </w:tcPr>
          <w:p w14:paraId="25252CA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22365B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37E175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2037-01</w:t>
            </w:r>
          </w:p>
        </w:tc>
        <w:tc>
          <w:tcPr>
            <w:tcW w:w="2380" w:type="dxa"/>
            <w:tcBorders>
              <w:top w:val="nil"/>
              <w:left w:val="nil"/>
              <w:bottom w:val="nil"/>
              <w:right w:val="nil"/>
            </w:tcBorders>
            <w:shd w:val="clear" w:color="auto" w:fill="auto"/>
            <w:noWrap/>
            <w:vAlign w:val="center"/>
            <w:hideMark/>
          </w:tcPr>
          <w:p w14:paraId="4752350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Neurochirurgia</w:t>
            </w:r>
          </w:p>
        </w:tc>
        <w:tc>
          <w:tcPr>
            <w:tcW w:w="2000" w:type="dxa"/>
            <w:tcBorders>
              <w:top w:val="nil"/>
              <w:left w:val="nil"/>
              <w:bottom w:val="nil"/>
              <w:right w:val="nil"/>
            </w:tcBorders>
            <w:shd w:val="clear" w:color="auto" w:fill="auto"/>
            <w:noWrap/>
            <w:vAlign w:val="center"/>
            <w:hideMark/>
          </w:tcPr>
          <w:p w14:paraId="37C83D7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7EA800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75,08</w:t>
            </w:r>
          </w:p>
        </w:tc>
        <w:tc>
          <w:tcPr>
            <w:tcW w:w="960" w:type="dxa"/>
            <w:tcBorders>
              <w:top w:val="nil"/>
              <w:left w:val="nil"/>
              <w:bottom w:val="nil"/>
              <w:right w:val="nil"/>
            </w:tcBorders>
            <w:shd w:val="clear" w:color="auto" w:fill="auto"/>
            <w:noWrap/>
            <w:vAlign w:val="center"/>
            <w:hideMark/>
          </w:tcPr>
          <w:p w14:paraId="1A3E742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0,12%</w:t>
            </w:r>
          </w:p>
        </w:tc>
        <w:tc>
          <w:tcPr>
            <w:tcW w:w="960" w:type="dxa"/>
            <w:tcBorders>
              <w:top w:val="nil"/>
              <w:left w:val="nil"/>
              <w:bottom w:val="nil"/>
              <w:right w:val="nil"/>
            </w:tcBorders>
            <w:shd w:val="clear" w:color="auto" w:fill="auto"/>
            <w:noWrap/>
            <w:vAlign w:val="bottom"/>
            <w:hideMark/>
          </w:tcPr>
          <w:p w14:paraId="68FB777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63F252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30170D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2038-01</w:t>
            </w:r>
          </w:p>
        </w:tc>
        <w:tc>
          <w:tcPr>
            <w:tcW w:w="2380" w:type="dxa"/>
            <w:tcBorders>
              <w:top w:val="nil"/>
              <w:left w:val="nil"/>
              <w:bottom w:val="nil"/>
              <w:right w:val="nil"/>
            </w:tcBorders>
            <w:shd w:val="clear" w:color="auto" w:fill="auto"/>
            <w:noWrap/>
            <w:vAlign w:val="center"/>
            <w:hideMark/>
          </w:tcPr>
          <w:p w14:paraId="19521E9B"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Amb.plastickej</w:t>
            </w:r>
            <w:proofErr w:type="spellEnd"/>
            <w:r w:rsidRPr="00E43879">
              <w:rPr>
                <w:rFonts w:ascii="Arial Narrow" w:hAnsi="Arial Narrow" w:cs="Calibri"/>
                <w:b/>
                <w:bCs/>
                <w:color w:val="000000"/>
                <w:sz w:val="20"/>
                <w:szCs w:val="20"/>
              </w:rPr>
              <w:t xml:space="preserve"> chirurgie</w:t>
            </w:r>
          </w:p>
        </w:tc>
        <w:tc>
          <w:tcPr>
            <w:tcW w:w="2000" w:type="dxa"/>
            <w:tcBorders>
              <w:top w:val="nil"/>
              <w:left w:val="nil"/>
              <w:bottom w:val="nil"/>
              <w:right w:val="nil"/>
            </w:tcBorders>
            <w:shd w:val="clear" w:color="auto" w:fill="auto"/>
            <w:noWrap/>
            <w:vAlign w:val="center"/>
            <w:hideMark/>
          </w:tcPr>
          <w:p w14:paraId="7E6CCC9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EF1A41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23,81</w:t>
            </w:r>
          </w:p>
        </w:tc>
        <w:tc>
          <w:tcPr>
            <w:tcW w:w="960" w:type="dxa"/>
            <w:tcBorders>
              <w:top w:val="nil"/>
              <w:left w:val="nil"/>
              <w:bottom w:val="nil"/>
              <w:right w:val="nil"/>
            </w:tcBorders>
            <w:shd w:val="clear" w:color="auto" w:fill="auto"/>
            <w:noWrap/>
            <w:vAlign w:val="center"/>
            <w:hideMark/>
          </w:tcPr>
          <w:p w14:paraId="0731855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0,04%</w:t>
            </w:r>
          </w:p>
        </w:tc>
        <w:tc>
          <w:tcPr>
            <w:tcW w:w="960" w:type="dxa"/>
            <w:tcBorders>
              <w:top w:val="nil"/>
              <w:left w:val="nil"/>
              <w:bottom w:val="nil"/>
              <w:right w:val="nil"/>
            </w:tcBorders>
            <w:shd w:val="clear" w:color="auto" w:fill="auto"/>
            <w:noWrap/>
            <w:vAlign w:val="bottom"/>
            <w:hideMark/>
          </w:tcPr>
          <w:p w14:paraId="11D512C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813E4E5"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F812B7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2043-01</w:t>
            </w:r>
          </w:p>
        </w:tc>
        <w:tc>
          <w:tcPr>
            <w:tcW w:w="2380" w:type="dxa"/>
            <w:tcBorders>
              <w:top w:val="nil"/>
              <w:left w:val="nil"/>
              <w:bottom w:val="nil"/>
              <w:right w:val="nil"/>
            </w:tcBorders>
            <w:shd w:val="clear" w:color="auto" w:fill="auto"/>
            <w:noWrap/>
            <w:vAlign w:val="center"/>
            <w:hideMark/>
          </w:tcPr>
          <w:p w14:paraId="096DA6C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Radiačná onkológia</w:t>
            </w:r>
          </w:p>
        </w:tc>
        <w:tc>
          <w:tcPr>
            <w:tcW w:w="2000" w:type="dxa"/>
            <w:tcBorders>
              <w:top w:val="nil"/>
              <w:left w:val="nil"/>
              <w:bottom w:val="nil"/>
              <w:right w:val="nil"/>
            </w:tcBorders>
            <w:shd w:val="clear" w:color="auto" w:fill="auto"/>
            <w:noWrap/>
            <w:vAlign w:val="center"/>
            <w:hideMark/>
          </w:tcPr>
          <w:p w14:paraId="4EA4411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E61E18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101,4</w:t>
            </w:r>
          </w:p>
        </w:tc>
        <w:tc>
          <w:tcPr>
            <w:tcW w:w="960" w:type="dxa"/>
            <w:tcBorders>
              <w:top w:val="nil"/>
              <w:left w:val="nil"/>
              <w:bottom w:val="nil"/>
              <w:right w:val="nil"/>
            </w:tcBorders>
            <w:shd w:val="clear" w:color="auto" w:fill="auto"/>
            <w:noWrap/>
            <w:vAlign w:val="center"/>
            <w:hideMark/>
          </w:tcPr>
          <w:p w14:paraId="5C16C20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0,16%</w:t>
            </w:r>
          </w:p>
        </w:tc>
        <w:tc>
          <w:tcPr>
            <w:tcW w:w="960" w:type="dxa"/>
            <w:tcBorders>
              <w:top w:val="nil"/>
              <w:left w:val="nil"/>
              <w:bottom w:val="nil"/>
              <w:right w:val="nil"/>
            </w:tcBorders>
            <w:shd w:val="clear" w:color="auto" w:fill="auto"/>
            <w:noWrap/>
            <w:vAlign w:val="bottom"/>
            <w:hideMark/>
          </w:tcPr>
          <w:p w14:paraId="701E5E4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02009F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E40FF0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2046-01</w:t>
            </w:r>
          </w:p>
        </w:tc>
        <w:tc>
          <w:tcPr>
            <w:tcW w:w="2380" w:type="dxa"/>
            <w:tcBorders>
              <w:top w:val="nil"/>
              <w:left w:val="nil"/>
              <w:bottom w:val="nil"/>
              <w:right w:val="nil"/>
            </w:tcBorders>
            <w:shd w:val="clear" w:color="auto" w:fill="auto"/>
            <w:noWrap/>
            <w:vAlign w:val="center"/>
            <w:hideMark/>
          </w:tcPr>
          <w:p w14:paraId="6E84A793"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Algeziológia</w:t>
            </w:r>
            <w:proofErr w:type="spellEnd"/>
          </w:p>
        </w:tc>
        <w:tc>
          <w:tcPr>
            <w:tcW w:w="2000" w:type="dxa"/>
            <w:tcBorders>
              <w:top w:val="nil"/>
              <w:left w:val="nil"/>
              <w:bottom w:val="nil"/>
              <w:right w:val="nil"/>
            </w:tcBorders>
            <w:shd w:val="clear" w:color="auto" w:fill="auto"/>
            <w:noWrap/>
            <w:vAlign w:val="center"/>
            <w:hideMark/>
          </w:tcPr>
          <w:p w14:paraId="721DB22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84876D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180,88</w:t>
            </w:r>
          </w:p>
        </w:tc>
        <w:tc>
          <w:tcPr>
            <w:tcW w:w="960" w:type="dxa"/>
            <w:tcBorders>
              <w:top w:val="nil"/>
              <w:left w:val="nil"/>
              <w:bottom w:val="nil"/>
              <w:right w:val="nil"/>
            </w:tcBorders>
            <w:shd w:val="clear" w:color="auto" w:fill="auto"/>
            <w:noWrap/>
            <w:vAlign w:val="center"/>
            <w:hideMark/>
          </w:tcPr>
          <w:p w14:paraId="0F039C2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0,28%</w:t>
            </w:r>
          </w:p>
        </w:tc>
        <w:tc>
          <w:tcPr>
            <w:tcW w:w="960" w:type="dxa"/>
            <w:tcBorders>
              <w:top w:val="nil"/>
              <w:left w:val="nil"/>
              <w:bottom w:val="nil"/>
              <w:right w:val="nil"/>
            </w:tcBorders>
            <w:shd w:val="clear" w:color="auto" w:fill="auto"/>
            <w:noWrap/>
            <w:vAlign w:val="bottom"/>
            <w:hideMark/>
          </w:tcPr>
          <w:p w14:paraId="188B3940"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EDE182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82C228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2048-01</w:t>
            </w:r>
          </w:p>
        </w:tc>
        <w:tc>
          <w:tcPr>
            <w:tcW w:w="2380" w:type="dxa"/>
            <w:tcBorders>
              <w:top w:val="nil"/>
              <w:left w:val="nil"/>
              <w:bottom w:val="nil"/>
              <w:right w:val="nil"/>
            </w:tcBorders>
            <w:shd w:val="clear" w:color="auto" w:fill="auto"/>
            <w:noWrap/>
            <w:vAlign w:val="center"/>
            <w:hideMark/>
          </w:tcPr>
          <w:p w14:paraId="303552EF"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Gastroenterológia</w:t>
            </w:r>
            <w:proofErr w:type="spellEnd"/>
          </w:p>
        </w:tc>
        <w:tc>
          <w:tcPr>
            <w:tcW w:w="2000" w:type="dxa"/>
            <w:tcBorders>
              <w:top w:val="nil"/>
              <w:left w:val="nil"/>
              <w:bottom w:val="nil"/>
              <w:right w:val="nil"/>
            </w:tcBorders>
            <w:shd w:val="clear" w:color="auto" w:fill="auto"/>
            <w:noWrap/>
            <w:vAlign w:val="center"/>
            <w:hideMark/>
          </w:tcPr>
          <w:p w14:paraId="08BB760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AAB2D1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196,14</w:t>
            </w:r>
          </w:p>
        </w:tc>
        <w:tc>
          <w:tcPr>
            <w:tcW w:w="960" w:type="dxa"/>
            <w:tcBorders>
              <w:top w:val="nil"/>
              <w:left w:val="nil"/>
              <w:bottom w:val="nil"/>
              <w:right w:val="nil"/>
            </w:tcBorders>
            <w:shd w:val="clear" w:color="auto" w:fill="auto"/>
            <w:noWrap/>
            <w:vAlign w:val="center"/>
            <w:hideMark/>
          </w:tcPr>
          <w:p w14:paraId="33EE1A6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0,30%</w:t>
            </w:r>
          </w:p>
        </w:tc>
        <w:tc>
          <w:tcPr>
            <w:tcW w:w="960" w:type="dxa"/>
            <w:tcBorders>
              <w:top w:val="nil"/>
              <w:left w:val="nil"/>
              <w:bottom w:val="nil"/>
              <w:right w:val="nil"/>
            </w:tcBorders>
            <w:shd w:val="clear" w:color="auto" w:fill="auto"/>
            <w:noWrap/>
            <w:vAlign w:val="bottom"/>
            <w:hideMark/>
          </w:tcPr>
          <w:p w14:paraId="5076F69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6B8E5A1"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95082B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2049-01</w:t>
            </w:r>
          </w:p>
        </w:tc>
        <w:tc>
          <w:tcPr>
            <w:tcW w:w="2380" w:type="dxa"/>
            <w:tcBorders>
              <w:top w:val="nil"/>
              <w:left w:val="nil"/>
              <w:bottom w:val="nil"/>
              <w:right w:val="nil"/>
            </w:tcBorders>
            <w:shd w:val="clear" w:color="auto" w:fill="auto"/>
            <w:noWrap/>
            <w:vAlign w:val="center"/>
            <w:hideMark/>
          </w:tcPr>
          <w:p w14:paraId="10B30FA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Kardiológia</w:t>
            </w:r>
          </w:p>
        </w:tc>
        <w:tc>
          <w:tcPr>
            <w:tcW w:w="2000" w:type="dxa"/>
            <w:tcBorders>
              <w:top w:val="nil"/>
              <w:left w:val="nil"/>
              <w:bottom w:val="nil"/>
              <w:right w:val="nil"/>
            </w:tcBorders>
            <w:shd w:val="clear" w:color="auto" w:fill="auto"/>
            <w:noWrap/>
            <w:vAlign w:val="center"/>
            <w:hideMark/>
          </w:tcPr>
          <w:p w14:paraId="406B5DF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200BBB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178,38</w:t>
            </w:r>
          </w:p>
        </w:tc>
        <w:tc>
          <w:tcPr>
            <w:tcW w:w="960" w:type="dxa"/>
            <w:tcBorders>
              <w:top w:val="nil"/>
              <w:left w:val="nil"/>
              <w:bottom w:val="nil"/>
              <w:right w:val="nil"/>
            </w:tcBorders>
            <w:shd w:val="clear" w:color="auto" w:fill="auto"/>
            <w:noWrap/>
            <w:vAlign w:val="center"/>
            <w:hideMark/>
          </w:tcPr>
          <w:p w14:paraId="212D9C3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0,27%</w:t>
            </w:r>
          </w:p>
        </w:tc>
        <w:tc>
          <w:tcPr>
            <w:tcW w:w="960" w:type="dxa"/>
            <w:tcBorders>
              <w:top w:val="nil"/>
              <w:left w:val="nil"/>
              <w:bottom w:val="nil"/>
              <w:right w:val="nil"/>
            </w:tcBorders>
            <w:shd w:val="clear" w:color="auto" w:fill="auto"/>
            <w:noWrap/>
            <w:vAlign w:val="bottom"/>
            <w:hideMark/>
          </w:tcPr>
          <w:p w14:paraId="6DCFC4A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9BA0EF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E4E481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2050-01</w:t>
            </w:r>
          </w:p>
        </w:tc>
        <w:tc>
          <w:tcPr>
            <w:tcW w:w="2380" w:type="dxa"/>
            <w:tcBorders>
              <w:top w:val="nil"/>
              <w:left w:val="nil"/>
              <w:bottom w:val="nil"/>
              <w:right w:val="nil"/>
            </w:tcBorders>
            <w:shd w:val="clear" w:color="auto" w:fill="auto"/>
            <w:noWrap/>
            <w:vAlign w:val="center"/>
            <w:hideMark/>
          </w:tcPr>
          <w:p w14:paraId="6C30D586"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Diabetologicka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287C6BD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842022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32,5</w:t>
            </w:r>
          </w:p>
        </w:tc>
        <w:tc>
          <w:tcPr>
            <w:tcW w:w="960" w:type="dxa"/>
            <w:tcBorders>
              <w:top w:val="nil"/>
              <w:left w:val="nil"/>
              <w:bottom w:val="nil"/>
              <w:right w:val="nil"/>
            </w:tcBorders>
            <w:shd w:val="clear" w:color="auto" w:fill="auto"/>
            <w:noWrap/>
            <w:vAlign w:val="center"/>
            <w:hideMark/>
          </w:tcPr>
          <w:p w14:paraId="275A67D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524E87B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0831BC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1DCE12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2051-01</w:t>
            </w:r>
          </w:p>
        </w:tc>
        <w:tc>
          <w:tcPr>
            <w:tcW w:w="2380" w:type="dxa"/>
            <w:tcBorders>
              <w:top w:val="nil"/>
              <w:left w:val="nil"/>
              <w:bottom w:val="nil"/>
              <w:right w:val="nil"/>
            </w:tcBorders>
            <w:shd w:val="clear" w:color="auto" w:fill="auto"/>
            <w:noWrap/>
            <w:vAlign w:val="center"/>
            <w:hideMark/>
          </w:tcPr>
          <w:p w14:paraId="71B5D986"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Neonatol.amb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6866D36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4BC8FBA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6,25</w:t>
            </w:r>
          </w:p>
        </w:tc>
        <w:tc>
          <w:tcPr>
            <w:tcW w:w="960" w:type="dxa"/>
            <w:tcBorders>
              <w:top w:val="nil"/>
              <w:left w:val="nil"/>
              <w:bottom w:val="nil"/>
              <w:right w:val="nil"/>
            </w:tcBorders>
            <w:shd w:val="clear" w:color="auto" w:fill="auto"/>
            <w:noWrap/>
            <w:vAlign w:val="center"/>
            <w:hideMark/>
          </w:tcPr>
          <w:p w14:paraId="786AD1F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3506CA1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4D901C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0CDC28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2060-01</w:t>
            </w:r>
          </w:p>
        </w:tc>
        <w:tc>
          <w:tcPr>
            <w:tcW w:w="2380" w:type="dxa"/>
            <w:tcBorders>
              <w:top w:val="nil"/>
              <w:left w:val="nil"/>
              <w:bottom w:val="nil"/>
              <w:right w:val="nil"/>
            </w:tcBorders>
            <w:shd w:val="clear" w:color="auto" w:fill="auto"/>
            <w:noWrap/>
            <w:vAlign w:val="center"/>
            <w:hideMark/>
          </w:tcPr>
          <w:p w14:paraId="10ACFDC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Geriatrická </w:t>
            </w:r>
            <w:proofErr w:type="spellStart"/>
            <w:r w:rsidRPr="00E43879">
              <w:rPr>
                <w:rFonts w:ascii="Arial Narrow" w:hAnsi="Arial Narrow" w:cs="Calibri"/>
                <w:b/>
                <w:bCs/>
                <w:color w:val="000000"/>
                <w:sz w:val="20"/>
                <w:szCs w:val="20"/>
              </w:rPr>
              <w:t>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5790865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E7FC48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33,69</w:t>
            </w:r>
          </w:p>
        </w:tc>
        <w:tc>
          <w:tcPr>
            <w:tcW w:w="960" w:type="dxa"/>
            <w:tcBorders>
              <w:top w:val="nil"/>
              <w:left w:val="nil"/>
              <w:bottom w:val="nil"/>
              <w:right w:val="nil"/>
            </w:tcBorders>
            <w:shd w:val="clear" w:color="auto" w:fill="auto"/>
            <w:noWrap/>
            <w:vAlign w:val="center"/>
            <w:hideMark/>
          </w:tcPr>
          <w:p w14:paraId="66A2421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79CEFD51"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66C741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425810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2062-01</w:t>
            </w:r>
          </w:p>
        </w:tc>
        <w:tc>
          <w:tcPr>
            <w:tcW w:w="2380" w:type="dxa"/>
            <w:tcBorders>
              <w:top w:val="nil"/>
              <w:left w:val="nil"/>
              <w:bottom w:val="nil"/>
              <w:right w:val="nil"/>
            </w:tcBorders>
            <w:shd w:val="clear" w:color="auto" w:fill="auto"/>
            <w:noWrap/>
            <w:vAlign w:val="center"/>
            <w:hideMark/>
          </w:tcPr>
          <w:p w14:paraId="0DD519E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Lekárska genetika</w:t>
            </w:r>
          </w:p>
        </w:tc>
        <w:tc>
          <w:tcPr>
            <w:tcW w:w="2000" w:type="dxa"/>
            <w:tcBorders>
              <w:top w:val="nil"/>
              <w:left w:val="nil"/>
              <w:bottom w:val="nil"/>
              <w:right w:val="nil"/>
            </w:tcBorders>
            <w:shd w:val="clear" w:color="auto" w:fill="auto"/>
            <w:noWrap/>
            <w:vAlign w:val="center"/>
            <w:hideMark/>
          </w:tcPr>
          <w:p w14:paraId="434EA92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BBB090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230,48</w:t>
            </w:r>
          </w:p>
        </w:tc>
        <w:tc>
          <w:tcPr>
            <w:tcW w:w="960" w:type="dxa"/>
            <w:tcBorders>
              <w:top w:val="nil"/>
              <w:left w:val="nil"/>
              <w:bottom w:val="nil"/>
              <w:right w:val="nil"/>
            </w:tcBorders>
            <w:shd w:val="clear" w:color="auto" w:fill="auto"/>
            <w:noWrap/>
            <w:vAlign w:val="center"/>
            <w:hideMark/>
          </w:tcPr>
          <w:p w14:paraId="1156AB5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0,35%</w:t>
            </w:r>
          </w:p>
        </w:tc>
        <w:tc>
          <w:tcPr>
            <w:tcW w:w="960" w:type="dxa"/>
            <w:tcBorders>
              <w:top w:val="nil"/>
              <w:left w:val="nil"/>
              <w:bottom w:val="nil"/>
              <w:right w:val="nil"/>
            </w:tcBorders>
            <w:shd w:val="clear" w:color="auto" w:fill="auto"/>
            <w:noWrap/>
            <w:vAlign w:val="bottom"/>
            <w:hideMark/>
          </w:tcPr>
          <w:p w14:paraId="44F8C36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CBA8FE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9ADBED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2064-01</w:t>
            </w:r>
          </w:p>
        </w:tc>
        <w:tc>
          <w:tcPr>
            <w:tcW w:w="2380" w:type="dxa"/>
            <w:tcBorders>
              <w:top w:val="nil"/>
              <w:left w:val="nil"/>
              <w:bottom w:val="nil"/>
              <w:right w:val="nil"/>
            </w:tcBorders>
            <w:shd w:val="clear" w:color="auto" w:fill="auto"/>
            <w:noWrap/>
            <w:vAlign w:val="center"/>
            <w:hideMark/>
          </w:tcPr>
          <w:p w14:paraId="797F11F2"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Endokrin.amb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1AE07AE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0D8ECC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159,91</w:t>
            </w:r>
          </w:p>
        </w:tc>
        <w:tc>
          <w:tcPr>
            <w:tcW w:w="960" w:type="dxa"/>
            <w:tcBorders>
              <w:top w:val="nil"/>
              <w:left w:val="nil"/>
              <w:bottom w:val="nil"/>
              <w:right w:val="nil"/>
            </w:tcBorders>
            <w:shd w:val="clear" w:color="auto" w:fill="auto"/>
            <w:noWrap/>
            <w:vAlign w:val="center"/>
            <w:hideMark/>
          </w:tcPr>
          <w:p w14:paraId="0D0072D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0,25%</w:t>
            </w:r>
          </w:p>
        </w:tc>
        <w:tc>
          <w:tcPr>
            <w:tcW w:w="960" w:type="dxa"/>
            <w:tcBorders>
              <w:top w:val="nil"/>
              <w:left w:val="nil"/>
              <w:bottom w:val="nil"/>
              <w:right w:val="nil"/>
            </w:tcBorders>
            <w:shd w:val="clear" w:color="auto" w:fill="auto"/>
            <w:noWrap/>
            <w:vAlign w:val="bottom"/>
            <w:hideMark/>
          </w:tcPr>
          <w:p w14:paraId="6542BF8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1E2956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C30A14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2068-01</w:t>
            </w:r>
          </w:p>
        </w:tc>
        <w:tc>
          <w:tcPr>
            <w:tcW w:w="2380" w:type="dxa"/>
            <w:tcBorders>
              <w:top w:val="nil"/>
              <w:left w:val="nil"/>
              <w:bottom w:val="nil"/>
              <w:right w:val="nil"/>
            </w:tcBorders>
            <w:shd w:val="clear" w:color="auto" w:fill="auto"/>
            <w:noWrap/>
            <w:vAlign w:val="center"/>
            <w:hideMark/>
          </w:tcPr>
          <w:p w14:paraId="60A74E3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Cievna chirurgia</w:t>
            </w:r>
          </w:p>
        </w:tc>
        <w:tc>
          <w:tcPr>
            <w:tcW w:w="2000" w:type="dxa"/>
            <w:tcBorders>
              <w:top w:val="nil"/>
              <w:left w:val="nil"/>
              <w:bottom w:val="nil"/>
              <w:right w:val="nil"/>
            </w:tcBorders>
            <w:shd w:val="clear" w:color="auto" w:fill="auto"/>
            <w:noWrap/>
            <w:vAlign w:val="center"/>
            <w:hideMark/>
          </w:tcPr>
          <w:p w14:paraId="0D70B41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7BA29A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11,65</w:t>
            </w:r>
          </w:p>
        </w:tc>
        <w:tc>
          <w:tcPr>
            <w:tcW w:w="960" w:type="dxa"/>
            <w:tcBorders>
              <w:top w:val="nil"/>
              <w:left w:val="nil"/>
              <w:bottom w:val="nil"/>
              <w:right w:val="nil"/>
            </w:tcBorders>
            <w:shd w:val="clear" w:color="auto" w:fill="auto"/>
            <w:noWrap/>
            <w:vAlign w:val="center"/>
            <w:hideMark/>
          </w:tcPr>
          <w:p w14:paraId="7BDCCE3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60DF4EE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4CA7BF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C8ABE6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2073-01</w:t>
            </w:r>
          </w:p>
        </w:tc>
        <w:tc>
          <w:tcPr>
            <w:tcW w:w="2380" w:type="dxa"/>
            <w:tcBorders>
              <w:top w:val="nil"/>
              <w:left w:val="nil"/>
              <w:bottom w:val="nil"/>
              <w:right w:val="nil"/>
            </w:tcBorders>
            <w:shd w:val="clear" w:color="auto" w:fill="auto"/>
            <w:noWrap/>
            <w:vAlign w:val="center"/>
            <w:hideMark/>
          </w:tcPr>
          <w:p w14:paraId="11B7469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CPLDZ </w:t>
            </w:r>
            <w:proofErr w:type="spellStart"/>
            <w:r w:rsidRPr="00E43879">
              <w:rPr>
                <w:rFonts w:ascii="Arial Narrow" w:hAnsi="Arial Narrow" w:cs="Calibri"/>
                <w:b/>
                <w:bCs/>
                <w:color w:val="000000"/>
                <w:sz w:val="20"/>
                <w:szCs w:val="20"/>
              </w:rPr>
              <w:t>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3F1AF7A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89B866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29,43</w:t>
            </w:r>
          </w:p>
        </w:tc>
        <w:tc>
          <w:tcPr>
            <w:tcW w:w="960" w:type="dxa"/>
            <w:tcBorders>
              <w:top w:val="nil"/>
              <w:left w:val="nil"/>
              <w:bottom w:val="nil"/>
              <w:right w:val="nil"/>
            </w:tcBorders>
            <w:shd w:val="clear" w:color="auto" w:fill="auto"/>
            <w:noWrap/>
            <w:vAlign w:val="center"/>
            <w:hideMark/>
          </w:tcPr>
          <w:p w14:paraId="517F005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103DFAC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DB54D4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70253C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2107-01</w:t>
            </w:r>
          </w:p>
        </w:tc>
        <w:tc>
          <w:tcPr>
            <w:tcW w:w="2380" w:type="dxa"/>
            <w:tcBorders>
              <w:top w:val="nil"/>
              <w:left w:val="nil"/>
              <w:bottom w:val="nil"/>
              <w:right w:val="nil"/>
            </w:tcBorders>
            <w:shd w:val="clear" w:color="auto" w:fill="auto"/>
            <w:noWrap/>
            <w:vAlign w:val="center"/>
            <w:hideMark/>
          </w:tcPr>
          <w:p w14:paraId="0F54B0BE"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Amb.det.chirurgie</w:t>
            </w:r>
            <w:proofErr w:type="spellEnd"/>
          </w:p>
        </w:tc>
        <w:tc>
          <w:tcPr>
            <w:tcW w:w="2000" w:type="dxa"/>
            <w:tcBorders>
              <w:top w:val="nil"/>
              <w:left w:val="nil"/>
              <w:bottom w:val="nil"/>
              <w:right w:val="nil"/>
            </w:tcBorders>
            <w:shd w:val="clear" w:color="auto" w:fill="auto"/>
            <w:noWrap/>
            <w:vAlign w:val="center"/>
            <w:hideMark/>
          </w:tcPr>
          <w:p w14:paraId="3F0D2C6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76C90C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7,53</w:t>
            </w:r>
          </w:p>
        </w:tc>
        <w:tc>
          <w:tcPr>
            <w:tcW w:w="960" w:type="dxa"/>
            <w:tcBorders>
              <w:top w:val="nil"/>
              <w:left w:val="nil"/>
              <w:bottom w:val="nil"/>
              <w:right w:val="nil"/>
            </w:tcBorders>
            <w:shd w:val="clear" w:color="auto" w:fill="auto"/>
            <w:noWrap/>
            <w:vAlign w:val="center"/>
            <w:hideMark/>
          </w:tcPr>
          <w:p w14:paraId="1AFA1E3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0865352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647D411"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F63299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2108-01</w:t>
            </w:r>
          </w:p>
        </w:tc>
        <w:tc>
          <w:tcPr>
            <w:tcW w:w="2380" w:type="dxa"/>
            <w:tcBorders>
              <w:top w:val="nil"/>
              <w:left w:val="nil"/>
              <w:bottom w:val="nil"/>
              <w:right w:val="nil"/>
            </w:tcBorders>
            <w:shd w:val="clear" w:color="auto" w:fill="auto"/>
            <w:noWrap/>
            <w:vAlign w:val="center"/>
            <w:hideMark/>
          </w:tcPr>
          <w:p w14:paraId="3A3E41B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Ortopédia-detská</w:t>
            </w:r>
          </w:p>
        </w:tc>
        <w:tc>
          <w:tcPr>
            <w:tcW w:w="2000" w:type="dxa"/>
            <w:tcBorders>
              <w:top w:val="nil"/>
              <w:left w:val="nil"/>
              <w:bottom w:val="nil"/>
              <w:right w:val="nil"/>
            </w:tcBorders>
            <w:shd w:val="clear" w:color="auto" w:fill="auto"/>
            <w:noWrap/>
            <w:vAlign w:val="center"/>
            <w:hideMark/>
          </w:tcPr>
          <w:p w14:paraId="016B0EF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32A40F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97,73</w:t>
            </w:r>
          </w:p>
        </w:tc>
        <w:tc>
          <w:tcPr>
            <w:tcW w:w="960" w:type="dxa"/>
            <w:tcBorders>
              <w:top w:val="nil"/>
              <w:left w:val="nil"/>
              <w:bottom w:val="nil"/>
              <w:right w:val="nil"/>
            </w:tcBorders>
            <w:shd w:val="clear" w:color="auto" w:fill="auto"/>
            <w:noWrap/>
            <w:vAlign w:val="center"/>
            <w:hideMark/>
          </w:tcPr>
          <w:p w14:paraId="070B541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0,15%</w:t>
            </w:r>
          </w:p>
        </w:tc>
        <w:tc>
          <w:tcPr>
            <w:tcW w:w="960" w:type="dxa"/>
            <w:tcBorders>
              <w:top w:val="nil"/>
              <w:left w:val="nil"/>
              <w:bottom w:val="nil"/>
              <w:right w:val="nil"/>
            </w:tcBorders>
            <w:shd w:val="clear" w:color="auto" w:fill="auto"/>
            <w:noWrap/>
            <w:vAlign w:val="bottom"/>
            <w:hideMark/>
          </w:tcPr>
          <w:p w14:paraId="58A6E90F"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7D4B73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C9F54F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2116-01</w:t>
            </w:r>
          </w:p>
        </w:tc>
        <w:tc>
          <w:tcPr>
            <w:tcW w:w="2380" w:type="dxa"/>
            <w:tcBorders>
              <w:top w:val="nil"/>
              <w:left w:val="nil"/>
              <w:bottom w:val="nil"/>
              <w:right w:val="nil"/>
            </w:tcBorders>
            <w:shd w:val="clear" w:color="auto" w:fill="auto"/>
            <w:noWrap/>
            <w:vAlign w:val="center"/>
            <w:hideMark/>
          </w:tcPr>
          <w:p w14:paraId="678B3177"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Pediatr.dermat</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61F582B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2A564B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20,4</w:t>
            </w:r>
          </w:p>
        </w:tc>
        <w:tc>
          <w:tcPr>
            <w:tcW w:w="960" w:type="dxa"/>
            <w:tcBorders>
              <w:top w:val="nil"/>
              <w:left w:val="nil"/>
              <w:bottom w:val="nil"/>
              <w:right w:val="nil"/>
            </w:tcBorders>
            <w:shd w:val="clear" w:color="auto" w:fill="auto"/>
            <w:noWrap/>
            <w:vAlign w:val="center"/>
            <w:hideMark/>
          </w:tcPr>
          <w:p w14:paraId="3E15114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0,03%</w:t>
            </w:r>
          </w:p>
        </w:tc>
        <w:tc>
          <w:tcPr>
            <w:tcW w:w="960" w:type="dxa"/>
            <w:tcBorders>
              <w:top w:val="nil"/>
              <w:left w:val="nil"/>
              <w:bottom w:val="nil"/>
              <w:right w:val="nil"/>
            </w:tcBorders>
            <w:shd w:val="clear" w:color="auto" w:fill="auto"/>
            <w:noWrap/>
            <w:vAlign w:val="bottom"/>
            <w:hideMark/>
          </w:tcPr>
          <w:p w14:paraId="494499FF"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1F85D0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6864C5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2130-01</w:t>
            </w:r>
          </w:p>
        </w:tc>
        <w:tc>
          <w:tcPr>
            <w:tcW w:w="2380" w:type="dxa"/>
            <w:tcBorders>
              <w:top w:val="nil"/>
              <w:left w:val="nil"/>
              <w:bottom w:val="nil"/>
              <w:right w:val="nil"/>
            </w:tcBorders>
            <w:shd w:val="clear" w:color="auto" w:fill="auto"/>
            <w:noWrap/>
            <w:vAlign w:val="center"/>
            <w:hideMark/>
          </w:tcPr>
          <w:p w14:paraId="492B93C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Materno-</w:t>
            </w:r>
            <w:proofErr w:type="spellStart"/>
            <w:r w:rsidRPr="00E43879">
              <w:rPr>
                <w:rFonts w:ascii="Arial Narrow" w:hAnsi="Arial Narrow" w:cs="Calibri"/>
                <w:b/>
                <w:bCs/>
                <w:color w:val="000000"/>
                <w:sz w:val="20"/>
                <w:szCs w:val="20"/>
              </w:rPr>
              <w:t>fetálna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27D0070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2AADFC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6,7</w:t>
            </w:r>
          </w:p>
        </w:tc>
        <w:tc>
          <w:tcPr>
            <w:tcW w:w="960" w:type="dxa"/>
            <w:tcBorders>
              <w:top w:val="nil"/>
              <w:left w:val="nil"/>
              <w:bottom w:val="nil"/>
              <w:right w:val="nil"/>
            </w:tcBorders>
            <w:shd w:val="clear" w:color="auto" w:fill="auto"/>
            <w:noWrap/>
            <w:vAlign w:val="center"/>
            <w:hideMark/>
          </w:tcPr>
          <w:p w14:paraId="2056AFC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38A235D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52EB9B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016EE2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2140-01</w:t>
            </w:r>
          </w:p>
        </w:tc>
        <w:tc>
          <w:tcPr>
            <w:tcW w:w="2380" w:type="dxa"/>
            <w:tcBorders>
              <w:top w:val="nil"/>
              <w:left w:val="nil"/>
              <w:bottom w:val="nil"/>
              <w:right w:val="nil"/>
            </w:tcBorders>
            <w:shd w:val="clear" w:color="auto" w:fill="auto"/>
            <w:noWrap/>
            <w:vAlign w:val="center"/>
            <w:hideMark/>
          </w:tcPr>
          <w:p w14:paraId="3ABA2E1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Lek.</w:t>
            </w:r>
            <w:proofErr w:type="spellStart"/>
            <w:r w:rsidRPr="00E43879">
              <w:rPr>
                <w:rFonts w:ascii="Arial Narrow" w:hAnsi="Arial Narrow" w:cs="Calibri"/>
                <w:b/>
                <w:bCs/>
                <w:color w:val="000000"/>
                <w:sz w:val="20"/>
                <w:szCs w:val="20"/>
              </w:rPr>
              <w:t>imun</w:t>
            </w:r>
            <w:proofErr w:type="spellEnd"/>
            <w:r w:rsidRPr="00E43879">
              <w:rPr>
                <w:rFonts w:ascii="Arial Narrow" w:hAnsi="Arial Narrow" w:cs="Calibri"/>
                <w:b/>
                <w:bCs/>
                <w:color w:val="000000"/>
                <w:sz w:val="20"/>
                <w:szCs w:val="20"/>
              </w:rPr>
              <w:t>.,</w:t>
            </w:r>
            <w:proofErr w:type="spellStart"/>
            <w:r w:rsidRPr="00E43879">
              <w:rPr>
                <w:rFonts w:ascii="Arial Narrow" w:hAnsi="Arial Narrow" w:cs="Calibri"/>
                <w:b/>
                <w:bCs/>
                <w:color w:val="000000"/>
                <w:sz w:val="20"/>
                <w:szCs w:val="20"/>
              </w:rPr>
              <w:t>alerg</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138835B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B80F71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47,64</w:t>
            </w:r>
          </w:p>
        </w:tc>
        <w:tc>
          <w:tcPr>
            <w:tcW w:w="960" w:type="dxa"/>
            <w:tcBorders>
              <w:top w:val="nil"/>
              <w:left w:val="nil"/>
              <w:bottom w:val="nil"/>
              <w:right w:val="nil"/>
            </w:tcBorders>
            <w:shd w:val="clear" w:color="auto" w:fill="auto"/>
            <w:noWrap/>
            <w:vAlign w:val="center"/>
            <w:hideMark/>
          </w:tcPr>
          <w:p w14:paraId="4D93BF6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0,07%</w:t>
            </w:r>
          </w:p>
        </w:tc>
        <w:tc>
          <w:tcPr>
            <w:tcW w:w="960" w:type="dxa"/>
            <w:tcBorders>
              <w:top w:val="nil"/>
              <w:left w:val="nil"/>
              <w:bottom w:val="nil"/>
              <w:right w:val="nil"/>
            </w:tcBorders>
            <w:shd w:val="clear" w:color="auto" w:fill="auto"/>
            <w:noWrap/>
            <w:vAlign w:val="bottom"/>
            <w:hideMark/>
          </w:tcPr>
          <w:p w14:paraId="382316C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2273E7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C98B73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2144-01</w:t>
            </w:r>
          </w:p>
        </w:tc>
        <w:tc>
          <w:tcPr>
            <w:tcW w:w="2380" w:type="dxa"/>
            <w:tcBorders>
              <w:top w:val="nil"/>
              <w:left w:val="nil"/>
              <w:bottom w:val="nil"/>
              <w:right w:val="nil"/>
            </w:tcBorders>
            <w:shd w:val="clear" w:color="auto" w:fill="auto"/>
            <w:noWrap/>
            <w:vAlign w:val="center"/>
            <w:hideMark/>
          </w:tcPr>
          <w:p w14:paraId="69B9A939"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Psychol.ambul</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129DCD4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AD98B1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10,75</w:t>
            </w:r>
          </w:p>
        </w:tc>
        <w:tc>
          <w:tcPr>
            <w:tcW w:w="960" w:type="dxa"/>
            <w:tcBorders>
              <w:top w:val="nil"/>
              <w:left w:val="nil"/>
              <w:bottom w:val="nil"/>
              <w:right w:val="nil"/>
            </w:tcBorders>
            <w:shd w:val="clear" w:color="auto" w:fill="auto"/>
            <w:noWrap/>
            <w:vAlign w:val="center"/>
            <w:hideMark/>
          </w:tcPr>
          <w:p w14:paraId="16B8D65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4C03357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CE617A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6936CF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2145-01</w:t>
            </w:r>
          </w:p>
        </w:tc>
        <w:tc>
          <w:tcPr>
            <w:tcW w:w="2380" w:type="dxa"/>
            <w:tcBorders>
              <w:top w:val="nil"/>
              <w:left w:val="nil"/>
              <w:bottom w:val="nil"/>
              <w:right w:val="nil"/>
            </w:tcBorders>
            <w:shd w:val="clear" w:color="auto" w:fill="auto"/>
            <w:noWrap/>
            <w:vAlign w:val="center"/>
            <w:hideMark/>
          </w:tcPr>
          <w:p w14:paraId="00C6FEA5"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Reumatológia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detsk</w:t>
            </w:r>
            <w:proofErr w:type="spellEnd"/>
            <w:r w:rsidRPr="00E43879">
              <w:rPr>
                <w:rFonts w:ascii="Arial Narrow" w:hAnsi="Arial Narrow" w:cs="Calibri"/>
                <w:b/>
                <w:bCs/>
                <w:color w:val="000000"/>
                <w:sz w:val="20"/>
                <w:szCs w:val="20"/>
              </w:rPr>
              <w:t> )</w:t>
            </w:r>
          </w:p>
        </w:tc>
        <w:tc>
          <w:tcPr>
            <w:tcW w:w="2000" w:type="dxa"/>
            <w:tcBorders>
              <w:top w:val="nil"/>
              <w:left w:val="nil"/>
              <w:bottom w:val="nil"/>
              <w:right w:val="nil"/>
            </w:tcBorders>
            <w:shd w:val="clear" w:color="auto" w:fill="auto"/>
            <w:noWrap/>
            <w:vAlign w:val="center"/>
            <w:hideMark/>
          </w:tcPr>
          <w:p w14:paraId="6D23B00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D25875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25,92</w:t>
            </w:r>
          </w:p>
        </w:tc>
        <w:tc>
          <w:tcPr>
            <w:tcW w:w="960" w:type="dxa"/>
            <w:tcBorders>
              <w:top w:val="nil"/>
              <w:left w:val="nil"/>
              <w:bottom w:val="nil"/>
              <w:right w:val="nil"/>
            </w:tcBorders>
            <w:shd w:val="clear" w:color="auto" w:fill="auto"/>
            <w:noWrap/>
            <w:vAlign w:val="center"/>
            <w:hideMark/>
          </w:tcPr>
          <w:p w14:paraId="73C6D96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0,04%</w:t>
            </w:r>
          </w:p>
        </w:tc>
        <w:tc>
          <w:tcPr>
            <w:tcW w:w="960" w:type="dxa"/>
            <w:tcBorders>
              <w:top w:val="nil"/>
              <w:left w:val="nil"/>
              <w:bottom w:val="nil"/>
              <w:right w:val="nil"/>
            </w:tcBorders>
            <w:shd w:val="clear" w:color="auto" w:fill="auto"/>
            <w:noWrap/>
            <w:vAlign w:val="bottom"/>
            <w:hideMark/>
          </w:tcPr>
          <w:p w14:paraId="2E8FC78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0E9CD5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2262F7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2156-01</w:t>
            </w:r>
          </w:p>
        </w:tc>
        <w:tc>
          <w:tcPr>
            <w:tcW w:w="2380" w:type="dxa"/>
            <w:tcBorders>
              <w:top w:val="nil"/>
              <w:left w:val="nil"/>
              <w:bottom w:val="nil"/>
              <w:right w:val="nil"/>
            </w:tcBorders>
            <w:shd w:val="clear" w:color="auto" w:fill="auto"/>
            <w:noWrap/>
            <w:vAlign w:val="center"/>
            <w:hideMark/>
          </w:tcPr>
          <w:p w14:paraId="0DF6F0B9"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Pneumol</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ftizeol</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557DA78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0919B7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36,49</w:t>
            </w:r>
          </w:p>
        </w:tc>
        <w:tc>
          <w:tcPr>
            <w:tcW w:w="960" w:type="dxa"/>
            <w:tcBorders>
              <w:top w:val="nil"/>
              <w:left w:val="nil"/>
              <w:bottom w:val="nil"/>
              <w:right w:val="nil"/>
            </w:tcBorders>
            <w:shd w:val="clear" w:color="auto" w:fill="auto"/>
            <w:noWrap/>
            <w:vAlign w:val="center"/>
            <w:hideMark/>
          </w:tcPr>
          <w:p w14:paraId="7D0737B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0,06%</w:t>
            </w:r>
          </w:p>
        </w:tc>
        <w:tc>
          <w:tcPr>
            <w:tcW w:w="960" w:type="dxa"/>
            <w:tcBorders>
              <w:top w:val="nil"/>
              <w:left w:val="nil"/>
              <w:bottom w:val="nil"/>
              <w:right w:val="nil"/>
            </w:tcBorders>
            <w:shd w:val="clear" w:color="auto" w:fill="auto"/>
            <w:noWrap/>
            <w:vAlign w:val="bottom"/>
            <w:hideMark/>
          </w:tcPr>
          <w:p w14:paraId="18F16CD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650DCC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476B2B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2163-01</w:t>
            </w:r>
          </w:p>
        </w:tc>
        <w:tc>
          <w:tcPr>
            <w:tcW w:w="2380" w:type="dxa"/>
            <w:tcBorders>
              <w:top w:val="nil"/>
              <w:left w:val="nil"/>
              <w:bottom w:val="nil"/>
              <w:right w:val="nil"/>
            </w:tcBorders>
            <w:shd w:val="clear" w:color="auto" w:fill="auto"/>
            <w:noWrap/>
            <w:vAlign w:val="center"/>
            <w:hideMark/>
          </w:tcPr>
          <w:p w14:paraId="78B39802"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Nefrológia-detska</w:t>
            </w:r>
            <w:proofErr w:type="spellEnd"/>
          </w:p>
        </w:tc>
        <w:tc>
          <w:tcPr>
            <w:tcW w:w="2000" w:type="dxa"/>
            <w:tcBorders>
              <w:top w:val="nil"/>
              <w:left w:val="nil"/>
              <w:bottom w:val="nil"/>
              <w:right w:val="nil"/>
            </w:tcBorders>
            <w:shd w:val="clear" w:color="auto" w:fill="auto"/>
            <w:noWrap/>
            <w:vAlign w:val="center"/>
            <w:hideMark/>
          </w:tcPr>
          <w:p w14:paraId="1CDB758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A38BAC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26,17</w:t>
            </w:r>
          </w:p>
        </w:tc>
        <w:tc>
          <w:tcPr>
            <w:tcW w:w="960" w:type="dxa"/>
            <w:tcBorders>
              <w:top w:val="nil"/>
              <w:left w:val="nil"/>
              <w:bottom w:val="nil"/>
              <w:right w:val="nil"/>
            </w:tcBorders>
            <w:shd w:val="clear" w:color="auto" w:fill="auto"/>
            <w:noWrap/>
            <w:vAlign w:val="center"/>
            <w:hideMark/>
          </w:tcPr>
          <w:p w14:paraId="5D61112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0,04%</w:t>
            </w:r>
          </w:p>
        </w:tc>
        <w:tc>
          <w:tcPr>
            <w:tcW w:w="960" w:type="dxa"/>
            <w:tcBorders>
              <w:top w:val="nil"/>
              <w:left w:val="nil"/>
              <w:bottom w:val="nil"/>
              <w:right w:val="nil"/>
            </w:tcBorders>
            <w:shd w:val="clear" w:color="auto" w:fill="auto"/>
            <w:noWrap/>
            <w:vAlign w:val="bottom"/>
            <w:hideMark/>
          </w:tcPr>
          <w:p w14:paraId="6FDB978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43F084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73283C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2174-01</w:t>
            </w:r>
          </w:p>
        </w:tc>
        <w:tc>
          <w:tcPr>
            <w:tcW w:w="2380" w:type="dxa"/>
            <w:tcBorders>
              <w:top w:val="nil"/>
              <w:left w:val="nil"/>
              <w:bottom w:val="nil"/>
              <w:right w:val="nil"/>
            </w:tcBorders>
            <w:shd w:val="clear" w:color="auto" w:fill="auto"/>
            <w:noWrap/>
            <w:vAlign w:val="center"/>
            <w:hideMark/>
          </w:tcPr>
          <w:p w14:paraId="67F5453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APPS dospelí</w:t>
            </w:r>
          </w:p>
        </w:tc>
        <w:tc>
          <w:tcPr>
            <w:tcW w:w="2000" w:type="dxa"/>
            <w:tcBorders>
              <w:top w:val="nil"/>
              <w:left w:val="nil"/>
              <w:bottom w:val="nil"/>
              <w:right w:val="nil"/>
            </w:tcBorders>
            <w:shd w:val="clear" w:color="auto" w:fill="auto"/>
            <w:noWrap/>
            <w:vAlign w:val="center"/>
            <w:hideMark/>
          </w:tcPr>
          <w:p w14:paraId="476C977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BFB4CD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79,5</w:t>
            </w:r>
          </w:p>
        </w:tc>
        <w:tc>
          <w:tcPr>
            <w:tcW w:w="960" w:type="dxa"/>
            <w:tcBorders>
              <w:top w:val="nil"/>
              <w:left w:val="nil"/>
              <w:bottom w:val="nil"/>
              <w:right w:val="nil"/>
            </w:tcBorders>
            <w:shd w:val="clear" w:color="auto" w:fill="auto"/>
            <w:noWrap/>
            <w:vAlign w:val="center"/>
            <w:hideMark/>
          </w:tcPr>
          <w:p w14:paraId="62C02FD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0,12%</w:t>
            </w:r>
          </w:p>
        </w:tc>
        <w:tc>
          <w:tcPr>
            <w:tcW w:w="960" w:type="dxa"/>
            <w:tcBorders>
              <w:top w:val="nil"/>
              <w:left w:val="nil"/>
              <w:bottom w:val="nil"/>
              <w:right w:val="nil"/>
            </w:tcBorders>
            <w:shd w:val="clear" w:color="auto" w:fill="auto"/>
            <w:noWrap/>
            <w:vAlign w:val="bottom"/>
            <w:hideMark/>
          </w:tcPr>
          <w:p w14:paraId="01F94E5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B51307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12DF0E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2176-01</w:t>
            </w:r>
          </w:p>
        </w:tc>
        <w:tc>
          <w:tcPr>
            <w:tcW w:w="2380" w:type="dxa"/>
            <w:tcBorders>
              <w:top w:val="nil"/>
              <w:left w:val="nil"/>
              <w:bottom w:val="nil"/>
              <w:right w:val="nil"/>
            </w:tcBorders>
            <w:shd w:val="clear" w:color="auto" w:fill="auto"/>
            <w:noWrap/>
            <w:vAlign w:val="center"/>
            <w:hideMark/>
          </w:tcPr>
          <w:p w14:paraId="2A80901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APPS deti a dorast</w:t>
            </w:r>
          </w:p>
        </w:tc>
        <w:tc>
          <w:tcPr>
            <w:tcW w:w="2000" w:type="dxa"/>
            <w:tcBorders>
              <w:top w:val="nil"/>
              <w:left w:val="nil"/>
              <w:bottom w:val="nil"/>
              <w:right w:val="nil"/>
            </w:tcBorders>
            <w:shd w:val="clear" w:color="auto" w:fill="auto"/>
            <w:noWrap/>
            <w:vAlign w:val="center"/>
            <w:hideMark/>
          </w:tcPr>
          <w:p w14:paraId="21255E1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1982D2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117,21</w:t>
            </w:r>
          </w:p>
        </w:tc>
        <w:tc>
          <w:tcPr>
            <w:tcW w:w="960" w:type="dxa"/>
            <w:tcBorders>
              <w:top w:val="nil"/>
              <w:left w:val="nil"/>
              <w:bottom w:val="nil"/>
              <w:right w:val="nil"/>
            </w:tcBorders>
            <w:shd w:val="clear" w:color="auto" w:fill="auto"/>
            <w:noWrap/>
            <w:vAlign w:val="center"/>
            <w:hideMark/>
          </w:tcPr>
          <w:p w14:paraId="3608972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0,18%</w:t>
            </w:r>
          </w:p>
        </w:tc>
        <w:tc>
          <w:tcPr>
            <w:tcW w:w="960" w:type="dxa"/>
            <w:tcBorders>
              <w:top w:val="nil"/>
              <w:left w:val="nil"/>
              <w:bottom w:val="nil"/>
              <w:right w:val="nil"/>
            </w:tcBorders>
            <w:shd w:val="clear" w:color="auto" w:fill="auto"/>
            <w:noWrap/>
            <w:vAlign w:val="bottom"/>
            <w:hideMark/>
          </w:tcPr>
          <w:p w14:paraId="029C255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4359A25"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4BDA92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2302-01</w:t>
            </w:r>
          </w:p>
        </w:tc>
        <w:tc>
          <w:tcPr>
            <w:tcW w:w="2380" w:type="dxa"/>
            <w:tcBorders>
              <w:top w:val="nil"/>
              <w:left w:val="nil"/>
              <w:bottom w:val="nil"/>
              <w:right w:val="nil"/>
            </w:tcBorders>
            <w:shd w:val="clear" w:color="auto" w:fill="auto"/>
            <w:noWrap/>
            <w:vAlign w:val="center"/>
            <w:hideMark/>
          </w:tcPr>
          <w:p w14:paraId="6B0F8FDD"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Andrológia</w:t>
            </w:r>
            <w:proofErr w:type="spellEnd"/>
          </w:p>
        </w:tc>
        <w:tc>
          <w:tcPr>
            <w:tcW w:w="2000" w:type="dxa"/>
            <w:tcBorders>
              <w:top w:val="nil"/>
              <w:left w:val="nil"/>
              <w:bottom w:val="nil"/>
              <w:right w:val="nil"/>
            </w:tcBorders>
            <w:shd w:val="clear" w:color="auto" w:fill="auto"/>
            <w:noWrap/>
            <w:vAlign w:val="center"/>
            <w:hideMark/>
          </w:tcPr>
          <w:p w14:paraId="4F0F08C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ED1492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2,34</w:t>
            </w:r>
          </w:p>
        </w:tc>
        <w:tc>
          <w:tcPr>
            <w:tcW w:w="960" w:type="dxa"/>
            <w:tcBorders>
              <w:top w:val="nil"/>
              <w:left w:val="nil"/>
              <w:bottom w:val="nil"/>
              <w:right w:val="nil"/>
            </w:tcBorders>
            <w:shd w:val="clear" w:color="auto" w:fill="auto"/>
            <w:noWrap/>
            <w:vAlign w:val="center"/>
            <w:hideMark/>
          </w:tcPr>
          <w:p w14:paraId="0DF0759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0,00%</w:t>
            </w:r>
          </w:p>
        </w:tc>
        <w:tc>
          <w:tcPr>
            <w:tcW w:w="960" w:type="dxa"/>
            <w:tcBorders>
              <w:top w:val="nil"/>
              <w:left w:val="nil"/>
              <w:bottom w:val="nil"/>
              <w:right w:val="nil"/>
            </w:tcBorders>
            <w:shd w:val="clear" w:color="auto" w:fill="auto"/>
            <w:noWrap/>
            <w:vAlign w:val="bottom"/>
            <w:hideMark/>
          </w:tcPr>
          <w:p w14:paraId="5CDB4D6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0D6005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76777F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2319-01</w:t>
            </w:r>
          </w:p>
        </w:tc>
        <w:tc>
          <w:tcPr>
            <w:tcW w:w="2380" w:type="dxa"/>
            <w:tcBorders>
              <w:top w:val="nil"/>
              <w:left w:val="nil"/>
              <w:bottom w:val="nil"/>
              <w:right w:val="nil"/>
            </w:tcBorders>
            <w:shd w:val="clear" w:color="auto" w:fill="auto"/>
            <w:noWrap/>
            <w:vAlign w:val="center"/>
            <w:hideMark/>
          </w:tcPr>
          <w:p w14:paraId="57717E71"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Onkológia v chirurgii</w:t>
            </w:r>
          </w:p>
        </w:tc>
        <w:tc>
          <w:tcPr>
            <w:tcW w:w="2000" w:type="dxa"/>
            <w:tcBorders>
              <w:top w:val="nil"/>
              <w:left w:val="nil"/>
              <w:bottom w:val="nil"/>
              <w:right w:val="nil"/>
            </w:tcBorders>
            <w:shd w:val="clear" w:color="auto" w:fill="auto"/>
            <w:noWrap/>
            <w:vAlign w:val="center"/>
            <w:hideMark/>
          </w:tcPr>
          <w:p w14:paraId="380C94E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5B8882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16,89</w:t>
            </w:r>
          </w:p>
        </w:tc>
        <w:tc>
          <w:tcPr>
            <w:tcW w:w="960" w:type="dxa"/>
            <w:tcBorders>
              <w:top w:val="nil"/>
              <w:left w:val="nil"/>
              <w:bottom w:val="nil"/>
              <w:right w:val="nil"/>
            </w:tcBorders>
            <w:shd w:val="clear" w:color="auto" w:fill="auto"/>
            <w:noWrap/>
            <w:vAlign w:val="center"/>
            <w:hideMark/>
          </w:tcPr>
          <w:p w14:paraId="234C292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0,03%</w:t>
            </w:r>
          </w:p>
        </w:tc>
        <w:tc>
          <w:tcPr>
            <w:tcW w:w="960" w:type="dxa"/>
            <w:tcBorders>
              <w:top w:val="nil"/>
              <w:left w:val="nil"/>
              <w:bottom w:val="nil"/>
              <w:right w:val="nil"/>
            </w:tcBorders>
            <w:shd w:val="clear" w:color="auto" w:fill="auto"/>
            <w:noWrap/>
            <w:vAlign w:val="bottom"/>
            <w:hideMark/>
          </w:tcPr>
          <w:p w14:paraId="3BD3364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6BD8FA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CD8969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2322-01</w:t>
            </w:r>
          </w:p>
        </w:tc>
        <w:tc>
          <w:tcPr>
            <w:tcW w:w="2380" w:type="dxa"/>
            <w:tcBorders>
              <w:top w:val="nil"/>
              <w:left w:val="nil"/>
              <w:bottom w:val="nil"/>
              <w:right w:val="nil"/>
            </w:tcBorders>
            <w:shd w:val="clear" w:color="auto" w:fill="auto"/>
            <w:noWrap/>
            <w:vAlign w:val="center"/>
            <w:hideMark/>
          </w:tcPr>
          <w:p w14:paraId="3C1648D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Onkológia v urológii</w:t>
            </w:r>
          </w:p>
        </w:tc>
        <w:tc>
          <w:tcPr>
            <w:tcW w:w="2000" w:type="dxa"/>
            <w:tcBorders>
              <w:top w:val="nil"/>
              <w:left w:val="nil"/>
              <w:bottom w:val="nil"/>
              <w:right w:val="nil"/>
            </w:tcBorders>
            <w:shd w:val="clear" w:color="auto" w:fill="auto"/>
            <w:noWrap/>
            <w:vAlign w:val="center"/>
            <w:hideMark/>
          </w:tcPr>
          <w:p w14:paraId="3DF64BF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2CCCD1A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9,36</w:t>
            </w:r>
          </w:p>
        </w:tc>
        <w:tc>
          <w:tcPr>
            <w:tcW w:w="960" w:type="dxa"/>
            <w:tcBorders>
              <w:top w:val="nil"/>
              <w:left w:val="nil"/>
              <w:bottom w:val="nil"/>
              <w:right w:val="nil"/>
            </w:tcBorders>
            <w:shd w:val="clear" w:color="auto" w:fill="auto"/>
            <w:noWrap/>
            <w:vAlign w:val="center"/>
            <w:hideMark/>
          </w:tcPr>
          <w:p w14:paraId="4893600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58D822D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B652D7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13E16E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3025-01</w:t>
            </w:r>
          </w:p>
        </w:tc>
        <w:tc>
          <w:tcPr>
            <w:tcW w:w="2380" w:type="dxa"/>
            <w:tcBorders>
              <w:top w:val="nil"/>
              <w:left w:val="nil"/>
              <w:bottom w:val="nil"/>
              <w:right w:val="nil"/>
            </w:tcBorders>
            <w:shd w:val="clear" w:color="auto" w:fill="auto"/>
            <w:noWrap/>
            <w:vAlign w:val="center"/>
            <w:hideMark/>
          </w:tcPr>
          <w:p w14:paraId="260145C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Poskytovanie </w:t>
            </w:r>
            <w:proofErr w:type="spellStart"/>
            <w:r w:rsidRPr="00E43879">
              <w:rPr>
                <w:rFonts w:ascii="Arial Narrow" w:hAnsi="Arial Narrow" w:cs="Calibri"/>
                <w:b/>
                <w:bCs/>
                <w:color w:val="000000"/>
                <w:sz w:val="20"/>
                <w:szCs w:val="20"/>
              </w:rPr>
              <w:t>anestéz</w:t>
            </w:r>
            <w:proofErr w:type="spellEnd"/>
          </w:p>
        </w:tc>
        <w:tc>
          <w:tcPr>
            <w:tcW w:w="2000" w:type="dxa"/>
            <w:tcBorders>
              <w:top w:val="nil"/>
              <w:left w:val="nil"/>
              <w:bottom w:val="nil"/>
              <w:right w:val="nil"/>
            </w:tcBorders>
            <w:shd w:val="clear" w:color="auto" w:fill="auto"/>
            <w:noWrap/>
            <w:vAlign w:val="center"/>
            <w:hideMark/>
          </w:tcPr>
          <w:p w14:paraId="19DFB7E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69F822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59,1</w:t>
            </w:r>
          </w:p>
        </w:tc>
        <w:tc>
          <w:tcPr>
            <w:tcW w:w="960" w:type="dxa"/>
            <w:tcBorders>
              <w:top w:val="nil"/>
              <w:left w:val="nil"/>
              <w:bottom w:val="nil"/>
              <w:right w:val="nil"/>
            </w:tcBorders>
            <w:shd w:val="clear" w:color="auto" w:fill="auto"/>
            <w:noWrap/>
            <w:vAlign w:val="center"/>
            <w:hideMark/>
          </w:tcPr>
          <w:p w14:paraId="2051969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0,09%</w:t>
            </w:r>
          </w:p>
        </w:tc>
        <w:tc>
          <w:tcPr>
            <w:tcW w:w="960" w:type="dxa"/>
            <w:tcBorders>
              <w:top w:val="nil"/>
              <w:left w:val="nil"/>
              <w:bottom w:val="nil"/>
              <w:right w:val="nil"/>
            </w:tcBorders>
            <w:shd w:val="clear" w:color="auto" w:fill="auto"/>
            <w:noWrap/>
            <w:vAlign w:val="bottom"/>
            <w:hideMark/>
          </w:tcPr>
          <w:p w14:paraId="750C13E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833853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38EC57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3080-01</w:t>
            </w:r>
          </w:p>
        </w:tc>
        <w:tc>
          <w:tcPr>
            <w:tcW w:w="2380" w:type="dxa"/>
            <w:tcBorders>
              <w:top w:val="nil"/>
              <w:left w:val="nil"/>
              <w:bottom w:val="nil"/>
              <w:right w:val="nil"/>
            </w:tcBorders>
            <w:shd w:val="clear" w:color="auto" w:fill="auto"/>
            <w:noWrap/>
            <w:vAlign w:val="center"/>
            <w:hideMark/>
          </w:tcPr>
          <w:p w14:paraId="373B255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Nemocničná lekáreň</w:t>
            </w:r>
          </w:p>
        </w:tc>
        <w:tc>
          <w:tcPr>
            <w:tcW w:w="2000" w:type="dxa"/>
            <w:tcBorders>
              <w:top w:val="nil"/>
              <w:left w:val="nil"/>
              <w:bottom w:val="nil"/>
              <w:right w:val="nil"/>
            </w:tcBorders>
            <w:shd w:val="clear" w:color="auto" w:fill="auto"/>
            <w:noWrap/>
            <w:vAlign w:val="center"/>
            <w:hideMark/>
          </w:tcPr>
          <w:p w14:paraId="7314B87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7CF5DE6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913,25</w:t>
            </w:r>
          </w:p>
        </w:tc>
        <w:tc>
          <w:tcPr>
            <w:tcW w:w="960" w:type="dxa"/>
            <w:tcBorders>
              <w:top w:val="nil"/>
              <w:left w:val="nil"/>
              <w:bottom w:val="nil"/>
              <w:right w:val="nil"/>
            </w:tcBorders>
            <w:shd w:val="clear" w:color="auto" w:fill="auto"/>
            <w:noWrap/>
            <w:vAlign w:val="center"/>
            <w:hideMark/>
          </w:tcPr>
          <w:p w14:paraId="7F63387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1,40%</w:t>
            </w:r>
          </w:p>
        </w:tc>
        <w:tc>
          <w:tcPr>
            <w:tcW w:w="960" w:type="dxa"/>
            <w:tcBorders>
              <w:top w:val="nil"/>
              <w:left w:val="nil"/>
              <w:bottom w:val="nil"/>
              <w:right w:val="nil"/>
            </w:tcBorders>
            <w:shd w:val="clear" w:color="auto" w:fill="auto"/>
            <w:noWrap/>
            <w:vAlign w:val="bottom"/>
            <w:hideMark/>
          </w:tcPr>
          <w:p w14:paraId="1C7B107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703EBB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B8A5C9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3080-02</w:t>
            </w:r>
          </w:p>
        </w:tc>
        <w:tc>
          <w:tcPr>
            <w:tcW w:w="2380" w:type="dxa"/>
            <w:tcBorders>
              <w:top w:val="nil"/>
              <w:left w:val="nil"/>
              <w:bottom w:val="nil"/>
              <w:right w:val="nil"/>
            </w:tcBorders>
            <w:shd w:val="clear" w:color="auto" w:fill="auto"/>
            <w:noWrap/>
            <w:vAlign w:val="center"/>
            <w:hideMark/>
          </w:tcPr>
          <w:p w14:paraId="760F870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Sklad </w:t>
            </w:r>
            <w:proofErr w:type="spellStart"/>
            <w:r w:rsidRPr="00E43879">
              <w:rPr>
                <w:rFonts w:ascii="Arial Narrow" w:hAnsi="Arial Narrow" w:cs="Calibri"/>
                <w:b/>
                <w:bCs/>
                <w:color w:val="000000"/>
                <w:sz w:val="20"/>
                <w:szCs w:val="20"/>
              </w:rPr>
              <w:t>zdrav.pomôcok</w:t>
            </w:r>
            <w:proofErr w:type="spellEnd"/>
          </w:p>
        </w:tc>
        <w:tc>
          <w:tcPr>
            <w:tcW w:w="2000" w:type="dxa"/>
            <w:tcBorders>
              <w:top w:val="nil"/>
              <w:left w:val="nil"/>
              <w:bottom w:val="nil"/>
              <w:right w:val="nil"/>
            </w:tcBorders>
            <w:shd w:val="clear" w:color="auto" w:fill="auto"/>
            <w:noWrap/>
            <w:vAlign w:val="center"/>
            <w:hideMark/>
          </w:tcPr>
          <w:p w14:paraId="4CBC779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54446C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201,35</w:t>
            </w:r>
          </w:p>
        </w:tc>
        <w:tc>
          <w:tcPr>
            <w:tcW w:w="960" w:type="dxa"/>
            <w:tcBorders>
              <w:top w:val="nil"/>
              <w:left w:val="nil"/>
              <w:bottom w:val="nil"/>
              <w:right w:val="nil"/>
            </w:tcBorders>
            <w:shd w:val="clear" w:color="auto" w:fill="auto"/>
            <w:noWrap/>
            <w:vAlign w:val="center"/>
            <w:hideMark/>
          </w:tcPr>
          <w:p w14:paraId="575CFEB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0,31%</w:t>
            </w:r>
          </w:p>
        </w:tc>
        <w:tc>
          <w:tcPr>
            <w:tcW w:w="960" w:type="dxa"/>
            <w:tcBorders>
              <w:top w:val="nil"/>
              <w:left w:val="nil"/>
              <w:bottom w:val="nil"/>
              <w:right w:val="nil"/>
            </w:tcBorders>
            <w:shd w:val="clear" w:color="auto" w:fill="auto"/>
            <w:noWrap/>
            <w:vAlign w:val="bottom"/>
            <w:hideMark/>
          </w:tcPr>
          <w:p w14:paraId="25A5719A"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DD9015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C76FCA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4009-01</w:t>
            </w:r>
          </w:p>
        </w:tc>
        <w:tc>
          <w:tcPr>
            <w:tcW w:w="2380" w:type="dxa"/>
            <w:tcBorders>
              <w:top w:val="nil"/>
              <w:left w:val="nil"/>
              <w:bottom w:val="nil"/>
              <w:right w:val="nil"/>
            </w:tcBorders>
            <w:shd w:val="clear" w:color="auto" w:fill="auto"/>
            <w:noWrap/>
            <w:vAlign w:val="center"/>
            <w:hideMark/>
          </w:tcPr>
          <w:p w14:paraId="0BC8B5A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JZS gynekológia</w:t>
            </w:r>
          </w:p>
        </w:tc>
        <w:tc>
          <w:tcPr>
            <w:tcW w:w="2000" w:type="dxa"/>
            <w:tcBorders>
              <w:top w:val="nil"/>
              <w:left w:val="nil"/>
              <w:bottom w:val="nil"/>
              <w:right w:val="nil"/>
            </w:tcBorders>
            <w:shd w:val="clear" w:color="auto" w:fill="auto"/>
            <w:noWrap/>
            <w:vAlign w:val="center"/>
            <w:hideMark/>
          </w:tcPr>
          <w:p w14:paraId="2DEE30C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5D1D2A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126</w:t>
            </w:r>
          </w:p>
        </w:tc>
        <w:tc>
          <w:tcPr>
            <w:tcW w:w="960" w:type="dxa"/>
            <w:tcBorders>
              <w:top w:val="nil"/>
              <w:left w:val="nil"/>
              <w:bottom w:val="nil"/>
              <w:right w:val="nil"/>
            </w:tcBorders>
            <w:shd w:val="clear" w:color="auto" w:fill="auto"/>
            <w:noWrap/>
            <w:vAlign w:val="center"/>
            <w:hideMark/>
          </w:tcPr>
          <w:p w14:paraId="7D8A34E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0,19%</w:t>
            </w:r>
          </w:p>
        </w:tc>
        <w:tc>
          <w:tcPr>
            <w:tcW w:w="960" w:type="dxa"/>
            <w:tcBorders>
              <w:top w:val="nil"/>
              <w:left w:val="nil"/>
              <w:bottom w:val="nil"/>
              <w:right w:val="nil"/>
            </w:tcBorders>
            <w:shd w:val="clear" w:color="auto" w:fill="auto"/>
            <w:noWrap/>
            <w:vAlign w:val="bottom"/>
            <w:hideMark/>
          </w:tcPr>
          <w:p w14:paraId="3A1BF6D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AF107C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915A778"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4010-01</w:t>
            </w:r>
          </w:p>
        </w:tc>
        <w:tc>
          <w:tcPr>
            <w:tcW w:w="2380" w:type="dxa"/>
            <w:tcBorders>
              <w:top w:val="nil"/>
              <w:left w:val="nil"/>
              <w:bottom w:val="nil"/>
              <w:right w:val="nil"/>
            </w:tcBorders>
            <w:shd w:val="clear" w:color="auto" w:fill="auto"/>
            <w:noWrap/>
            <w:vAlign w:val="center"/>
            <w:hideMark/>
          </w:tcPr>
          <w:p w14:paraId="7EC6954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JZS chirurgia</w:t>
            </w:r>
          </w:p>
        </w:tc>
        <w:tc>
          <w:tcPr>
            <w:tcW w:w="2000" w:type="dxa"/>
            <w:tcBorders>
              <w:top w:val="nil"/>
              <w:left w:val="nil"/>
              <w:bottom w:val="nil"/>
              <w:right w:val="nil"/>
            </w:tcBorders>
            <w:shd w:val="clear" w:color="auto" w:fill="auto"/>
            <w:noWrap/>
            <w:vAlign w:val="center"/>
            <w:hideMark/>
          </w:tcPr>
          <w:p w14:paraId="2359100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AC954A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3,76</w:t>
            </w:r>
          </w:p>
        </w:tc>
        <w:tc>
          <w:tcPr>
            <w:tcW w:w="960" w:type="dxa"/>
            <w:tcBorders>
              <w:top w:val="nil"/>
              <w:left w:val="nil"/>
              <w:bottom w:val="nil"/>
              <w:right w:val="nil"/>
            </w:tcBorders>
            <w:shd w:val="clear" w:color="auto" w:fill="auto"/>
            <w:noWrap/>
            <w:vAlign w:val="center"/>
            <w:hideMark/>
          </w:tcPr>
          <w:p w14:paraId="08C08E2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0,01%</w:t>
            </w:r>
          </w:p>
        </w:tc>
        <w:tc>
          <w:tcPr>
            <w:tcW w:w="960" w:type="dxa"/>
            <w:tcBorders>
              <w:top w:val="nil"/>
              <w:left w:val="nil"/>
              <w:bottom w:val="nil"/>
              <w:right w:val="nil"/>
            </w:tcBorders>
            <w:shd w:val="clear" w:color="auto" w:fill="auto"/>
            <w:noWrap/>
            <w:vAlign w:val="bottom"/>
            <w:hideMark/>
          </w:tcPr>
          <w:p w14:paraId="5E19B2E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DE64BF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BC36E0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4011-01</w:t>
            </w:r>
          </w:p>
        </w:tc>
        <w:tc>
          <w:tcPr>
            <w:tcW w:w="2380" w:type="dxa"/>
            <w:tcBorders>
              <w:top w:val="nil"/>
              <w:left w:val="nil"/>
              <w:bottom w:val="nil"/>
              <w:right w:val="nil"/>
            </w:tcBorders>
            <w:shd w:val="clear" w:color="auto" w:fill="auto"/>
            <w:noWrap/>
            <w:vAlign w:val="center"/>
            <w:hideMark/>
          </w:tcPr>
          <w:p w14:paraId="0360C02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JZS ortopédia</w:t>
            </w:r>
          </w:p>
        </w:tc>
        <w:tc>
          <w:tcPr>
            <w:tcW w:w="2000" w:type="dxa"/>
            <w:tcBorders>
              <w:top w:val="nil"/>
              <w:left w:val="nil"/>
              <w:bottom w:val="nil"/>
              <w:right w:val="nil"/>
            </w:tcBorders>
            <w:shd w:val="clear" w:color="auto" w:fill="auto"/>
            <w:noWrap/>
            <w:vAlign w:val="center"/>
            <w:hideMark/>
          </w:tcPr>
          <w:p w14:paraId="31B7BE0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7101FF0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34,8</w:t>
            </w:r>
          </w:p>
        </w:tc>
        <w:tc>
          <w:tcPr>
            <w:tcW w:w="960" w:type="dxa"/>
            <w:tcBorders>
              <w:top w:val="nil"/>
              <w:left w:val="nil"/>
              <w:bottom w:val="nil"/>
              <w:right w:val="nil"/>
            </w:tcBorders>
            <w:shd w:val="clear" w:color="auto" w:fill="auto"/>
            <w:noWrap/>
            <w:vAlign w:val="center"/>
            <w:hideMark/>
          </w:tcPr>
          <w:p w14:paraId="74A1FD1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0,05%</w:t>
            </w:r>
          </w:p>
        </w:tc>
        <w:tc>
          <w:tcPr>
            <w:tcW w:w="960" w:type="dxa"/>
            <w:tcBorders>
              <w:top w:val="nil"/>
              <w:left w:val="nil"/>
              <w:bottom w:val="nil"/>
              <w:right w:val="nil"/>
            </w:tcBorders>
            <w:shd w:val="clear" w:color="auto" w:fill="auto"/>
            <w:noWrap/>
            <w:vAlign w:val="bottom"/>
            <w:hideMark/>
          </w:tcPr>
          <w:p w14:paraId="05767EA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D002185"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6FC7D58"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4012-01</w:t>
            </w:r>
          </w:p>
        </w:tc>
        <w:tc>
          <w:tcPr>
            <w:tcW w:w="2380" w:type="dxa"/>
            <w:tcBorders>
              <w:top w:val="nil"/>
              <w:left w:val="nil"/>
              <w:bottom w:val="nil"/>
              <w:right w:val="nil"/>
            </w:tcBorders>
            <w:shd w:val="clear" w:color="auto" w:fill="auto"/>
            <w:noWrap/>
            <w:vAlign w:val="center"/>
            <w:hideMark/>
          </w:tcPr>
          <w:p w14:paraId="4F61918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JZS urológia</w:t>
            </w:r>
          </w:p>
        </w:tc>
        <w:tc>
          <w:tcPr>
            <w:tcW w:w="2000" w:type="dxa"/>
            <w:tcBorders>
              <w:top w:val="nil"/>
              <w:left w:val="nil"/>
              <w:bottom w:val="nil"/>
              <w:right w:val="nil"/>
            </w:tcBorders>
            <w:shd w:val="clear" w:color="auto" w:fill="auto"/>
            <w:noWrap/>
            <w:vAlign w:val="center"/>
            <w:hideMark/>
          </w:tcPr>
          <w:p w14:paraId="6D18CBE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B53FB7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21,2</w:t>
            </w:r>
          </w:p>
        </w:tc>
        <w:tc>
          <w:tcPr>
            <w:tcW w:w="960" w:type="dxa"/>
            <w:tcBorders>
              <w:top w:val="nil"/>
              <w:left w:val="nil"/>
              <w:bottom w:val="nil"/>
              <w:right w:val="nil"/>
            </w:tcBorders>
            <w:shd w:val="clear" w:color="auto" w:fill="auto"/>
            <w:noWrap/>
            <w:vAlign w:val="center"/>
            <w:hideMark/>
          </w:tcPr>
          <w:p w14:paraId="0FE20EA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0,03%</w:t>
            </w:r>
          </w:p>
        </w:tc>
        <w:tc>
          <w:tcPr>
            <w:tcW w:w="960" w:type="dxa"/>
            <w:tcBorders>
              <w:top w:val="nil"/>
              <w:left w:val="nil"/>
              <w:bottom w:val="nil"/>
              <w:right w:val="nil"/>
            </w:tcBorders>
            <w:shd w:val="clear" w:color="auto" w:fill="auto"/>
            <w:noWrap/>
            <w:vAlign w:val="bottom"/>
            <w:hideMark/>
          </w:tcPr>
          <w:p w14:paraId="6E59904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C5F388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912DAB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4013-01</w:t>
            </w:r>
          </w:p>
        </w:tc>
        <w:tc>
          <w:tcPr>
            <w:tcW w:w="2380" w:type="dxa"/>
            <w:tcBorders>
              <w:top w:val="nil"/>
              <w:left w:val="nil"/>
              <w:bottom w:val="nil"/>
              <w:right w:val="nil"/>
            </w:tcBorders>
            <w:shd w:val="clear" w:color="auto" w:fill="auto"/>
            <w:noWrap/>
            <w:vAlign w:val="center"/>
            <w:hideMark/>
          </w:tcPr>
          <w:p w14:paraId="335E3C0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JZS </w:t>
            </w:r>
            <w:proofErr w:type="spellStart"/>
            <w:r w:rsidRPr="00E43879">
              <w:rPr>
                <w:rFonts w:ascii="Arial Narrow" w:hAnsi="Arial Narrow" w:cs="Calibri"/>
                <w:b/>
                <w:bCs/>
                <w:color w:val="000000"/>
                <w:sz w:val="20"/>
                <w:szCs w:val="20"/>
              </w:rPr>
              <w:t>úraz.chirurgia</w:t>
            </w:r>
            <w:proofErr w:type="spellEnd"/>
          </w:p>
        </w:tc>
        <w:tc>
          <w:tcPr>
            <w:tcW w:w="2000" w:type="dxa"/>
            <w:tcBorders>
              <w:top w:val="nil"/>
              <w:left w:val="nil"/>
              <w:bottom w:val="nil"/>
              <w:right w:val="nil"/>
            </w:tcBorders>
            <w:shd w:val="clear" w:color="auto" w:fill="auto"/>
            <w:noWrap/>
            <w:vAlign w:val="center"/>
            <w:hideMark/>
          </w:tcPr>
          <w:p w14:paraId="4131E1A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1AAF9A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13,82</w:t>
            </w:r>
          </w:p>
        </w:tc>
        <w:tc>
          <w:tcPr>
            <w:tcW w:w="960" w:type="dxa"/>
            <w:tcBorders>
              <w:top w:val="nil"/>
              <w:left w:val="nil"/>
              <w:bottom w:val="nil"/>
              <w:right w:val="nil"/>
            </w:tcBorders>
            <w:shd w:val="clear" w:color="auto" w:fill="auto"/>
            <w:noWrap/>
            <w:vAlign w:val="center"/>
            <w:hideMark/>
          </w:tcPr>
          <w:p w14:paraId="0738F6D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2F61F77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792C47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C08FBB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4014-01</w:t>
            </w:r>
          </w:p>
        </w:tc>
        <w:tc>
          <w:tcPr>
            <w:tcW w:w="2380" w:type="dxa"/>
            <w:tcBorders>
              <w:top w:val="nil"/>
              <w:left w:val="nil"/>
              <w:bottom w:val="nil"/>
              <w:right w:val="nil"/>
            </w:tcBorders>
            <w:shd w:val="clear" w:color="auto" w:fill="auto"/>
            <w:noWrap/>
            <w:vAlign w:val="center"/>
            <w:hideMark/>
          </w:tcPr>
          <w:p w14:paraId="0FACB54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JZS </w:t>
            </w:r>
            <w:proofErr w:type="spellStart"/>
            <w:r w:rsidRPr="00E43879">
              <w:rPr>
                <w:rFonts w:ascii="Arial Narrow" w:hAnsi="Arial Narrow" w:cs="Calibri"/>
                <w:b/>
                <w:bCs/>
                <w:color w:val="000000"/>
                <w:sz w:val="20"/>
                <w:szCs w:val="20"/>
              </w:rPr>
              <w:t>otorinolaryngológia</w:t>
            </w:r>
            <w:proofErr w:type="spellEnd"/>
          </w:p>
        </w:tc>
        <w:tc>
          <w:tcPr>
            <w:tcW w:w="2000" w:type="dxa"/>
            <w:tcBorders>
              <w:top w:val="nil"/>
              <w:left w:val="nil"/>
              <w:bottom w:val="nil"/>
              <w:right w:val="nil"/>
            </w:tcBorders>
            <w:shd w:val="clear" w:color="auto" w:fill="auto"/>
            <w:noWrap/>
            <w:vAlign w:val="center"/>
            <w:hideMark/>
          </w:tcPr>
          <w:p w14:paraId="6FB347E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4BDB0E7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594,46</w:t>
            </w:r>
          </w:p>
        </w:tc>
        <w:tc>
          <w:tcPr>
            <w:tcW w:w="960" w:type="dxa"/>
            <w:tcBorders>
              <w:top w:val="nil"/>
              <w:left w:val="nil"/>
              <w:bottom w:val="nil"/>
              <w:right w:val="nil"/>
            </w:tcBorders>
            <w:shd w:val="clear" w:color="auto" w:fill="auto"/>
            <w:noWrap/>
            <w:vAlign w:val="center"/>
            <w:hideMark/>
          </w:tcPr>
          <w:p w14:paraId="2DC79EA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0,91%</w:t>
            </w:r>
          </w:p>
        </w:tc>
        <w:tc>
          <w:tcPr>
            <w:tcW w:w="960" w:type="dxa"/>
            <w:tcBorders>
              <w:top w:val="nil"/>
              <w:left w:val="nil"/>
              <w:bottom w:val="nil"/>
              <w:right w:val="nil"/>
            </w:tcBorders>
            <w:shd w:val="clear" w:color="auto" w:fill="auto"/>
            <w:noWrap/>
            <w:vAlign w:val="bottom"/>
            <w:hideMark/>
          </w:tcPr>
          <w:p w14:paraId="5E1E9DA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9CCC30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488F1C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4015-01</w:t>
            </w:r>
          </w:p>
        </w:tc>
        <w:tc>
          <w:tcPr>
            <w:tcW w:w="2380" w:type="dxa"/>
            <w:tcBorders>
              <w:top w:val="nil"/>
              <w:left w:val="nil"/>
              <w:bottom w:val="nil"/>
              <w:right w:val="nil"/>
            </w:tcBorders>
            <w:shd w:val="clear" w:color="auto" w:fill="auto"/>
            <w:noWrap/>
            <w:vAlign w:val="center"/>
            <w:hideMark/>
          </w:tcPr>
          <w:p w14:paraId="04B087F6"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JZS </w:t>
            </w:r>
            <w:proofErr w:type="spellStart"/>
            <w:r w:rsidRPr="00E43879">
              <w:rPr>
                <w:rFonts w:ascii="Arial Narrow" w:hAnsi="Arial Narrow" w:cs="Calibri"/>
                <w:b/>
                <w:bCs/>
                <w:color w:val="000000"/>
                <w:sz w:val="20"/>
                <w:szCs w:val="20"/>
              </w:rPr>
              <w:t>oftalmológia</w:t>
            </w:r>
            <w:proofErr w:type="spellEnd"/>
          </w:p>
        </w:tc>
        <w:tc>
          <w:tcPr>
            <w:tcW w:w="2000" w:type="dxa"/>
            <w:tcBorders>
              <w:top w:val="nil"/>
              <w:left w:val="nil"/>
              <w:bottom w:val="nil"/>
              <w:right w:val="nil"/>
            </w:tcBorders>
            <w:shd w:val="clear" w:color="auto" w:fill="auto"/>
            <w:noWrap/>
            <w:vAlign w:val="center"/>
            <w:hideMark/>
          </w:tcPr>
          <w:p w14:paraId="035C96F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1218A78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152,3</w:t>
            </w:r>
          </w:p>
        </w:tc>
        <w:tc>
          <w:tcPr>
            <w:tcW w:w="960" w:type="dxa"/>
            <w:tcBorders>
              <w:top w:val="nil"/>
              <w:left w:val="nil"/>
              <w:bottom w:val="nil"/>
              <w:right w:val="nil"/>
            </w:tcBorders>
            <w:shd w:val="clear" w:color="auto" w:fill="auto"/>
            <w:noWrap/>
            <w:vAlign w:val="center"/>
            <w:hideMark/>
          </w:tcPr>
          <w:p w14:paraId="56E07E9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0,23%</w:t>
            </w:r>
          </w:p>
        </w:tc>
        <w:tc>
          <w:tcPr>
            <w:tcW w:w="960" w:type="dxa"/>
            <w:tcBorders>
              <w:top w:val="nil"/>
              <w:left w:val="nil"/>
              <w:bottom w:val="nil"/>
              <w:right w:val="nil"/>
            </w:tcBorders>
            <w:shd w:val="clear" w:color="auto" w:fill="auto"/>
            <w:noWrap/>
            <w:vAlign w:val="bottom"/>
            <w:hideMark/>
          </w:tcPr>
          <w:p w14:paraId="7D64A9A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FC87C6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F63DF3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4048-01</w:t>
            </w:r>
          </w:p>
        </w:tc>
        <w:tc>
          <w:tcPr>
            <w:tcW w:w="2380" w:type="dxa"/>
            <w:tcBorders>
              <w:top w:val="nil"/>
              <w:left w:val="nil"/>
              <w:bottom w:val="nil"/>
              <w:right w:val="nil"/>
            </w:tcBorders>
            <w:shd w:val="clear" w:color="auto" w:fill="auto"/>
            <w:noWrap/>
            <w:vAlign w:val="center"/>
            <w:hideMark/>
          </w:tcPr>
          <w:p w14:paraId="1576B60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JZS </w:t>
            </w:r>
            <w:proofErr w:type="spellStart"/>
            <w:r w:rsidRPr="00E43879">
              <w:rPr>
                <w:rFonts w:ascii="Arial Narrow" w:hAnsi="Arial Narrow" w:cs="Calibri"/>
                <w:b/>
                <w:bCs/>
                <w:color w:val="000000"/>
                <w:sz w:val="20"/>
                <w:szCs w:val="20"/>
              </w:rPr>
              <w:t>gastro</w:t>
            </w:r>
            <w:proofErr w:type="spellEnd"/>
          </w:p>
        </w:tc>
        <w:tc>
          <w:tcPr>
            <w:tcW w:w="2000" w:type="dxa"/>
            <w:tcBorders>
              <w:top w:val="nil"/>
              <w:left w:val="nil"/>
              <w:bottom w:val="nil"/>
              <w:right w:val="nil"/>
            </w:tcBorders>
            <w:shd w:val="clear" w:color="auto" w:fill="auto"/>
            <w:noWrap/>
            <w:vAlign w:val="center"/>
            <w:hideMark/>
          </w:tcPr>
          <w:p w14:paraId="063289E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BE14ED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w:t>
            </w:r>
          </w:p>
        </w:tc>
        <w:tc>
          <w:tcPr>
            <w:tcW w:w="960" w:type="dxa"/>
            <w:tcBorders>
              <w:top w:val="nil"/>
              <w:left w:val="nil"/>
              <w:bottom w:val="nil"/>
              <w:right w:val="nil"/>
            </w:tcBorders>
            <w:shd w:val="clear" w:color="auto" w:fill="auto"/>
            <w:noWrap/>
            <w:vAlign w:val="center"/>
            <w:hideMark/>
          </w:tcPr>
          <w:p w14:paraId="6D9970F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32902AD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75780B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95976C0"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5023-01</w:t>
            </w:r>
          </w:p>
        </w:tc>
        <w:tc>
          <w:tcPr>
            <w:tcW w:w="2380" w:type="dxa"/>
            <w:tcBorders>
              <w:top w:val="nil"/>
              <w:left w:val="nil"/>
              <w:bottom w:val="nil"/>
              <w:right w:val="nil"/>
            </w:tcBorders>
            <w:shd w:val="clear" w:color="auto" w:fill="auto"/>
            <w:noWrap/>
            <w:vAlign w:val="center"/>
            <w:hideMark/>
          </w:tcPr>
          <w:p w14:paraId="682D7CD6"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Rtg-skiask</w:t>
            </w:r>
            <w:proofErr w:type="spellEnd"/>
            <w:r w:rsidRPr="00E43879">
              <w:rPr>
                <w:rFonts w:ascii="Arial Narrow" w:hAnsi="Arial Narrow" w:cs="Calibri"/>
                <w:b/>
                <w:bCs/>
                <w:color w:val="000000"/>
                <w:sz w:val="20"/>
                <w:szCs w:val="20"/>
              </w:rPr>
              <w:t>. výkony</w:t>
            </w:r>
          </w:p>
        </w:tc>
        <w:tc>
          <w:tcPr>
            <w:tcW w:w="2000" w:type="dxa"/>
            <w:tcBorders>
              <w:top w:val="nil"/>
              <w:left w:val="nil"/>
              <w:bottom w:val="nil"/>
              <w:right w:val="nil"/>
            </w:tcBorders>
            <w:shd w:val="clear" w:color="auto" w:fill="auto"/>
            <w:noWrap/>
            <w:vAlign w:val="center"/>
            <w:hideMark/>
          </w:tcPr>
          <w:p w14:paraId="341B1CD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F2D808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1 582,55</w:t>
            </w:r>
          </w:p>
        </w:tc>
        <w:tc>
          <w:tcPr>
            <w:tcW w:w="960" w:type="dxa"/>
            <w:tcBorders>
              <w:top w:val="nil"/>
              <w:left w:val="nil"/>
              <w:bottom w:val="nil"/>
              <w:right w:val="nil"/>
            </w:tcBorders>
            <w:shd w:val="clear" w:color="auto" w:fill="auto"/>
            <w:noWrap/>
            <w:vAlign w:val="center"/>
            <w:hideMark/>
          </w:tcPr>
          <w:p w14:paraId="5FA8858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2,43%</w:t>
            </w:r>
          </w:p>
        </w:tc>
        <w:tc>
          <w:tcPr>
            <w:tcW w:w="960" w:type="dxa"/>
            <w:tcBorders>
              <w:top w:val="nil"/>
              <w:left w:val="nil"/>
              <w:bottom w:val="nil"/>
              <w:right w:val="nil"/>
            </w:tcBorders>
            <w:shd w:val="clear" w:color="auto" w:fill="auto"/>
            <w:noWrap/>
            <w:vAlign w:val="bottom"/>
            <w:hideMark/>
          </w:tcPr>
          <w:p w14:paraId="5F172E4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954C9C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2F27A7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5027-01</w:t>
            </w:r>
          </w:p>
        </w:tc>
        <w:tc>
          <w:tcPr>
            <w:tcW w:w="2380" w:type="dxa"/>
            <w:tcBorders>
              <w:top w:val="nil"/>
              <w:left w:val="nil"/>
              <w:bottom w:val="nil"/>
              <w:right w:val="nil"/>
            </w:tcBorders>
            <w:shd w:val="clear" w:color="auto" w:fill="auto"/>
            <w:noWrap/>
            <w:vAlign w:val="center"/>
            <w:hideMark/>
          </w:tcPr>
          <w:p w14:paraId="7B50528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FBLR </w:t>
            </w:r>
            <w:proofErr w:type="spellStart"/>
            <w:r w:rsidRPr="00E43879">
              <w:rPr>
                <w:rFonts w:ascii="Arial Narrow" w:hAnsi="Arial Narrow" w:cs="Calibri"/>
                <w:b/>
                <w:bCs/>
                <w:color w:val="000000"/>
                <w:sz w:val="20"/>
                <w:szCs w:val="20"/>
              </w:rPr>
              <w:t>SVaLZ+amb</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537C2E6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E0D52B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1 373,80</w:t>
            </w:r>
          </w:p>
        </w:tc>
        <w:tc>
          <w:tcPr>
            <w:tcW w:w="960" w:type="dxa"/>
            <w:tcBorders>
              <w:top w:val="nil"/>
              <w:left w:val="nil"/>
              <w:bottom w:val="nil"/>
              <w:right w:val="nil"/>
            </w:tcBorders>
            <w:shd w:val="clear" w:color="auto" w:fill="auto"/>
            <w:noWrap/>
            <w:vAlign w:val="center"/>
            <w:hideMark/>
          </w:tcPr>
          <w:p w14:paraId="402B889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2,11%</w:t>
            </w:r>
          </w:p>
        </w:tc>
        <w:tc>
          <w:tcPr>
            <w:tcW w:w="960" w:type="dxa"/>
            <w:tcBorders>
              <w:top w:val="nil"/>
              <w:left w:val="nil"/>
              <w:bottom w:val="nil"/>
              <w:right w:val="nil"/>
            </w:tcBorders>
            <w:shd w:val="clear" w:color="auto" w:fill="auto"/>
            <w:noWrap/>
            <w:vAlign w:val="bottom"/>
            <w:hideMark/>
          </w:tcPr>
          <w:p w14:paraId="61237BE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8E4F3C0"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4CD72A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lastRenderedPageBreak/>
              <w:t>5029-01</w:t>
            </w:r>
          </w:p>
        </w:tc>
        <w:tc>
          <w:tcPr>
            <w:tcW w:w="2380" w:type="dxa"/>
            <w:tcBorders>
              <w:top w:val="nil"/>
              <w:left w:val="nil"/>
              <w:bottom w:val="nil"/>
              <w:right w:val="nil"/>
            </w:tcBorders>
            <w:shd w:val="clear" w:color="auto" w:fill="auto"/>
            <w:noWrap/>
            <w:vAlign w:val="center"/>
            <w:hideMark/>
          </w:tcPr>
          <w:p w14:paraId="48B3E2E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Patologická anatómia</w:t>
            </w:r>
          </w:p>
        </w:tc>
        <w:tc>
          <w:tcPr>
            <w:tcW w:w="2000" w:type="dxa"/>
            <w:tcBorders>
              <w:top w:val="nil"/>
              <w:left w:val="nil"/>
              <w:bottom w:val="nil"/>
              <w:right w:val="nil"/>
            </w:tcBorders>
            <w:shd w:val="clear" w:color="auto" w:fill="auto"/>
            <w:noWrap/>
            <w:vAlign w:val="center"/>
            <w:hideMark/>
          </w:tcPr>
          <w:p w14:paraId="3813C1C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8FCF82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1 329,05</w:t>
            </w:r>
          </w:p>
        </w:tc>
        <w:tc>
          <w:tcPr>
            <w:tcW w:w="960" w:type="dxa"/>
            <w:tcBorders>
              <w:top w:val="nil"/>
              <w:left w:val="nil"/>
              <w:bottom w:val="nil"/>
              <w:right w:val="nil"/>
            </w:tcBorders>
            <w:shd w:val="clear" w:color="auto" w:fill="auto"/>
            <w:noWrap/>
            <w:vAlign w:val="center"/>
            <w:hideMark/>
          </w:tcPr>
          <w:p w14:paraId="4BC8F7B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2,04%</w:t>
            </w:r>
          </w:p>
        </w:tc>
        <w:tc>
          <w:tcPr>
            <w:tcW w:w="960" w:type="dxa"/>
            <w:tcBorders>
              <w:top w:val="nil"/>
              <w:left w:val="nil"/>
              <w:bottom w:val="nil"/>
              <w:right w:val="nil"/>
            </w:tcBorders>
            <w:shd w:val="clear" w:color="auto" w:fill="auto"/>
            <w:noWrap/>
            <w:vAlign w:val="bottom"/>
            <w:hideMark/>
          </w:tcPr>
          <w:p w14:paraId="77D3F18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58221C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267D96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5031-01</w:t>
            </w:r>
          </w:p>
        </w:tc>
        <w:tc>
          <w:tcPr>
            <w:tcW w:w="2380" w:type="dxa"/>
            <w:tcBorders>
              <w:top w:val="nil"/>
              <w:left w:val="nil"/>
              <w:bottom w:val="nil"/>
              <w:right w:val="nil"/>
            </w:tcBorders>
            <w:shd w:val="clear" w:color="auto" w:fill="auto"/>
            <w:noWrap/>
            <w:vAlign w:val="center"/>
            <w:hideMark/>
          </w:tcPr>
          <w:p w14:paraId="050C174B"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Hemat</w:t>
            </w:r>
            <w:proofErr w:type="spellEnd"/>
            <w:r w:rsidRPr="00E43879">
              <w:rPr>
                <w:rFonts w:ascii="Arial Narrow" w:hAnsi="Arial Narrow" w:cs="Calibri"/>
                <w:b/>
                <w:bCs/>
                <w:color w:val="000000"/>
                <w:sz w:val="20"/>
                <w:szCs w:val="20"/>
              </w:rPr>
              <w:t xml:space="preserve">. a </w:t>
            </w:r>
            <w:proofErr w:type="spellStart"/>
            <w:r w:rsidRPr="00E43879">
              <w:rPr>
                <w:rFonts w:ascii="Arial Narrow" w:hAnsi="Arial Narrow" w:cs="Calibri"/>
                <w:b/>
                <w:bCs/>
                <w:color w:val="000000"/>
                <w:sz w:val="20"/>
                <w:szCs w:val="20"/>
              </w:rPr>
              <w:t>transf</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SVaLZ</w:t>
            </w:r>
            <w:proofErr w:type="spellEnd"/>
          </w:p>
        </w:tc>
        <w:tc>
          <w:tcPr>
            <w:tcW w:w="2000" w:type="dxa"/>
            <w:tcBorders>
              <w:top w:val="nil"/>
              <w:left w:val="nil"/>
              <w:bottom w:val="nil"/>
              <w:right w:val="nil"/>
            </w:tcBorders>
            <w:shd w:val="clear" w:color="auto" w:fill="auto"/>
            <w:noWrap/>
            <w:vAlign w:val="center"/>
            <w:hideMark/>
          </w:tcPr>
          <w:p w14:paraId="3BE647A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0C5890D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250,13</w:t>
            </w:r>
          </w:p>
        </w:tc>
        <w:tc>
          <w:tcPr>
            <w:tcW w:w="960" w:type="dxa"/>
            <w:tcBorders>
              <w:top w:val="nil"/>
              <w:left w:val="nil"/>
              <w:bottom w:val="nil"/>
              <w:right w:val="nil"/>
            </w:tcBorders>
            <w:shd w:val="clear" w:color="auto" w:fill="auto"/>
            <w:noWrap/>
            <w:vAlign w:val="center"/>
            <w:hideMark/>
          </w:tcPr>
          <w:p w14:paraId="3CBA400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0,38%</w:t>
            </w:r>
          </w:p>
        </w:tc>
        <w:tc>
          <w:tcPr>
            <w:tcW w:w="960" w:type="dxa"/>
            <w:tcBorders>
              <w:top w:val="nil"/>
              <w:left w:val="nil"/>
              <w:bottom w:val="nil"/>
              <w:right w:val="nil"/>
            </w:tcBorders>
            <w:shd w:val="clear" w:color="auto" w:fill="auto"/>
            <w:noWrap/>
            <w:vAlign w:val="bottom"/>
            <w:hideMark/>
          </w:tcPr>
          <w:p w14:paraId="5037534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56B5EB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C57CE5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5043-01</w:t>
            </w:r>
          </w:p>
        </w:tc>
        <w:tc>
          <w:tcPr>
            <w:tcW w:w="2380" w:type="dxa"/>
            <w:tcBorders>
              <w:top w:val="nil"/>
              <w:left w:val="nil"/>
              <w:bottom w:val="nil"/>
              <w:right w:val="nil"/>
            </w:tcBorders>
            <w:shd w:val="clear" w:color="auto" w:fill="auto"/>
            <w:noWrap/>
            <w:vAlign w:val="center"/>
            <w:hideMark/>
          </w:tcPr>
          <w:p w14:paraId="6F9334F8"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Rad.onkológia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SVaLZ</w:t>
            </w:r>
            <w:proofErr w:type="spellEnd"/>
          </w:p>
        </w:tc>
        <w:tc>
          <w:tcPr>
            <w:tcW w:w="2000" w:type="dxa"/>
            <w:tcBorders>
              <w:top w:val="nil"/>
              <w:left w:val="nil"/>
              <w:bottom w:val="nil"/>
              <w:right w:val="nil"/>
            </w:tcBorders>
            <w:shd w:val="clear" w:color="auto" w:fill="auto"/>
            <w:noWrap/>
            <w:vAlign w:val="center"/>
            <w:hideMark/>
          </w:tcPr>
          <w:p w14:paraId="7D6400B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07D02D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695,9</w:t>
            </w:r>
          </w:p>
        </w:tc>
        <w:tc>
          <w:tcPr>
            <w:tcW w:w="960" w:type="dxa"/>
            <w:tcBorders>
              <w:top w:val="nil"/>
              <w:left w:val="nil"/>
              <w:bottom w:val="nil"/>
              <w:right w:val="nil"/>
            </w:tcBorders>
            <w:shd w:val="clear" w:color="auto" w:fill="auto"/>
            <w:noWrap/>
            <w:vAlign w:val="center"/>
            <w:hideMark/>
          </w:tcPr>
          <w:p w14:paraId="56E2C42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1,07%</w:t>
            </w:r>
          </w:p>
        </w:tc>
        <w:tc>
          <w:tcPr>
            <w:tcW w:w="960" w:type="dxa"/>
            <w:tcBorders>
              <w:top w:val="nil"/>
              <w:left w:val="nil"/>
              <w:bottom w:val="nil"/>
              <w:right w:val="nil"/>
            </w:tcBorders>
            <w:shd w:val="clear" w:color="auto" w:fill="auto"/>
            <w:noWrap/>
            <w:vAlign w:val="bottom"/>
            <w:hideMark/>
          </w:tcPr>
          <w:p w14:paraId="548BE20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679B591"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31D7E7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5062-01</w:t>
            </w:r>
          </w:p>
        </w:tc>
        <w:tc>
          <w:tcPr>
            <w:tcW w:w="2380" w:type="dxa"/>
            <w:tcBorders>
              <w:top w:val="nil"/>
              <w:left w:val="nil"/>
              <w:bottom w:val="nil"/>
              <w:right w:val="nil"/>
            </w:tcBorders>
            <w:shd w:val="clear" w:color="auto" w:fill="auto"/>
            <w:noWrap/>
            <w:vAlign w:val="center"/>
            <w:hideMark/>
          </w:tcPr>
          <w:p w14:paraId="2D88F82A"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Lek.genetika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SVaLZ</w:t>
            </w:r>
            <w:proofErr w:type="spellEnd"/>
          </w:p>
        </w:tc>
        <w:tc>
          <w:tcPr>
            <w:tcW w:w="2000" w:type="dxa"/>
            <w:tcBorders>
              <w:top w:val="nil"/>
              <w:left w:val="nil"/>
              <w:bottom w:val="nil"/>
              <w:right w:val="nil"/>
            </w:tcBorders>
            <w:shd w:val="clear" w:color="auto" w:fill="auto"/>
            <w:noWrap/>
            <w:vAlign w:val="center"/>
            <w:hideMark/>
          </w:tcPr>
          <w:p w14:paraId="7AA53CC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01A3A4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51,89</w:t>
            </w:r>
          </w:p>
        </w:tc>
        <w:tc>
          <w:tcPr>
            <w:tcW w:w="960" w:type="dxa"/>
            <w:tcBorders>
              <w:top w:val="nil"/>
              <w:left w:val="nil"/>
              <w:bottom w:val="nil"/>
              <w:right w:val="nil"/>
            </w:tcBorders>
            <w:shd w:val="clear" w:color="auto" w:fill="auto"/>
            <w:noWrap/>
            <w:vAlign w:val="center"/>
            <w:hideMark/>
          </w:tcPr>
          <w:p w14:paraId="793A531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0,08%</w:t>
            </w:r>
          </w:p>
        </w:tc>
        <w:tc>
          <w:tcPr>
            <w:tcW w:w="960" w:type="dxa"/>
            <w:tcBorders>
              <w:top w:val="nil"/>
              <w:left w:val="nil"/>
              <w:bottom w:val="nil"/>
              <w:right w:val="nil"/>
            </w:tcBorders>
            <w:shd w:val="clear" w:color="auto" w:fill="auto"/>
            <w:noWrap/>
            <w:vAlign w:val="bottom"/>
            <w:hideMark/>
          </w:tcPr>
          <w:p w14:paraId="4D92740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4D6A07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63735A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5186-01</w:t>
            </w:r>
          </w:p>
        </w:tc>
        <w:tc>
          <w:tcPr>
            <w:tcW w:w="2380" w:type="dxa"/>
            <w:tcBorders>
              <w:top w:val="nil"/>
              <w:left w:val="nil"/>
              <w:bottom w:val="nil"/>
              <w:right w:val="nil"/>
            </w:tcBorders>
            <w:shd w:val="clear" w:color="auto" w:fill="auto"/>
            <w:noWrap/>
            <w:vAlign w:val="center"/>
            <w:hideMark/>
          </w:tcPr>
          <w:p w14:paraId="0F12D19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Centrálna sterilizácia</w:t>
            </w:r>
          </w:p>
        </w:tc>
        <w:tc>
          <w:tcPr>
            <w:tcW w:w="2000" w:type="dxa"/>
            <w:tcBorders>
              <w:top w:val="nil"/>
              <w:left w:val="nil"/>
              <w:bottom w:val="nil"/>
              <w:right w:val="nil"/>
            </w:tcBorders>
            <w:shd w:val="clear" w:color="auto" w:fill="auto"/>
            <w:noWrap/>
            <w:vAlign w:val="center"/>
            <w:hideMark/>
          </w:tcPr>
          <w:p w14:paraId="5FFF59F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22BE10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422,6</w:t>
            </w:r>
          </w:p>
        </w:tc>
        <w:tc>
          <w:tcPr>
            <w:tcW w:w="960" w:type="dxa"/>
            <w:tcBorders>
              <w:top w:val="nil"/>
              <w:left w:val="nil"/>
              <w:bottom w:val="nil"/>
              <w:right w:val="nil"/>
            </w:tcBorders>
            <w:shd w:val="clear" w:color="auto" w:fill="auto"/>
            <w:noWrap/>
            <w:vAlign w:val="center"/>
            <w:hideMark/>
          </w:tcPr>
          <w:p w14:paraId="4863AFA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0,65%</w:t>
            </w:r>
          </w:p>
        </w:tc>
        <w:tc>
          <w:tcPr>
            <w:tcW w:w="960" w:type="dxa"/>
            <w:tcBorders>
              <w:top w:val="nil"/>
              <w:left w:val="nil"/>
              <w:bottom w:val="nil"/>
              <w:right w:val="nil"/>
            </w:tcBorders>
            <w:shd w:val="clear" w:color="auto" w:fill="auto"/>
            <w:noWrap/>
            <w:vAlign w:val="bottom"/>
            <w:hideMark/>
          </w:tcPr>
          <w:p w14:paraId="3355FCF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0FFE4F8"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8D7D8E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5187-01</w:t>
            </w:r>
          </w:p>
        </w:tc>
        <w:tc>
          <w:tcPr>
            <w:tcW w:w="2380" w:type="dxa"/>
            <w:tcBorders>
              <w:top w:val="nil"/>
              <w:left w:val="nil"/>
              <w:bottom w:val="nil"/>
              <w:right w:val="nil"/>
            </w:tcBorders>
            <w:shd w:val="clear" w:color="auto" w:fill="auto"/>
            <w:noWrap/>
            <w:vAlign w:val="center"/>
            <w:hideMark/>
          </w:tcPr>
          <w:p w14:paraId="4BA96C5D"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Medic.informat.a</w:t>
            </w:r>
            <w:proofErr w:type="spellEnd"/>
            <w:r w:rsidRPr="00E43879">
              <w:rPr>
                <w:rFonts w:ascii="Arial Narrow" w:hAnsi="Arial Narrow" w:cs="Calibri"/>
                <w:b/>
                <w:bCs/>
                <w:color w:val="000000"/>
                <w:sz w:val="20"/>
                <w:szCs w:val="20"/>
              </w:rPr>
              <w:t xml:space="preserve"> bios.</w:t>
            </w:r>
          </w:p>
        </w:tc>
        <w:tc>
          <w:tcPr>
            <w:tcW w:w="2000" w:type="dxa"/>
            <w:tcBorders>
              <w:top w:val="nil"/>
              <w:left w:val="nil"/>
              <w:bottom w:val="nil"/>
              <w:right w:val="nil"/>
            </w:tcBorders>
            <w:shd w:val="clear" w:color="auto" w:fill="auto"/>
            <w:noWrap/>
            <w:vAlign w:val="center"/>
            <w:hideMark/>
          </w:tcPr>
          <w:p w14:paraId="3DAF001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DA2E65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166,46</w:t>
            </w:r>
          </w:p>
        </w:tc>
        <w:tc>
          <w:tcPr>
            <w:tcW w:w="960" w:type="dxa"/>
            <w:tcBorders>
              <w:top w:val="nil"/>
              <w:left w:val="nil"/>
              <w:bottom w:val="nil"/>
              <w:right w:val="nil"/>
            </w:tcBorders>
            <w:shd w:val="clear" w:color="auto" w:fill="auto"/>
            <w:noWrap/>
            <w:vAlign w:val="center"/>
            <w:hideMark/>
          </w:tcPr>
          <w:p w14:paraId="6D6C7B96"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0,26%</w:t>
            </w:r>
          </w:p>
        </w:tc>
        <w:tc>
          <w:tcPr>
            <w:tcW w:w="960" w:type="dxa"/>
            <w:tcBorders>
              <w:top w:val="nil"/>
              <w:left w:val="nil"/>
              <w:bottom w:val="nil"/>
              <w:right w:val="nil"/>
            </w:tcBorders>
            <w:shd w:val="clear" w:color="auto" w:fill="auto"/>
            <w:noWrap/>
            <w:vAlign w:val="bottom"/>
            <w:hideMark/>
          </w:tcPr>
          <w:p w14:paraId="75CE28C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34E63B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3FF9CE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5187-02</w:t>
            </w:r>
          </w:p>
        </w:tc>
        <w:tc>
          <w:tcPr>
            <w:tcW w:w="2380" w:type="dxa"/>
            <w:tcBorders>
              <w:top w:val="nil"/>
              <w:left w:val="nil"/>
              <w:bottom w:val="nil"/>
              <w:right w:val="nil"/>
            </w:tcBorders>
            <w:shd w:val="clear" w:color="auto" w:fill="auto"/>
            <w:noWrap/>
            <w:vAlign w:val="center"/>
            <w:hideMark/>
          </w:tcPr>
          <w:p w14:paraId="3032A368"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Med.inf.a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biost</w:t>
            </w:r>
            <w:proofErr w:type="spellEnd"/>
            <w:r w:rsidRPr="00E43879">
              <w:rPr>
                <w:rFonts w:ascii="Arial Narrow" w:hAnsi="Arial Narrow" w:cs="Calibri"/>
                <w:b/>
                <w:bCs/>
                <w:color w:val="000000"/>
                <w:sz w:val="20"/>
                <w:szCs w:val="20"/>
              </w:rPr>
              <w:t>.-pľúcna</w:t>
            </w:r>
          </w:p>
        </w:tc>
        <w:tc>
          <w:tcPr>
            <w:tcW w:w="2000" w:type="dxa"/>
            <w:tcBorders>
              <w:top w:val="nil"/>
              <w:left w:val="nil"/>
              <w:bottom w:val="nil"/>
              <w:right w:val="nil"/>
            </w:tcBorders>
            <w:shd w:val="clear" w:color="auto" w:fill="auto"/>
            <w:noWrap/>
            <w:vAlign w:val="center"/>
            <w:hideMark/>
          </w:tcPr>
          <w:p w14:paraId="21B3A43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3AFF793"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39,9</w:t>
            </w:r>
          </w:p>
        </w:tc>
        <w:tc>
          <w:tcPr>
            <w:tcW w:w="960" w:type="dxa"/>
            <w:tcBorders>
              <w:top w:val="nil"/>
              <w:left w:val="nil"/>
              <w:bottom w:val="nil"/>
              <w:right w:val="nil"/>
            </w:tcBorders>
            <w:shd w:val="clear" w:color="auto" w:fill="auto"/>
            <w:noWrap/>
            <w:vAlign w:val="center"/>
            <w:hideMark/>
          </w:tcPr>
          <w:p w14:paraId="10B9863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0,06%</w:t>
            </w:r>
          </w:p>
        </w:tc>
        <w:tc>
          <w:tcPr>
            <w:tcW w:w="960" w:type="dxa"/>
            <w:tcBorders>
              <w:top w:val="nil"/>
              <w:left w:val="nil"/>
              <w:bottom w:val="nil"/>
              <w:right w:val="nil"/>
            </w:tcBorders>
            <w:shd w:val="clear" w:color="auto" w:fill="auto"/>
            <w:noWrap/>
            <w:vAlign w:val="bottom"/>
            <w:hideMark/>
          </w:tcPr>
          <w:p w14:paraId="385EAE3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0088051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1539D33"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5218-01</w:t>
            </w:r>
          </w:p>
        </w:tc>
        <w:tc>
          <w:tcPr>
            <w:tcW w:w="2380" w:type="dxa"/>
            <w:tcBorders>
              <w:top w:val="nil"/>
              <w:left w:val="nil"/>
              <w:bottom w:val="nil"/>
              <w:right w:val="nil"/>
            </w:tcBorders>
            <w:shd w:val="clear" w:color="auto" w:fill="auto"/>
            <w:noWrap/>
            <w:vAlign w:val="center"/>
            <w:hideMark/>
          </w:tcPr>
          <w:p w14:paraId="4FC278D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Krvná banka</w:t>
            </w:r>
          </w:p>
        </w:tc>
        <w:tc>
          <w:tcPr>
            <w:tcW w:w="2000" w:type="dxa"/>
            <w:tcBorders>
              <w:top w:val="nil"/>
              <w:left w:val="nil"/>
              <w:bottom w:val="nil"/>
              <w:right w:val="nil"/>
            </w:tcBorders>
            <w:shd w:val="clear" w:color="auto" w:fill="auto"/>
            <w:noWrap/>
            <w:vAlign w:val="center"/>
            <w:hideMark/>
          </w:tcPr>
          <w:p w14:paraId="72A24BE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5746FCE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74,4</w:t>
            </w:r>
          </w:p>
        </w:tc>
        <w:tc>
          <w:tcPr>
            <w:tcW w:w="960" w:type="dxa"/>
            <w:tcBorders>
              <w:top w:val="nil"/>
              <w:left w:val="nil"/>
              <w:bottom w:val="nil"/>
              <w:right w:val="nil"/>
            </w:tcBorders>
            <w:shd w:val="clear" w:color="auto" w:fill="auto"/>
            <w:noWrap/>
            <w:vAlign w:val="center"/>
            <w:hideMark/>
          </w:tcPr>
          <w:p w14:paraId="5960892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0,11%</w:t>
            </w:r>
          </w:p>
        </w:tc>
        <w:tc>
          <w:tcPr>
            <w:tcW w:w="960" w:type="dxa"/>
            <w:tcBorders>
              <w:top w:val="nil"/>
              <w:left w:val="nil"/>
              <w:bottom w:val="nil"/>
              <w:right w:val="nil"/>
            </w:tcBorders>
            <w:shd w:val="clear" w:color="auto" w:fill="auto"/>
            <w:noWrap/>
            <w:vAlign w:val="bottom"/>
            <w:hideMark/>
          </w:tcPr>
          <w:p w14:paraId="677B4EB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44A06D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D3752A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5247-01</w:t>
            </w:r>
          </w:p>
        </w:tc>
        <w:tc>
          <w:tcPr>
            <w:tcW w:w="2380" w:type="dxa"/>
            <w:tcBorders>
              <w:top w:val="nil"/>
              <w:left w:val="nil"/>
              <w:bottom w:val="nil"/>
              <w:right w:val="nil"/>
            </w:tcBorders>
            <w:shd w:val="clear" w:color="auto" w:fill="auto"/>
            <w:noWrap/>
            <w:vAlign w:val="center"/>
            <w:hideMark/>
          </w:tcPr>
          <w:p w14:paraId="4E6B166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UZV v gynekológii</w:t>
            </w:r>
          </w:p>
        </w:tc>
        <w:tc>
          <w:tcPr>
            <w:tcW w:w="2000" w:type="dxa"/>
            <w:tcBorders>
              <w:top w:val="nil"/>
              <w:left w:val="nil"/>
              <w:bottom w:val="nil"/>
              <w:right w:val="nil"/>
            </w:tcBorders>
            <w:shd w:val="clear" w:color="auto" w:fill="auto"/>
            <w:noWrap/>
            <w:vAlign w:val="center"/>
            <w:hideMark/>
          </w:tcPr>
          <w:p w14:paraId="7D476048"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3645957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44,2</w:t>
            </w:r>
          </w:p>
        </w:tc>
        <w:tc>
          <w:tcPr>
            <w:tcW w:w="960" w:type="dxa"/>
            <w:tcBorders>
              <w:top w:val="nil"/>
              <w:left w:val="nil"/>
              <w:bottom w:val="nil"/>
              <w:right w:val="nil"/>
            </w:tcBorders>
            <w:shd w:val="clear" w:color="auto" w:fill="auto"/>
            <w:noWrap/>
            <w:vAlign w:val="center"/>
            <w:hideMark/>
          </w:tcPr>
          <w:p w14:paraId="2683612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0,07%</w:t>
            </w:r>
          </w:p>
        </w:tc>
        <w:tc>
          <w:tcPr>
            <w:tcW w:w="960" w:type="dxa"/>
            <w:tcBorders>
              <w:top w:val="nil"/>
              <w:left w:val="nil"/>
              <w:bottom w:val="nil"/>
              <w:right w:val="nil"/>
            </w:tcBorders>
            <w:shd w:val="clear" w:color="auto" w:fill="auto"/>
            <w:noWrap/>
            <w:vAlign w:val="bottom"/>
            <w:hideMark/>
          </w:tcPr>
          <w:p w14:paraId="1933D39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1957DDB"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6F4AFDB"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5576-01</w:t>
            </w:r>
          </w:p>
        </w:tc>
        <w:tc>
          <w:tcPr>
            <w:tcW w:w="2380" w:type="dxa"/>
            <w:tcBorders>
              <w:top w:val="nil"/>
              <w:left w:val="nil"/>
              <w:bottom w:val="nil"/>
              <w:right w:val="nil"/>
            </w:tcBorders>
            <w:shd w:val="clear" w:color="auto" w:fill="auto"/>
            <w:noWrap/>
            <w:vAlign w:val="center"/>
            <w:hideMark/>
          </w:tcPr>
          <w:p w14:paraId="040B514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CT</w:t>
            </w:r>
          </w:p>
        </w:tc>
        <w:tc>
          <w:tcPr>
            <w:tcW w:w="2000" w:type="dxa"/>
            <w:tcBorders>
              <w:top w:val="nil"/>
              <w:left w:val="nil"/>
              <w:bottom w:val="nil"/>
              <w:right w:val="nil"/>
            </w:tcBorders>
            <w:shd w:val="clear" w:color="auto" w:fill="auto"/>
            <w:noWrap/>
            <w:vAlign w:val="center"/>
            <w:hideMark/>
          </w:tcPr>
          <w:p w14:paraId="413A002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924156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221,8</w:t>
            </w:r>
          </w:p>
        </w:tc>
        <w:tc>
          <w:tcPr>
            <w:tcW w:w="960" w:type="dxa"/>
            <w:tcBorders>
              <w:top w:val="nil"/>
              <w:left w:val="nil"/>
              <w:bottom w:val="nil"/>
              <w:right w:val="nil"/>
            </w:tcBorders>
            <w:shd w:val="clear" w:color="auto" w:fill="auto"/>
            <w:noWrap/>
            <w:vAlign w:val="center"/>
            <w:hideMark/>
          </w:tcPr>
          <w:p w14:paraId="285616B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0,34%</w:t>
            </w:r>
          </w:p>
        </w:tc>
        <w:tc>
          <w:tcPr>
            <w:tcW w:w="960" w:type="dxa"/>
            <w:tcBorders>
              <w:top w:val="nil"/>
              <w:left w:val="nil"/>
              <w:bottom w:val="nil"/>
              <w:right w:val="nil"/>
            </w:tcBorders>
            <w:shd w:val="clear" w:color="auto" w:fill="auto"/>
            <w:noWrap/>
            <w:vAlign w:val="bottom"/>
            <w:hideMark/>
          </w:tcPr>
          <w:p w14:paraId="09B14AF6"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E50399F"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F0A272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6004-01</w:t>
            </w:r>
          </w:p>
        </w:tc>
        <w:tc>
          <w:tcPr>
            <w:tcW w:w="2380" w:type="dxa"/>
            <w:tcBorders>
              <w:top w:val="nil"/>
              <w:left w:val="nil"/>
              <w:bottom w:val="nil"/>
              <w:right w:val="nil"/>
            </w:tcBorders>
            <w:shd w:val="clear" w:color="auto" w:fill="auto"/>
            <w:noWrap/>
            <w:vAlign w:val="center"/>
            <w:hideMark/>
          </w:tcPr>
          <w:p w14:paraId="138BFE79"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Neurologia</w:t>
            </w:r>
            <w:proofErr w:type="spellEnd"/>
            <w:r w:rsidRPr="00E43879">
              <w:rPr>
                <w:rFonts w:ascii="Arial Narrow" w:hAnsi="Arial Narrow" w:cs="Calibri"/>
                <w:b/>
                <w:bCs/>
                <w:color w:val="000000"/>
                <w:sz w:val="20"/>
                <w:szCs w:val="20"/>
              </w:rPr>
              <w:t>-stacionár</w:t>
            </w:r>
          </w:p>
        </w:tc>
        <w:tc>
          <w:tcPr>
            <w:tcW w:w="2000" w:type="dxa"/>
            <w:tcBorders>
              <w:top w:val="nil"/>
              <w:left w:val="nil"/>
              <w:bottom w:val="nil"/>
              <w:right w:val="nil"/>
            </w:tcBorders>
            <w:shd w:val="clear" w:color="auto" w:fill="auto"/>
            <w:noWrap/>
            <w:vAlign w:val="center"/>
            <w:hideMark/>
          </w:tcPr>
          <w:p w14:paraId="7CAE277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402E0E2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449,97</w:t>
            </w:r>
          </w:p>
        </w:tc>
        <w:tc>
          <w:tcPr>
            <w:tcW w:w="960" w:type="dxa"/>
            <w:tcBorders>
              <w:top w:val="nil"/>
              <w:left w:val="nil"/>
              <w:bottom w:val="nil"/>
              <w:right w:val="nil"/>
            </w:tcBorders>
            <w:shd w:val="clear" w:color="auto" w:fill="auto"/>
            <w:noWrap/>
            <w:vAlign w:val="center"/>
            <w:hideMark/>
          </w:tcPr>
          <w:p w14:paraId="41E2A28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0,69%</w:t>
            </w:r>
          </w:p>
        </w:tc>
        <w:tc>
          <w:tcPr>
            <w:tcW w:w="960" w:type="dxa"/>
            <w:tcBorders>
              <w:top w:val="nil"/>
              <w:left w:val="nil"/>
              <w:bottom w:val="nil"/>
              <w:right w:val="nil"/>
            </w:tcBorders>
            <w:shd w:val="clear" w:color="auto" w:fill="auto"/>
            <w:noWrap/>
            <w:vAlign w:val="bottom"/>
            <w:hideMark/>
          </w:tcPr>
          <w:p w14:paraId="2E80CD49"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DF1E85A"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06BF42E9"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6005-01</w:t>
            </w:r>
          </w:p>
        </w:tc>
        <w:tc>
          <w:tcPr>
            <w:tcW w:w="2380" w:type="dxa"/>
            <w:tcBorders>
              <w:top w:val="nil"/>
              <w:left w:val="nil"/>
              <w:bottom w:val="nil"/>
              <w:right w:val="nil"/>
            </w:tcBorders>
            <w:shd w:val="clear" w:color="auto" w:fill="auto"/>
            <w:noWrap/>
            <w:vAlign w:val="center"/>
            <w:hideMark/>
          </w:tcPr>
          <w:p w14:paraId="7276965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Psychiatrický </w:t>
            </w:r>
            <w:proofErr w:type="spellStart"/>
            <w:r w:rsidRPr="00E43879">
              <w:rPr>
                <w:rFonts w:ascii="Arial Narrow" w:hAnsi="Arial Narrow" w:cs="Calibri"/>
                <w:b/>
                <w:bCs/>
                <w:color w:val="000000"/>
                <w:sz w:val="20"/>
                <w:szCs w:val="20"/>
              </w:rPr>
              <w:t>stacion</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4A71B20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6C7F2FE"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360,39</w:t>
            </w:r>
          </w:p>
        </w:tc>
        <w:tc>
          <w:tcPr>
            <w:tcW w:w="960" w:type="dxa"/>
            <w:tcBorders>
              <w:top w:val="nil"/>
              <w:left w:val="nil"/>
              <w:bottom w:val="nil"/>
              <w:right w:val="nil"/>
            </w:tcBorders>
            <w:shd w:val="clear" w:color="auto" w:fill="auto"/>
            <w:noWrap/>
            <w:vAlign w:val="center"/>
            <w:hideMark/>
          </w:tcPr>
          <w:p w14:paraId="3FC1A71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0,55%</w:t>
            </w:r>
          </w:p>
        </w:tc>
        <w:tc>
          <w:tcPr>
            <w:tcW w:w="960" w:type="dxa"/>
            <w:tcBorders>
              <w:top w:val="nil"/>
              <w:left w:val="nil"/>
              <w:bottom w:val="nil"/>
              <w:right w:val="nil"/>
            </w:tcBorders>
            <w:shd w:val="clear" w:color="auto" w:fill="auto"/>
            <w:noWrap/>
            <w:vAlign w:val="bottom"/>
            <w:hideMark/>
          </w:tcPr>
          <w:p w14:paraId="03339BF0"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7F608A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46BBE4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6007-01</w:t>
            </w:r>
          </w:p>
        </w:tc>
        <w:tc>
          <w:tcPr>
            <w:tcW w:w="2380" w:type="dxa"/>
            <w:tcBorders>
              <w:top w:val="nil"/>
              <w:left w:val="nil"/>
              <w:bottom w:val="nil"/>
              <w:right w:val="nil"/>
            </w:tcBorders>
            <w:shd w:val="clear" w:color="auto" w:fill="auto"/>
            <w:noWrap/>
            <w:vAlign w:val="center"/>
            <w:hideMark/>
          </w:tcPr>
          <w:p w14:paraId="64709F9C"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Pediatr</w:t>
            </w:r>
            <w:proofErr w:type="spellEnd"/>
            <w:r w:rsidRPr="00E43879">
              <w:rPr>
                <w:rFonts w:ascii="Arial Narrow" w:hAnsi="Arial Narrow" w:cs="Calibri"/>
                <w:b/>
                <w:bCs/>
                <w:color w:val="000000"/>
                <w:sz w:val="20"/>
                <w:szCs w:val="20"/>
              </w:rPr>
              <w:t>. stacionár</w:t>
            </w:r>
          </w:p>
        </w:tc>
        <w:tc>
          <w:tcPr>
            <w:tcW w:w="2000" w:type="dxa"/>
            <w:tcBorders>
              <w:top w:val="nil"/>
              <w:left w:val="nil"/>
              <w:bottom w:val="nil"/>
              <w:right w:val="nil"/>
            </w:tcBorders>
            <w:shd w:val="clear" w:color="auto" w:fill="auto"/>
            <w:noWrap/>
            <w:vAlign w:val="center"/>
            <w:hideMark/>
          </w:tcPr>
          <w:p w14:paraId="4FA8057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7BE60E8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136,24</w:t>
            </w:r>
          </w:p>
        </w:tc>
        <w:tc>
          <w:tcPr>
            <w:tcW w:w="960" w:type="dxa"/>
            <w:tcBorders>
              <w:top w:val="nil"/>
              <w:left w:val="nil"/>
              <w:bottom w:val="nil"/>
              <w:right w:val="nil"/>
            </w:tcBorders>
            <w:shd w:val="clear" w:color="auto" w:fill="auto"/>
            <w:noWrap/>
            <w:vAlign w:val="center"/>
            <w:hideMark/>
          </w:tcPr>
          <w:p w14:paraId="43C9282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0,21%</w:t>
            </w:r>
          </w:p>
        </w:tc>
        <w:tc>
          <w:tcPr>
            <w:tcW w:w="960" w:type="dxa"/>
            <w:tcBorders>
              <w:top w:val="nil"/>
              <w:left w:val="nil"/>
              <w:bottom w:val="nil"/>
              <w:right w:val="nil"/>
            </w:tcBorders>
            <w:shd w:val="clear" w:color="auto" w:fill="auto"/>
            <w:noWrap/>
            <w:vAlign w:val="bottom"/>
            <w:hideMark/>
          </w:tcPr>
          <w:p w14:paraId="1715BCB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DEC11B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4B5F94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6014-01</w:t>
            </w:r>
          </w:p>
        </w:tc>
        <w:tc>
          <w:tcPr>
            <w:tcW w:w="2380" w:type="dxa"/>
            <w:tcBorders>
              <w:top w:val="nil"/>
              <w:left w:val="nil"/>
              <w:bottom w:val="nil"/>
              <w:right w:val="nil"/>
            </w:tcBorders>
            <w:shd w:val="clear" w:color="auto" w:fill="auto"/>
            <w:noWrap/>
            <w:vAlign w:val="center"/>
            <w:hideMark/>
          </w:tcPr>
          <w:p w14:paraId="04281A9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ORL stacionár</w:t>
            </w:r>
          </w:p>
        </w:tc>
        <w:tc>
          <w:tcPr>
            <w:tcW w:w="2000" w:type="dxa"/>
            <w:tcBorders>
              <w:top w:val="nil"/>
              <w:left w:val="nil"/>
              <w:bottom w:val="nil"/>
              <w:right w:val="nil"/>
            </w:tcBorders>
            <w:shd w:val="clear" w:color="auto" w:fill="auto"/>
            <w:noWrap/>
            <w:vAlign w:val="center"/>
            <w:hideMark/>
          </w:tcPr>
          <w:p w14:paraId="1191D75F"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300254A"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38,2</w:t>
            </w:r>
          </w:p>
        </w:tc>
        <w:tc>
          <w:tcPr>
            <w:tcW w:w="960" w:type="dxa"/>
            <w:tcBorders>
              <w:top w:val="nil"/>
              <w:left w:val="nil"/>
              <w:bottom w:val="nil"/>
              <w:right w:val="nil"/>
            </w:tcBorders>
            <w:shd w:val="clear" w:color="auto" w:fill="auto"/>
            <w:noWrap/>
            <w:vAlign w:val="center"/>
            <w:hideMark/>
          </w:tcPr>
          <w:p w14:paraId="57A3503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0,06%</w:t>
            </w:r>
          </w:p>
        </w:tc>
        <w:tc>
          <w:tcPr>
            <w:tcW w:w="960" w:type="dxa"/>
            <w:tcBorders>
              <w:top w:val="nil"/>
              <w:left w:val="nil"/>
              <w:bottom w:val="nil"/>
              <w:right w:val="nil"/>
            </w:tcBorders>
            <w:shd w:val="clear" w:color="auto" w:fill="auto"/>
            <w:noWrap/>
            <w:vAlign w:val="bottom"/>
            <w:hideMark/>
          </w:tcPr>
          <w:p w14:paraId="2F48262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381829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4705CC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6018-01</w:t>
            </w:r>
          </w:p>
        </w:tc>
        <w:tc>
          <w:tcPr>
            <w:tcW w:w="2380" w:type="dxa"/>
            <w:tcBorders>
              <w:top w:val="nil"/>
              <w:left w:val="nil"/>
              <w:bottom w:val="nil"/>
              <w:right w:val="nil"/>
            </w:tcBorders>
            <w:shd w:val="clear" w:color="auto" w:fill="auto"/>
            <w:noWrap/>
            <w:vAlign w:val="center"/>
            <w:hideMark/>
          </w:tcPr>
          <w:p w14:paraId="45A3A98A"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Dermatov.stacionár</w:t>
            </w:r>
            <w:proofErr w:type="spellEnd"/>
          </w:p>
        </w:tc>
        <w:tc>
          <w:tcPr>
            <w:tcW w:w="2000" w:type="dxa"/>
            <w:tcBorders>
              <w:top w:val="nil"/>
              <w:left w:val="nil"/>
              <w:bottom w:val="nil"/>
              <w:right w:val="nil"/>
            </w:tcBorders>
            <w:shd w:val="clear" w:color="auto" w:fill="auto"/>
            <w:noWrap/>
            <w:vAlign w:val="center"/>
            <w:hideMark/>
          </w:tcPr>
          <w:p w14:paraId="32ABE0E9"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6E012F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306,66</w:t>
            </w:r>
          </w:p>
        </w:tc>
        <w:tc>
          <w:tcPr>
            <w:tcW w:w="960" w:type="dxa"/>
            <w:tcBorders>
              <w:top w:val="nil"/>
              <w:left w:val="nil"/>
              <w:bottom w:val="nil"/>
              <w:right w:val="nil"/>
            </w:tcBorders>
            <w:shd w:val="clear" w:color="auto" w:fill="auto"/>
            <w:noWrap/>
            <w:vAlign w:val="center"/>
            <w:hideMark/>
          </w:tcPr>
          <w:p w14:paraId="5D43D8F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0,47%</w:t>
            </w:r>
          </w:p>
        </w:tc>
        <w:tc>
          <w:tcPr>
            <w:tcW w:w="960" w:type="dxa"/>
            <w:tcBorders>
              <w:top w:val="nil"/>
              <w:left w:val="nil"/>
              <w:bottom w:val="nil"/>
              <w:right w:val="nil"/>
            </w:tcBorders>
            <w:shd w:val="clear" w:color="auto" w:fill="auto"/>
            <w:noWrap/>
            <w:vAlign w:val="bottom"/>
            <w:hideMark/>
          </w:tcPr>
          <w:p w14:paraId="0EE7F3D2"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324AE8A1"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A7B1F96"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6073-01</w:t>
            </w:r>
          </w:p>
        </w:tc>
        <w:tc>
          <w:tcPr>
            <w:tcW w:w="2380" w:type="dxa"/>
            <w:tcBorders>
              <w:top w:val="nil"/>
              <w:left w:val="nil"/>
              <w:bottom w:val="nil"/>
              <w:right w:val="nil"/>
            </w:tcBorders>
            <w:shd w:val="clear" w:color="auto" w:fill="auto"/>
            <w:noWrap/>
            <w:vAlign w:val="center"/>
            <w:hideMark/>
          </w:tcPr>
          <w:p w14:paraId="7077A3C4"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CPLDZ Stacionár</w:t>
            </w:r>
          </w:p>
        </w:tc>
        <w:tc>
          <w:tcPr>
            <w:tcW w:w="2000" w:type="dxa"/>
            <w:tcBorders>
              <w:top w:val="nil"/>
              <w:left w:val="nil"/>
              <w:bottom w:val="nil"/>
              <w:right w:val="nil"/>
            </w:tcBorders>
            <w:shd w:val="clear" w:color="auto" w:fill="auto"/>
            <w:noWrap/>
            <w:vAlign w:val="center"/>
            <w:hideMark/>
          </w:tcPr>
          <w:p w14:paraId="38D2941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0187C977"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11,3</w:t>
            </w:r>
          </w:p>
        </w:tc>
        <w:tc>
          <w:tcPr>
            <w:tcW w:w="960" w:type="dxa"/>
            <w:tcBorders>
              <w:top w:val="nil"/>
              <w:left w:val="nil"/>
              <w:bottom w:val="nil"/>
              <w:right w:val="nil"/>
            </w:tcBorders>
            <w:shd w:val="clear" w:color="auto" w:fill="auto"/>
            <w:noWrap/>
            <w:vAlign w:val="center"/>
            <w:hideMark/>
          </w:tcPr>
          <w:p w14:paraId="514899E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0,02%</w:t>
            </w:r>
          </w:p>
        </w:tc>
        <w:tc>
          <w:tcPr>
            <w:tcW w:w="960" w:type="dxa"/>
            <w:tcBorders>
              <w:top w:val="nil"/>
              <w:left w:val="nil"/>
              <w:bottom w:val="nil"/>
              <w:right w:val="nil"/>
            </w:tcBorders>
            <w:shd w:val="clear" w:color="auto" w:fill="auto"/>
            <w:noWrap/>
            <w:vAlign w:val="bottom"/>
            <w:hideMark/>
          </w:tcPr>
          <w:p w14:paraId="6945B55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628602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7ECB456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8976-01</w:t>
            </w:r>
          </w:p>
        </w:tc>
        <w:tc>
          <w:tcPr>
            <w:tcW w:w="2380" w:type="dxa"/>
            <w:tcBorders>
              <w:top w:val="nil"/>
              <w:left w:val="nil"/>
              <w:bottom w:val="nil"/>
              <w:right w:val="nil"/>
            </w:tcBorders>
            <w:shd w:val="clear" w:color="auto" w:fill="auto"/>
            <w:noWrap/>
            <w:vAlign w:val="center"/>
            <w:hideMark/>
          </w:tcPr>
          <w:p w14:paraId="57323CE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Urgentná  medicína</w:t>
            </w:r>
          </w:p>
        </w:tc>
        <w:tc>
          <w:tcPr>
            <w:tcW w:w="2000" w:type="dxa"/>
            <w:tcBorders>
              <w:top w:val="nil"/>
              <w:left w:val="nil"/>
              <w:bottom w:val="nil"/>
              <w:right w:val="nil"/>
            </w:tcBorders>
            <w:shd w:val="clear" w:color="auto" w:fill="auto"/>
            <w:noWrap/>
            <w:vAlign w:val="center"/>
            <w:hideMark/>
          </w:tcPr>
          <w:p w14:paraId="3D569A6B"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E6EDF6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867,8</w:t>
            </w:r>
          </w:p>
        </w:tc>
        <w:tc>
          <w:tcPr>
            <w:tcW w:w="960" w:type="dxa"/>
            <w:tcBorders>
              <w:top w:val="nil"/>
              <w:left w:val="nil"/>
              <w:bottom w:val="nil"/>
              <w:right w:val="nil"/>
            </w:tcBorders>
            <w:shd w:val="clear" w:color="auto" w:fill="auto"/>
            <w:noWrap/>
            <w:vAlign w:val="center"/>
            <w:hideMark/>
          </w:tcPr>
          <w:p w14:paraId="3E7E294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1,33%</w:t>
            </w:r>
          </w:p>
        </w:tc>
        <w:tc>
          <w:tcPr>
            <w:tcW w:w="960" w:type="dxa"/>
            <w:tcBorders>
              <w:top w:val="nil"/>
              <w:left w:val="nil"/>
              <w:bottom w:val="nil"/>
              <w:right w:val="nil"/>
            </w:tcBorders>
            <w:shd w:val="clear" w:color="auto" w:fill="auto"/>
            <w:noWrap/>
            <w:vAlign w:val="bottom"/>
            <w:hideMark/>
          </w:tcPr>
          <w:p w14:paraId="09031424"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77C0035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5FD7F0C"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P009-01</w:t>
            </w:r>
          </w:p>
        </w:tc>
        <w:tc>
          <w:tcPr>
            <w:tcW w:w="2380" w:type="dxa"/>
            <w:tcBorders>
              <w:top w:val="nil"/>
              <w:left w:val="nil"/>
              <w:bottom w:val="nil"/>
              <w:right w:val="nil"/>
            </w:tcBorders>
            <w:shd w:val="clear" w:color="auto" w:fill="auto"/>
            <w:noWrap/>
            <w:vAlign w:val="center"/>
            <w:hideMark/>
          </w:tcPr>
          <w:p w14:paraId="48FFE91E"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Gyn.pôrodny</w:t>
            </w:r>
            <w:proofErr w:type="spellEnd"/>
            <w:r w:rsidRPr="00E43879">
              <w:rPr>
                <w:rFonts w:ascii="Arial Narrow" w:hAnsi="Arial Narrow" w:cs="Calibri"/>
                <w:b/>
                <w:bCs/>
                <w:color w:val="000000"/>
                <w:sz w:val="20"/>
                <w:szCs w:val="20"/>
              </w:rPr>
              <w:t xml:space="preserve"> sál</w:t>
            </w:r>
          </w:p>
        </w:tc>
        <w:tc>
          <w:tcPr>
            <w:tcW w:w="2000" w:type="dxa"/>
            <w:tcBorders>
              <w:top w:val="nil"/>
              <w:left w:val="nil"/>
              <w:bottom w:val="nil"/>
              <w:right w:val="nil"/>
            </w:tcBorders>
            <w:shd w:val="clear" w:color="auto" w:fill="auto"/>
            <w:noWrap/>
            <w:vAlign w:val="center"/>
            <w:hideMark/>
          </w:tcPr>
          <w:p w14:paraId="1C9F041C"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B6D625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143</w:t>
            </w:r>
          </w:p>
        </w:tc>
        <w:tc>
          <w:tcPr>
            <w:tcW w:w="960" w:type="dxa"/>
            <w:tcBorders>
              <w:top w:val="nil"/>
              <w:left w:val="nil"/>
              <w:bottom w:val="nil"/>
              <w:right w:val="nil"/>
            </w:tcBorders>
            <w:shd w:val="clear" w:color="auto" w:fill="auto"/>
            <w:noWrap/>
            <w:vAlign w:val="center"/>
            <w:hideMark/>
          </w:tcPr>
          <w:p w14:paraId="4E6277F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0,22%</w:t>
            </w:r>
          </w:p>
        </w:tc>
        <w:tc>
          <w:tcPr>
            <w:tcW w:w="960" w:type="dxa"/>
            <w:tcBorders>
              <w:top w:val="nil"/>
              <w:left w:val="nil"/>
              <w:bottom w:val="nil"/>
              <w:right w:val="nil"/>
            </w:tcBorders>
            <w:shd w:val="clear" w:color="auto" w:fill="auto"/>
            <w:noWrap/>
            <w:vAlign w:val="bottom"/>
            <w:hideMark/>
          </w:tcPr>
          <w:p w14:paraId="32A1798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F68D9F2"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C4DE00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S009-01</w:t>
            </w:r>
          </w:p>
        </w:tc>
        <w:tc>
          <w:tcPr>
            <w:tcW w:w="2380" w:type="dxa"/>
            <w:tcBorders>
              <w:top w:val="nil"/>
              <w:left w:val="nil"/>
              <w:bottom w:val="nil"/>
              <w:right w:val="nil"/>
            </w:tcBorders>
            <w:shd w:val="clear" w:color="auto" w:fill="auto"/>
            <w:noWrap/>
            <w:vAlign w:val="center"/>
            <w:hideMark/>
          </w:tcPr>
          <w:p w14:paraId="72982CE7"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Gynek.oper.sál</w:t>
            </w:r>
            <w:proofErr w:type="spellEnd"/>
          </w:p>
        </w:tc>
        <w:tc>
          <w:tcPr>
            <w:tcW w:w="2000" w:type="dxa"/>
            <w:tcBorders>
              <w:top w:val="nil"/>
              <w:left w:val="nil"/>
              <w:bottom w:val="nil"/>
              <w:right w:val="nil"/>
            </w:tcBorders>
            <w:shd w:val="clear" w:color="auto" w:fill="auto"/>
            <w:noWrap/>
            <w:vAlign w:val="center"/>
            <w:hideMark/>
          </w:tcPr>
          <w:p w14:paraId="52FF9B3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2F3872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201,5</w:t>
            </w:r>
          </w:p>
        </w:tc>
        <w:tc>
          <w:tcPr>
            <w:tcW w:w="960" w:type="dxa"/>
            <w:tcBorders>
              <w:top w:val="nil"/>
              <w:left w:val="nil"/>
              <w:bottom w:val="nil"/>
              <w:right w:val="nil"/>
            </w:tcBorders>
            <w:shd w:val="clear" w:color="auto" w:fill="auto"/>
            <w:noWrap/>
            <w:vAlign w:val="center"/>
            <w:hideMark/>
          </w:tcPr>
          <w:p w14:paraId="43946651"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0,31%</w:t>
            </w:r>
          </w:p>
        </w:tc>
        <w:tc>
          <w:tcPr>
            <w:tcW w:w="960" w:type="dxa"/>
            <w:tcBorders>
              <w:top w:val="nil"/>
              <w:left w:val="nil"/>
              <w:bottom w:val="nil"/>
              <w:right w:val="nil"/>
            </w:tcBorders>
            <w:shd w:val="clear" w:color="auto" w:fill="auto"/>
            <w:noWrap/>
            <w:vAlign w:val="bottom"/>
            <w:hideMark/>
          </w:tcPr>
          <w:p w14:paraId="2F25FD08"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6865FC4"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47E020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S010-01</w:t>
            </w:r>
          </w:p>
        </w:tc>
        <w:tc>
          <w:tcPr>
            <w:tcW w:w="2380" w:type="dxa"/>
            <w:tcBorders>
              <w:top w:val="nil"/>
              <w:left w:val="nil"/>
              <w:bottom w:val="nil"/>
              <w:right w:val="nil"/>
            </w:tcBorders>
            <w:shd w:val="clear" w:color="auto" w:fill="auto"/>
            <w:noWrap/>
            <w:vAlign w:val="center"/>
            <w:hideMark/>
          </w:tcPr>
          <w:p w14:paraId="01210D68"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Chirurg.oper.sál</w:t>
            </w:r>
            <w:proofErr w:type="spellEnd"/>
          </w:p>
        </w:tc>
        <w:tc>
          <w:tcPr>
            <w:tcW w:w="2000" w:type="dxa"/>
            <w:tcBorders>
              <w:top w:val="nil"/>
              <w:left w:val="nil"/>
              <w:bottom w:val="nil"/>
              <w:right w:val="nil"/>
            </w:tcBorders>
            <w:shd w:val="clear" w:color="auto" w:fill="auto"/>
            <w:noWrap/>
            <w:vAlign w:val="center"/>
            <w:hideMark/>
          </w:tcPr>
          <w:p w14:paraId="6C0C051A"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242CAAB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201,2</w:t>
            </w:r>
          </w:p>
        </w:tc>
        <w:tc>
          <w:tcPr>
            <w:tcW w:w="960" w:type="dxa"/>
            <w:tcBorders>
              <w:top w:val="nil"/>
              <w:left w:val="nil"/>
              <w:bottom w:val="nil"/>
              <w:right w:val="nil"/>
            </w:tcBorders>
            <w:shd w:val="clear" w:color="auto" w:fill="auto"/>
            <w:noWrap/>
            <w:vAlign w:val="center"/>
            <w:hideMark/>
          </w:tcPr>
          <w:p w14:paraId="609ED01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0,31%</w:t>
            </w:r>
          </w:p>
        </w:tc>
        <w:tc>
          <w:tcPr>
            <w:tcW w:w="960" w:type="dxa"/>
            <w:tcBorders>
              <w:top w:val="nil"/>
              <w:left w:val="nil"/>
              <w:bottom w:val="nil"/>
              <w:right w:val="nil"/>
            </w:tcBorders>
            <w:shd w:val="clear" w:color="auto" w:fill="auto"/>
            <w:noWrap/>
            <w:vAlign w:val="bottom"/>
            <w:hideMark/>
          </w:tcPr>
          <w:p w14:paraId="47A16AA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256A94D"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C14B1C7"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S011-01</w:t>
            </w:r>
          </w:p>
        </w:tc>
        <w:tc>
          <w:tcPr>
            <w:tcW w:w="2380" w:type="dxa"/>
            <w:tcBorders>
              <w:top w:val="nil"/>
              <w:left w:val="nil"/>
              <w:bottom w:val="nil"/>
              <w:right w:val="nil"/>
            </w:tcBorders>
            <w:shd w:val="clear" w:color="auto" w:fill="auto"/>
            <w:noWrap/>
            <w:vAlign w:val="center"/>
            <w:hideMark/>
          </w:tcPr>
          <w:p w14:paraId="00F4F564"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Ortoped.oper.sál</w:t>
            </w:r>
            <w:proofErr w:type="spellEnd"/>
          </w:p>
        </w:tc>
        <w:tc>
          <w:tcPr>
            <w:tcW w:w="2000" w:type="dxa"/>
            <w:tcBorders>
              <w:top w:val="nil"/>
              <w:left w:val="nil"/>
              <w:bottom w:val="nil"/>
              <w:right w:val="nil"/>
            </w:tcBorders>
            <w:shd w:val="clear" w:color="auto" w:fill="auto"/>
            <w:noWrap/>
            <w:vAlign w:val="center"/>
            <w:hideMark/>
          </w:tcPr>
          <w:p w14:paraId="5076A57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72B7940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77,8</w:t>
            </w:r>
          </w:p>
        </w:tc>
        <w:tc>
          <w:tcPr>
            <w:tcW w:w="960" w:type="dxa"/>
            <w:tcBorders>
              <w:top w:val="nil"/>
              <w:left w:val="nil"/>
              <w:bottom w:val="nil"/>
              <w:right w:val="nil"/>
            </w:tcBorders>
            <w:shd w:val="clear" w:color="auto" w:fill="auto"/>
            <w:noWrap/>
            <w:vAlign w:val="center"/>
            <w:hideMark/>
          </w:tcPr>
          <w:p w14:paraId="07B70A9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0,12%</w:t>
            </w:r>
          </w:p>
        </w:tc>
        <w:tc>
          <w:tcPr>
            <w:tcW w:w="960" w:type="dxa"/>
            <w:tcBorders>
              <w:top w:val="nil"/>
              <w:left w:val="nil"/>
              <w:bottom w:val="nil"/>
              <w:right w:val="nil"/>
            </w:tcBorders>
            <w:shd w:val="clear" w:color="auto" w:fill="auto"/>
            <w:noWrap/>
            <w:vAlign w:val="bottom"/>
            <w:hideMark/>
          </w:tcPr>
          <w:p w14:paraId="141E1D4C"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4870289"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31A9CDC2"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S012-01</w:t>
            </w:r>
          </w:p>
        </w:tc>
        <w:tc>
          <w:tcPr>
            <w:tcW w:w="2380" w:type="dxa"/>
            <w:tcBorders>
              <w:top w:val="nil"/>
              <w:left w:val="nil"/>
              <w:bottom w:val="nil"/>
              <w:right w:val="nil"/>
            </w:tcBorders>
            <w:shd w:val="clear" w:color="auto" w:fill="auto"/>
            <w:noWrap/>
            <w:vAlign w:val="center"/>
            <w:hideMark/>
          </w:tcPr>
          <w:p w14:paraId="5A475CB3"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Urolog.operač.sál</w:t>
            </w:r>
            <w:proofErr w:type="spellEnd"/>
          </w:p>
        </w:tc>
        <w:tc>
          <w:tcPr>
            <w:tcW w:w="2000" w:type="dxa"/>
            <w:tcBorders>
              <w:top w:val="nil"/>
              <w:left w:val="nil"/>
              <w:bottom w:val="nil"/>
              <w:right w:val="nil"/>
            </w:tcBorders>
            <w:shd w:val="clear" w:color="auto" w:fill="auto"/>
            <w:noWrap/>
            <w:vAlign w:val="center"/>
            <w:hideMark/>
          </w:tcPr>
          <w:p w14:paraId="7EBC14F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107D550C"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105,3</w:t>
            </w:r>
          </w:p>
        </w:tc>
        <w:tc>
          <w:tcPr>
            <w:tcW w:w="960" w:type="dxa"/>
            <w:tcBorders>
              <w:top w:val="nil"/>
              <w:left w:val="nil"/>
              <w:bottom w:val="nil"/>
              <w:right w:val="nil"/>
            </w:tcBorders>
            <w:shd w:val="clear" w:color="auto" w:fill="auto"/>
            <w:noWrap/>
            <w:vAlign w:val="center"/>
            <w:hideMark/>
          </w:tcPr>
          <w:p w14:paraId="33347704"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0,16%</w:t>
            </w:r>
          </w:p>
        </w:tc>
        <w:tc>
          <w:tcPr>
            <w:tcW w:w="960" w:type="dxa"/>
            <w:tcBorders>
              <w:top w:val="nil"/>
              <w:left w:val="nil"/>
              <w:bottom w:val="nil"/>
              <w:right w:val="nil"/>
            </w:tcBorders>
            <w:shd w:val="clear" w:color="auto" w:fill="auto"/>
            <w:noWrap/>
            <w:vAlign w:val="bottom"/>
            <w:hideMark/>
          </w:tcPr>
          <w:p w14:paraId="7EC69D21"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91BDA0C"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A790BDF"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S013-01</w:t>
            </w:r>
          </w:p>
        </w:tc>
        <w:tc>
          <w:tcPr>
            <w:tcW w:w="2380" w:type="dxa"/>
            <w:tcBorders>
              <w:top w:val="nil"/>
              <w:left w:val="nil"/>
              <w:bottom w:val="nil"/>
              <w:right w:val="nil"/>
            </w:tcBorders>
            <w:shd w:val="clear" w:color="auto" w:fill="auto"/>
            <w:noWrap/>
            <w:vAlign w:val="center"/>
            <w:hideMark/>
          </w:tcPr>
          <w:p w14:paraId="40C95C81"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Oper.sál</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úraz.chir</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07EE895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6516DB1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258</w:t>
            </w:r>
          </w:p>
        </w:tc>
        <w:tc>
          <w:tcPr>
            <w:tcW w:w="960" w:type="dxa"/>
            <w:tcBorders>
              <w:top w:val="nil"/>
              <w:left w:val="nil"/>
              <w:bottom w:val="nil"/>
              <w:right w:val="nil"/>
            </w:tcBorders>
            <w:shd w:val="clear" w:color="auto" w:fill="auto"/>
            <w:noWrap/>
            <w:vAlign w:val="center"/>
            <w:hideMark/>
          </w:tcPr>
          <w:p w14:paraId="38DEF19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0,40%</w:t>
            </w:r>
          </w:p>
        </w:tc>
        <w:tc>
          <w:tcPr>
            <w:tcW w:w="960" w:type="dxa"/>
            <w:tcBorders>
              <w:top w:val="nil"/>
              <w:left w:val="nil"/>
              <w:bottom w:val="nil"/>
              <w:right w:val="nil"/>
            </w:tcBorders>
            <w:shd w:val="clear" w:color="auto" w:fill="auto"/>
            <w:noWrap/>
            <w:vAlign w:val="bottom"/>
            <w:hideMark/>
          </w:tcPr>
          <w:p w14:paraId="5BE63213"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112399D7"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2C88BB5A"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S014-01</w:t>
            </w:r>
          </w:p>
        </w:tc>
        <w:tc>
          <w:tcPr>
            <w:tcW w:w="2380" w:type="dxa"/>
            <w:tcBorders>
              <w:top w:val="nil"/>
              <w:left w:val="nil"/>
              <w:bottom w:val="nil"/>
              <w:right w:val="nil"/>
            </w:tcBorders>
            <w:shd w:val="clear" w:color="auto" w:fill="auto"/>
            <w:noWrap/>
            <w:vAlign w:val="center"/>
            <w:hideMark/>
          </w:tcPr>
          <w:p w14:paraId="14883FFE"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ORL operačný sál</w:t>
            </w:r>
          </w:p>
        </w:tc>
        <w:tc>
          <w:tcPr>
            <w:tcW w:w="2000" w:type="dxa"/>
            <w:tcBorders>
              <w:top w:val="nil"/>
              <w:left w:val="nil"/>
              <w:bottom w:val="nil"/>
              <w:right w:val="nil"/>
            </w:tcBorders>
            <w:shd w:val="clear" w:color="auto" w:fill="auto"/>
            <w:noWrap/>
            <w:vAlign w:val="center"/>
            <w:hideMark/>
          </w:tcPr>
          <w:p w14:paraId="4A0BB403"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3E05AE88"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113</w:t>
            </w:r>
          </w:p>
        </w:tc>
        <w:tc>
          <w:tcPr>
            <w:tcW w:w="960" w:type="dxa"/>
            <w:tcBorders>
              <w:top w:val="nil"/>
              <w:left w:val="nil"/>
              <w:bottom w:val="nil"/>
              <w:right w:val="nil"/>
            </w:tcBorders>
            <w:shd w:val="clear" w:color="auto" w:fill="auto"/>
            <w:noWrap/>
            <w:vAlign w:val="center"/>
            <w:hideMark/>
          </w:tcPr>
          <w:p w14:paraId="7B057045"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0,17%</w:t>
            </w:r>
          </w:p>
        </w:tc>
        <w:tc>
          <w:tcPr>
            <w:tcW w:w="960" w:type="dxa"/>
            <w:tcBorders>
              <w:top w:val="nil"/>
              <w:left w:val="nil"/>
              <w:bottom w:val="nil"/>
              <w:right w:val="nil"/>
            </w:tcBorders>
            <w:shd w:val="clear" w:color="auto" w:fill="auto"/>
            <w:noWrap/>
            <w:vAlign w:val="bottom"/>
            <w:hideMark/>
          </w:tcPr>
          <w:p w14:paraId="1AB0F13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47DF532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1DD17711"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S015-01</w:t>
            </w:r>
          </w:p>
        </w:tc>
        <w:tc>
          <w:tcPr>
            <w:tcW w:w="2380" w:type="dxa"/>
            <w:tcBorders>
              <w:top w:val="nil"/>
              <w:left w:val="nil"/>
              <w:bottom w:val="nil"/>
              <w:right w:val="nil"/>
            </w:tcBorders>
            <w:shd w:val="clear" w:color="auto" w:fill="auto"/>
            <w:noWrap/>
            <w:vAlign w:val="center"/>
            <w:hideMark/>
          </w:tcPr>
          <w:p w14:paraId="07D1963B"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Oftalmolog.oper.sál</w:t>
            </w:r>
            <w:proofErr w:type="spellEnd"/>
          </w:p>
        </w:tc>
        <w:tc>
          <w:tcPr>
            <w:tcW w:w="2000" w:type="dxa"/>
            <w:tcBorders>
              <w:top w:val="nil"/>
              <w:left w:val="nil"/>
              <w:bottom w:val="nil"/>
              <w:right w:val="nil"/>
            </w:tcBorders>
            <w:shd w:val="clear" w:color="auto" w:fill="auto"/>
            <w:noWrap/>
            <w:vAlign w:val="center"/>
            <w:hideMark/>
          </w:tcPr>
          <w:p w14:paraId="0E7CFAC0"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xml:space="preserve">starý </w:t>
            </w:r>
          </w:p>
        </w:tc>
        <w:tc>
          <w:tcPr>
            <w:tcW w:w="1240" w:type="dxa"/>
            <w:tcBorders>
              <w:top w:val="nil"/>
              <w:left w:val="nil"/>
              <w:bottom w:val="nil"/>
              <w:right w:val="nil"/>
            </w:tcBorders>
            <w:shd w:val="clear" w:color="auto" w:fill="auto"/>
            <w:noWrap/>
            <w:vAlign w:val="center"/>
            <w:hideMark/>
          </w:tcPr>
          <w:p w14:paraId="6BAC5CC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200,75</w:t>
            </w:r>
          </w:p>
        </w:tc>
        <w:tc>
          <w:tcPr>
            <w:tcW w:w="960" w:type="dxa"/>
            <w:tcBorders>
              <w:top w:val="nil"/>
              <w:left w:val="nil"/>
              <w:bottom w:val="nil"/>
              <w:right w:val="nil"/>
            </w:tcBorders>
            <w:shd w:val="clear" w:color="auto" w:fill="auto"/>
            <w:noWrap/>
            <w:vAlign w:val="center"/>
            <w:hideMark/>
          </w:tcPr>
          <w:p w14:paraId="4E6F637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0,31%</w:t>
            </w:r>
          </w:p>
        </w:tc>
        <w:tc>
          <w:tcPr>
            <w:tcW w:w="960" w:type="dxa"/>
            <w:tcBorders>
              <w:top w:val="nil"/>
              <w:left w:val="nil"/>
              <w:bottom w:val="nil"/>
              <w:right w:val="nil"/>
            </w:tcBorders>
            <w:shd w:val="clear" w:color="auto" w:fill="auto"/>
            <w:noWrap/>
            <w:vAlign w:val="bottom"/>
            <w:hideMark/>
          </w:tcPr>
          <w:p w14:paraId="224839D5"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63A262FE"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5D86EB65"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S037-01</w:t>
            </w:r>
          </w:p>
        </w:tc>
        <w:tc>
          <w:tcPr>
            <w:tcW w:w="2380" w:type="dxa"/>
            <w:tcBorders>
              <w:top w:val="nil"/>
              <w:left w:val="nil"/>
              <w:bottom w:val="nil"/>
              <w:right w:val="nil"/>
            </w:tcBorders>
            <w:shd w:val="clear" w:color="auto" w:fill="auto"/>
            <w:noWrap/>
            <w:vAlign w:val="center"/>
            <w:hideMark/>
          </w:tcPr>
          <w:p w14:paraId="1C0159CF"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Neurochir.oper.sál</w:t>
            </w:r>
            <w:proofErr w:type="spellEnd"/>
          </w:p>
        </w:tc>
        <w:tc>
          <w:tcPr>
            <w:tcW w:w="2000" w:type="dxa"/>
            <w:tcBorders>
              <w:top w:val="nil"/>
              <w:left w:val="nil"/>
              <w:bottom w:val="nil"/>
              <w:right w:val="nil"/>
            </w:tcBorders>
            <w:shd w:val="clear" w:color="auto" w:fill="auto"/>
            <w:noWrap/>
            <w:vAlign w:val="center"/>
            <w:hideMark/>
          </w:tcPr>
          <w:p w14:paraId="7ADF250D"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5D9D4F2B"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78</w:t>
            </w:r>
          </w:p>
        </w:tc>
        <w:tc>
          <w:tcPr>
            <w:tcW w:w="960" w:type="dxa"/>
            <w:tcBorders>
              <w:top w:val="nil"/>
              <w:left w:val="nil"/>
              <w:bottom w:val="nil"/>
              <w:right w:val="nil"/>
            </w:tcBorders>
            <w:shd w:val="clear" w:color="auto" w:fill="auto"/>
            <w:noWrap/>
            <w:vAlign w:val="center"/>
            <w:hideMark/>
          </w:tcPr>
          <w:p w14:paraId="76F310BD"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0,12%</w:t>
            </w:r>
          </w:p>
        </w:tc>
        <w:tc>
          <w:tcPr>
            <w:tcW w:w="960" w:type="dxa"/>
            <w:tcBorders>
              <w:top w:val="nil"/>
              <w:left w:val="nil"/>
              <w:bottom w:val="nil"/>
              <w:right w:val="nil"/>
            </w:tcBorders>
            <w:shd w:val="clear" w:color="auto" w:fill="auto"/>
            <w:noWrap/>
            <w:vAlign w:val="bottom"/>
            <w:hideMark/>
          </w:tcPr>
          <w:p w14:paraId="65D626FB"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B0AE223"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67BC951E"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S108-01</w:t>
            </w:r>
          </w:p>
        </w:tc>
        <w:tc>
          <w:tcPr>
            <w:tcW w:w="2380" w:type="dxa"/>
            <w:tcBorders>
              <w:top w:val="nil"/>
              <w:left w:val="nil"/>
              <w:bottom w:val="nil"/>
              <w:right w:val="nil"/>
            </w:tcBorders>
            <w:shd w:val="clear" w:color="auto" w:fill="auto"/>
            <w:noWrap/>
            <w:vAlign w:val="center"/>
            <w:hideMark/>
          </w:tcPr>
          <w:p w14:paraId="48B1A0DA" w14:textId="77777777" w:rsidR="00E43879" w:rsidRPr="00E43879" w:rsidRDefault="00E43879" w:rsidP="00E43879">
            <w:pPr>
              <w:spacing w:line="240" w:lineRule="auto"/>
              <w:jc w:val="left"/>
              <w:rPr>
                <w:rFonts w:ascii="Arial Narrow" w:hAnsi="Arial Narrow" w:cs="Calibri"/>
                <w:b/>
                <w:bCs/>
                <w:color w:val="000000"/>
                <w:sz w:val="20"/>
                <w:szCs w:val="20"/>
              </w:rPr>
            </w:pPr>
            <w:proofErr w:type="spellStart"/>
            <w:r w:rsidRPr="00E43879">
              <w:rPr>
                <w:rFonts w:ascii="Arial Narrow" w:hAnsi="Arial Narrow" w:cs="Calibri"/>
                <w:b/>
                <w:bCs/>
                <w:color w:val="000000"/>
                <w:sz w:val="20"/>
                <w:szCs w:val="20"/>
              </w:rPr>
              <w:t>Oper.sála</w:t>
            </w:r>
            <w:proofErr w:type="spellEnd"/>
            <w:r w:rsidRPr="00E43879">
              <w:rPr>
                <w:rFonts w:ascii="Arial Narrow" w:hAnsi="Arial Narrow" w:cs="Calibri"/>
                <w:b/>
                <w:bCs/>
                <w:color w:val="000000"/>
                <w:sz w:val="20"/>
                <w:szCs w:val="20"/>
              </w:rPr>
              <w:t xml:space="preserve"> </w:t>
            </w:r>
            <w:proofErr w:type="spellStart"/>
            <w:r w:rsidRPr="00E43879">
              <w:rPr>
                <w:rFonts w:ascii="Arial Narrow" w:hAnsi="Arial Narrow" w:cs="Calibri"/>
                <w:b/>
                <w:bCs/>
                <w:color w:val="000000"/>
                <w:sz w:val="20"/>
                <w:szCs w:val="20"/>
              </w:rPr>
              <w:t>ped.ortop</w:t>
            </w:r>
            <w:proofErr w:type="spellEnd"/>
            <w:r w:rsidRPr="00E43879">
              <w:rPr>
                <w:rFonts w:ascii="Arial Narrow" w:hAnsi="Arial Narrow" w:cs="Calibri"/>
                <w:b/>
                <w:bCs/>
                <w:color w:val="000000"/>
                <w:sz w:val="20"/>
                <w:szCs w:val="20"/>
              </w:rPr>
              <w:t>.</w:t>
            </w:r>
          </w:p>
        </w:tc>
        <w:tc>
          <w:tcPr>
            <w:tcW w:w="2000" w:type="dxa"/>
            <w:tcBorders>
              <w:top w:val="nil"/>
              <w:left w:val="nil"/>
              <w:bottom w:val="nil"/>
              <w:right w:val="nil"/>
            </w:tcBorders>
            <w:shd w:val="clear" w:color="auto" w:fill="auto"/>
            <w:noWrap/>
            <w:vAlign w:val="center"/>
            <w:hideMark/>
          </w:tcPr>
          <w:p w14:paraId="617495D2"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nový</w:t>
            </w:r>
          </w:p>
        </w:tc>
        <w:tc>
          <w:tcPr>
            <w:tcW w:w="1240" w:type="dxa"/>
            <w:tcBorders>
              <w:top w:val="nil"/>
              <w:left w:val="nil"/>
              <w:bottom w:val="nil"/>
              <w:right w:val="nil"/>
            </w:tcBorders>
            <w:shd w:val="clear" w:color="auto" w:fill="auto"/>
            <w:noWrap/>
            <w:vAlign w:val="center"/>
            <w:hideMark/>
          </w:tcPr>
          <w:p w14:paraId="50A4963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124,6</w:t>
            </w:r>
          </w:p>
        </w:tc>
        <w:tc>
          <w:tcPr>
            <w:tcW w:w="960" w:type="dxa"/>
            <w:tcBorders>
              <w:top w:val="nil"/>
              <w:left w:val="nil"/>
              <w:bottom w:val="nil"/>
              <w:right w:val="nil"/>
            </w:tcBorders>
            <w:shd w:val="clear" w:color="auto" w:fill="auto"/>
            <w:noWrap/>
            <w:vAlign w:val="center"/>
            <w:hideMark/>
          </w:tcPr>
          <w:p w14:paraId="5522CE22"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0,19%</w:t>
            </w:r>
          </w:p>
        </w:tc>
        <w:tc>
          <w:tcPr>
            <w:tcW w:w="960" w:type="dxa"/>
            <w:tcBorders>
              <w:top w:val="nil"/>
              <w:left w:val="nil"/>
              <w:bottom w:val="nil"/>
              <w:right w:val="nil"/>
            </w:tcBorders>
            <w:shd w:val="clear" w:color="auto" w:fill="auto"/>
            <w:noWrap/>
            <w:vAlign w:val="bottom"/>
            <w:hideMark/>
          </w:tcPr>
          <w:p w14:paraId="334AE39E"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25D58D66" w14:textId="77777777" w:rsidTr="002679C1">
        <w:trPr>
          <w:trHeight w:val="300"/>
          <w:jc w:val="center"/>
        </w:trPr>
        <w:tc>
          <w:tcPr>
            <w:tcW w:w="960" w:type="dxa"/>
            <w:tcBorders>
              <w:top w:val="nil"/>
              <w:left w:val="nil"/>
              <w:bottom w:val="nil"/>
              <w:right w:val="nil"/>
            </w:tcBorders>
            <w:shd w:val="clear" w:color="auto" w:fill="auto"/>
            <w:noWrap/>
            <w:vAlign w:val="center"/>
            <w:hideMark/>
          </w:tcPr>
          <w:p w14:paraId="4B924C54" w14:textId="77777777" w:rsidR="00E43879" w:rsidRPr="00E43879" w:rsidRDefault="00E43879" w:rsidP="00E43879">
            <w:pPr>
              <w:spacing w:line="240" w:lineRule="auto"/>
              <w:jc w:val="left"/>
              <w:rPr>
                <w:sz w:val="20"/>
                <w:szCs w:val="20"/>
              </w:rPr>
            </w:pPr>
          </w:p>
        </w:tc>
        <w:tc>
          <w:tcPr>
            <w:tcW w:w="2380" w:type="dxa"/>
            <w:tcBorders>
              <w:top w:val="nil"/>
              <w:left w:val="nil"/>
              <w:bottom w:val="nil"/>
              <w:right w:val="nil"/>
            </w:tcBorders>
            <w:shd w:val="clear" w:color="auto" w:fill="auto"/>
            <w:noWrap/>
            <w:vAlign w:val="center"/>
            <w:hideMark/>
          </w:tcPr>
          <w:p w14:paraId="468716C5" w14:textId="77777777" w:rsidR="00E43879" w:rsidRPr="00E43879" w:rsidRDefault="00E43879" w:rsidP="00E43879">
            <w:pPr>
              <w:spacing w:line="240" w:lineRule="auto"/>
              <w:jc w:val="center"/>
              <w:rPr>
                <w:sz w:val="20"/>
                <w:szCs w:val="20"/>
              </w:rPr>
            </w:pPr>
          </w:p>
        </w:tc>
        <w:tc>
          <w:tcPr>
            <w:tcW w:w="2000" w:type="dxa"/>
            <w:tcBorders>
              <w:top w:val="nil"/>
              <w:left w:val="nil"/>
              <w:bottom w:val="nil"/>
              <w:right w:val="nil"/>
            </w:tcBorders>
            <w:shd w:val="clear" w:color="auto" w:fill="auto"/>
            <w:noWrap/>
            <w:vAlign w:val="center"/>
            <w:hideMark/>
          </w:tcPr>
          <w:p w14:paraId="47815EC1" w14:textId="77777777" w:rsidR="00E43879" w:rsidRPr="00E43879" w:rsidRDefault="00E43879" w:rsidP="00E43879">
            <w:pPr>
              <w:spacing w:line="240" w:lineRule="auto"/>
              <w:jc w:val="left"/>
              <w:rPr>
                <w:sz w:val="20"/>
                <w:szCs w:val="20"/>
              </w:rPr>
            </w:pPr>
          </w:p>
        </w:tc>
        <w:tc>
          <w:tcPr>
            <w:tcW w:w="1240" w:type="dxa"/>
            <w:tcBorders>
              <w:top w:val="nil"/>
              <w:left w:val="nil"/>
              <w:bottom w:val="nil"/>
              <w:right w:val="nil"/>
            </w:tcBorders>
            <w:shd w:val="clear" w:color="auto" w:fill="auto"/>
            <w:noWrap/>
            <w:vAlign w:val="center"/>
            <w:hideMark/>
          </w:tcPr>
          <w:p w14:paraId="491CEE20"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65108,54</w:t>
            </w:r>
          </w:p>
        </w:tc>
        <w:tc>
          <w:tcPr>
            <w:tcW w:w="960" w:type="dxa"/>
            <w:tcBorders>
              <w:top w:val="nil"/>
              <w:left w:val="nil"/>
              <w:bottom w:val="nil"/>
              <w:right w:val="nil"/>
            </w:tcBorders>
            <w:shd w:val="clear" w:color="auto" w:fill="auto"/>
            <w:noWrap/>
            <w:vAlign w:val="center"/>
            <w:hideMark/>
          </w:tcPr>
          <w:p w14:paraId="75E81D8F"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100,0%</w:t>
            </w:r>
          </w:p>
        </w:tc>
        <w:tc>
          <w:tcPr>
            <w:tcW w:w="960" w:type="dxa"/>
            <w:tcBorders>
              <w:top w:val="nil"/>
              <w:left w:val="nil"/>
              <w:bottom w:val="nil"/>
              <w:right w:val="nil"/>
            </w:tcBorders>
            <w:shd w:val="clear" w:color="auto" w:fill="auto"/>
            <w:noWrap/>
            <w:vAlign w:val="bottom"/>
            <w:hideMark/>
          </w:tcPr>
          <w:p w14:paraId="64C2F247" w14:textId="77777777" w:rsidR="00E43879" w:rsidRPr="00E43879" w:rsidRDefault="00E43879" w:rsidP="00E43879">
            <w:pPr>
              <w:spacing w:line="240" w:lineRule="auto"/>
              <w:jc w:val="center"/>
              <w:rPr>
                <w:rFonts w:ascii="Arial Narrow" w:hAnsi="Arial Narrow" w:cs="Calibri"/>
                <w:color w:val="000000"/>
                <w:sz w:val="20"/>
                <w:szCs w:val="20"/>
              </w:rPr>
            </w:pPr>
          </w:p>
        </w:tc>
      </w:tr>
      <w:tr w:rsidR="00E43879" w:rsidRPr="00E43879" w14:paraId="59491CF0" w14:textId="77777777" w:rsidTr="002679C1">
        <w:trPr>
          <w:trHeight w:val="300"/>
          <w:jc w:val="center"/>
        </w:trPr>
        <w:tc>
          <w:tcPr>
            <w:tcW w:w="960" w:type="dxa"/>
            <w:tcBorders>
              <w:top w:val="nil"/>
              <w:left w:val="nil"/>
              <w:bottom w:val="nil"/>
              <w:right w:val="nil"/>
            </w:tcBorders>
            <w:shd w:val="clear" w:color="000000" w:fill="DCE6F1"/>
            <w:noWrap/>
            <w:vAlign w:val="center"/>
            <w:hideMark/>
          </w:tcPr>
          <w:p w14:paraId="0C9E4259" w14:textId="77777777" w:rsidR="00E43879" w:rsidRPr="00E43879" w:rsidRDefault="00E43879" w:rsidP="00E43879">
            <w:pPr>
              <w:spacing w:line="240" w:lineRule="auto"/>
              <w:jc w:val="center"/>
              <w:rPr>
                <w:rFonts w:ascii="Arial Narrow" w:hAnsi="Arial Narrow" w:cs="Calibri"/>
                <w:color w:val="000000"/>
                <w:sz w:val="20"/>
                <w:szCs w:val="20"/>
              </w:rPr>
            </w:pPr>
            <w:r w:rsidRPr="00E43879">
              <w:rPr>
                <w:rFonts w:ascii="Arial Narrow" w:hAnsi="Arial Narrow" w:cs="Calibri"/>
                <w:color w:val="000000"/>
                <w:sz w:val="20"/>
                <w:szCs w:val="20"/>
              </w:rPr>
              <w:t> </w:t>
            </w:r>
          </w:p>
        </w:tc>
        <w:tc>
          <w:tcPr>
            <w:tcW w:w="2380" w:type="dxa"/>
            <w:tcBorders>
              <w:top w:val="nil"/>
              <w:left w:val="nil"/>
              <w:bottom w:val="nil"/>
              <w:right w:val="nil"/>
            </w:tcBorders>
            <w:shd w:val="clear" w:color="000000" w:fill="DCE6F1"/>
            <w:noWrap/>
            <w:vAlign w:val="center"/>
            <w:hideMark/>
          </w:tcPr>
          <w:p w14:paraId="2E63FDF7"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Výmera v m</w:t>
            </w:r>
            <w:r w:rsidRPr="00E43879">
              <w:rPr>
                <w:rFonts w:ascii="Arial Narrow" w:hAnsi="Arial Narrow" w:cs="Calibri"/>
                <w:b/>
                <w:bCs/>
                <w:color w:val="000000"/>
                <w:sz w:val="20"/>
                <w:szCs w:val="20"/>
                <w:vertAlign w:val="superscript"/>
              </w:rPr>
              <w:t>2</w:t>
            </w:r>
            <w:r w:rsidRPr="00E43879">
              <w:rPr>
                <w:rFonts w:ascii="Arial Narrow" w:hAnsi="Arial Narrow" w:cs="Calibri"/>
                <w:b/>
                <w:bCs/>
                <w:color w:val="000000"/>
                <w:sz w:val="20"/>
                <w:szCs w:val="20"/>
              </w:rPr>
              <w:t xml:space="preserve"> celkom</w:t>
            </w:r>
          </w:p>
        </w:tc>
        <w:tc>
          <w:tcPr>
            <w:tcW w:w="2000" w:type="dxa"/>
            <w:tcBorders>
              <w:top w:val="nil"/>
              <w:left w:val="nil"/>
              <w:bottom w:val="nil"/>
              <w:right w:val="nil"/>
            </w:tcBorders>
            <w:shd w:val="clear" w:color="000000" w:fill="DCE6F1"/>
            <w:noWrap/>
            <w:vAlign w:val="center"/>
            <w:hideMark/>
          </w:tcPr>
          <w:p w14:paraId="4D12B7F5" w14:textId="77777777" w:rsidR="00E43879" w:rsidRPr="00E43879" w:rsidRDefault="00E43879" w:rsidP="00E43879">
            <w:pPr>
              <w:spacing w:line="240" w:lineRule="auto"/>
              <w:jc w:val="left"/>
              <w:rPr>
                <w:rFonts w:ascii="Arial Narrow" w:hAnsi="Arial Narrow" w:cs="Calibri"/>
                <w:b/>
                <w:bCs/>
                <w:color w:val="000000"/>
                <w:sz w:val="20"/>
                <w:szCs w:val="20"/>
              </w:rPr>
            </w:pPr>
            <w:r w:rsidRPr="00E43879">
              <w:rPr>
                <w:rFonts w:ascii="Arial Narrow" w:hAnsi="Arial Narrow" w:cs="Calibri"/>
                <w:b/>
                <w:bCs/>
                <w:color w:val="000000"/>
                <w:sz w:val="20"/>
                <w:szCs w:val="20"/>
              </w:rPr>
              <w:t> </w:t>
            </w:r>
          </w:p>
        </w:tc>
        <w:tc>
          <w:tcPr>
            <w:tcW w:w="1240" w:type="dxa"/>
            <w:tcBorders>
              <w:top w:val="nil"/>
              <w:left w:val="nil"/>
              <w:bottom w:val="nil"/>
              <w:right w:val="nil"/>
            </w:tcBorders>
            <w:shd w:val="clear" w:color="000000" w:fill="DCE6F1"/>
            <w:noWrap/>
            <w:vAlign w:val="center"/>
            <w:hideMark/>
          </w:tcPr>
          <w:p w14:paraId="622819ED"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65 108,54</w:t>
            </w:r>
          </w:p>
        </w:tc>
        <w:tc>
          <w:tcPr>
            <w:tcW w:w="960" w:type="dxa"/>
            <w:tcBorders>
              <w:top w:val="nil"/>
              <w:left w:val="nil"/>
              <w:bottom w:val="nil"/>
              <w:right w:val="nil"/>
            </w:tcBorders>
            <w:shd w:val="clear" w:color="000000" w:fill="DCE6F1"/>
            <w:noWrap/>
            <w:vAlign w:val="center"/>
            <w:hideMark/>
          </w:tcPr>
          <w:p w14:paraId="377796D4" w14:textId="77777777" w:rsidR="00E43879" w:rsidRPr="00E43879" w:rsidRDefault="00E43879" w:rsidP="00E43879">
            <w:pPr>
              <w:spacing w:line="240" w:lineRule="auto"/>
              <w:jc w:val="center"/>
              <w:rPr>
                <w:rFonts w:ascii="Arial Narrow" w:hAnsi="Arial Narrow" w:cs="Calibri"/>
                <w:b/>
                <w:bCs/>
                <w:color w:val="000000"/>
                <w:sz w:val="20"/>
                <w:szCs w:val="20"/>
              </w:rPr>
            </w:pPr>
            <w:r w:rsidRPr="00E43879">
              <w:rPr>
                <w:rFonts w:ascii="Arial Narrow" w:hAnsi="Arial Narrow" w:cs="Calibri"/>
                <w:b/>
                <w:bCs/>
                <w:color w:val="000000"/>
                <w:sz w:val="20"/>
                <w:szCs w:val="20"/>
              </w:rPr>
              <w:t>100,00%</w:t>
            </w:r>
          </w:p>
        </w:tc>
        <w:tc>
          <w:tcPr>
            <w:tcW w:w="960" w:type="dxa"/>
            <w:tcBorders>
              <w:top w:val="nil"/>
              <w:left w:val="nil"/>
              <w:bottom w:val="nil"/>
              <w:right w:val="nil"/>
            </w:tcBorders>
            <w:shd w:val="clear" w:color="auto" w:fill="auto"/>
            <w:noWrap/>
            <w:vAlign w:val="bottom"/>
            <w:hideMark/>
          </w:tcPr>
          <w:p w14:paraId="01E214EB" w14:textId="77777777" w:rsidR="00E43879" w:rsidRPr="00E43879" w:rsidRDefault="00E43879" w:rsidP="00E43879">
            <w:pPr>
              <w:spacing w:line="240" w:lineRule="auto"/>
              <w:jc w:val="center"/>
              <w:rPr>
                <w:rFonts w:ascii="Arial Narrow" w:hAnsi="Arial Narrow" w:cs="Calibri"/>
                <w:b/>
                <w:bCs/>
                <w:color w:val="000000"/>
                <w:sz w:val="20"/>
                <w:szCs w:val="20"/>
              </w:rPr>
            </w:pPr>
          </w:p>
        </w:tc>
      </w:tr>
      <w:tr w:rsidR="00E43879" w:rsidRPr="00E43879" w14:paraId="1D2C31C1" w14:textId="77777777" w:rsidTr="002679C1">
        <w:trPr>
          <w:trHeight w:val="300"/>
          <w:jc w:val="center"/>
        </w:trPr>
        <w:tc>
          <w:tcPr>
            <w:tcW w:w="960" w:type="dxa"/>
            <w:tcBorders>
              <w:top w:val="nil"/>
              <w:left w:val="nil"/>
              <w:bottom w:val="nil"/>
              <w:right w:val="nil"/>
            </w:tcBorders>
            <w:shd w:val="clear" w:color="auto" w:fill="auto"/>
            <w:noWrap/>
            <w:vAlign w:val="bottom"/>
            <w:hideMark/>
          </w:tcPr>
          <w:p w14:paraId="64E80B6A" w14:textId="77777777" w:rsidR="00E43879" w:rsidRPr="00E43879" w:rsidRDefault="00E43879" w:rsidP="00E43879">
            <w:pPr>
              <w:spacing w:line="240" w:lineRule="auto"/>
              <w:jc w:val="left"/>
              <w:rPr>
                <w:sz w:val="20"/>
                <w:szCs w:val="20"/>
              </w:rPr>
            </w:pPr>
          </w:p>
        </w:tc>
        <w:tc>
          <w:tcPr>
            <w:tcW w:w="2380" w:type="dxa"/>
            <w:tcBorders>
              <w:top w:val="nil"/>
              <w:left w:val="nil"/>
              <w:bottom w:val="nil"/>
              <w:right w:val="nil"/>
            </w:tcBorders>
            <w:shd w:val="clear" w:color="auto" w:fill="auto"/>
            <w:noWrap/>
            <w:vAlign w:val="center"/>
            <w:hideMark/>
          </w:tcPr>
          <w:p w14:paraId="350AC563" w14:textId="77777777" w:rsidR="00E43879" w:rsidRPr="004821F1" w:rsidRDefault="00E43879" w:rsidP="00E43879">
            <w:pPr>
              <w:spacing w:line="240" w:lineRule="auto"/>
              <w:jc w:val="left"/>
              <w:rPr>
                <w:rFonts w:ascii="Arial Narrow" w:hAnsi="Arial Narrow" w:cs="Calibri"/>
                <w:b/>
                <w:bCs/>
                <w:color w:val="000000"/>
                <w:sz w:val="20"/>
                <w:szCs w:val="20"/>
              </w:rPr>
            </w:pPr>
            <w:r w:rsidRPr="004821F1">
              <w:rPr>
                <w:rFonts w:ascii="Arial Narrow" w:hAnsi="Arial Narrow" w:cs="Calibri"/>
                <w:b/>
                <w:bCs/>
                <w:color w:val="000000"/>
                <w:sz w:val="20"/>
                <w:szCs w:val="20"/>
              </w:rPr>
              <w:t>Nový pavilón</w:t>
            </w:r>
          </w:p>
        </w:tc>
        <w:tc>
          <w:tcPr>
            <w:tcW w:w="2000" w:type="dxa"/>
            <w:tcBorders>
              <w:top w:val="nil"/>
              <w:left w:val="nil"/>
              <w:bottom w:val="nil"/>
              <w:right w:val="nil"/>
            </w:tcBorders>
            <w:shd w:val="clear" w:color="auto" w:fill="auto"/>
            <w:noWrap/>
            <w:vAlign w:val="center"/>
            <w:hideMark/>
          </w:tcPr>
          <w:p w14:paraId="794345AC" w14:textId="77777777" w:rsidR="00E43879" w:rsidRPr="004821F1" w:rsidRDefault="00E43879" w:rsidP="00E43879">
            <w:pPr>
              <w:spacing w:line="240" w:lineRule="auto"/>
              <w:jc w:val="left"/>
              <w:rPr>
                <w:rFonts w:ascii="Arial Narrow" w:hAnsi="Arial Narrow" w:cs="Calibri"/>
                <w:b/>
                <w:bCs/>
                <w:color w:val="000000"/>
                <w:sz w:val="20"/>
                <w:szCs w:val="20"/>
              </w:rPr>
            </w:pPr>
          </w:p>
        </w:tc>
        <w:tc>
          <w:tcPr>
            <w:tcW w:w="1240" w:type="dxa"/>
            <w:tcBorders>
              <w:top w:val="nil"/>
              <w:left w:val="nil"/>
              <w:bottom w:val="nil"/>
              <w:right w:val="nil"/>
            </w:tcBorders>
            <w:shd w:val="clear" w:color="auto" w:fill="auto"/>
            <w:noWrap/>
            <w:vAlign w:val="bottom"/>
            <w:hideMark/>
          </w:tcPr>
          <w:p w14:paraId="24D4C81B" w14:textId="76D76380" w:rsidR="00E43879" w:rsidRPr="004821F1" w:rsidRDefault="00E43879" w:rsidP="00261BC4">
            <w:pPr>
              <w:spacing w:line="240" w:lineRule="auto"/>
              <w:jc w:val="left"/>
              <w:rPr>
                <w:rFonts w:ascii="Arial Narrow" w:hAnsi="Arial Narrow" w:cs="Calibri"/>
                <w:color w:val="000000"/>
                <w:sz w:val="20"/>
                <w:szCs w:val="20"/>
              </w:rPr>
            </w:pPr>
            <w:r w:rsidRPr="004821F1">
              <w:rPr>
                <w:rFonts w:ascii="Arial Narrow" w:hAnsi="Arial Narrow" w:cs="Calibri"/>
                <w:color w:val="000000"/>
                <w:sz w:val="20"/>
                <w:szCs w:val="20"/>
              </w:rPr>
              <w:t xml:space="preserve">        </w:t>
            </w:r>
            <w:r w:rsidR="00261BC4" w:rsidRPr="004821F1">
              <w:rPr>
                <w:rFonts w:ascii="Arial Narrow" w:hAnsi="Arial Narrow" w:cs="Calibri"/>
                <w:color w:val="000000"/>
                <w:sz w:val="20"/>
                <w:szCs w:val="20"/>
              </w:rPr>
              <w:t>5</w:t>
            </w:r>
            <w:r w:rsidRPr="004821F1">
              <w:rPr>
                <w:rFonts w:ascii="Arial Narrow" w:hAnsi="Arial Narrow" w:cs="Calibri"/>
                <w:color w:val="000000"/>
                <w:sz w:val="20"/>
                <w:szCs w:val="20"/>
              </w:rPr>
              <w:t xml:space="preserve">5 000   </w:t>
            </w:r>
          </w:p>
        </w:tc>
        <w:tc>
          <w:tcPr>
            <w:tcW w:w="960" w:type="dxa"/>
            <w:tcBorders>
              <w:top w:val="nil"/>
              <w:left w:val="nil"/>
              <w:bottom w:val="nil"/>
              <w:right w:val="nil"/>
            </w:tcBorders>
            <w:shd w:val="clear" w:color="auto" w:fill="auto"/>
            <w:noWrap/>
            <w:vAlign w:val="bottom"/>
            <w:hideMark/>
          </w:tcPr>
          <w:p w14:paraId="120D6796" w14:textId="77777777" w:rsidR="00E43879" w:rsidRPr="00E43879" w:rsidRDefault="00E43879" w:rsidP="00E43879">
            <w:pPr>
              <w:spacing w:line="240" w:lineRule="auto"/>
              <w:jc w:val="lef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74BACAD" w14:textId="77777777" w:rsidR="00E43879" w:rsidRPr="00E43879" w:rsidRDefault="00E43879" w:rsidP="00E43879">
            <w:pPr>
              <w:spacing w:line="240" w:lineRule="auto"/>
              <w:jc w:val="left"/>
              <w:rPr>
                <w:sz w:val="20"/>
                <w:szCs w:val="20"/>
              </w:rPr>
            </w:pPr>
          </w:p>
        </w:tc>
      </w:tr>
      <w:tr w:rsidR="00E43879" w:rsidRPr="00E43879" w14:paraId="2B4F4D4C" w14:textId="77777777" w:rsidTr="002679C1">
        <w:trPr>
          <w:trHeight w:val="300"/>
          <w:jc w:val="center"/>
        </w:trPr>
        <w:tc>
          <w:tcPr>
            <w:tcW w:w="960" w:type="dxa"/>
            <w:tcBorders>
              <w:top w:val="nil"/>
              <w:left w:val="nil"/>
              <w:bottom w:val="nil"/>
              <w:right w:val="nil"/>
            </w:tcBorders>
            <w:shd w:val="clear" w:color="auto" w:fill="auto"/>
            <w:noWrap/>
            <w:vAlign w:val="bottom"/>
            <w:hideMark/>
          </w:tcPr>
          <w:p w14:paraId="437D88D6" w14:textId="77777777" w:rsidR="00E43879" w:rsidRPr="00E43879" w:rsidRDefault="00E43879" w:rsidP="00E43879">
            <w:pPr>
              <w:spacing w:line="240" w:lineRule="auto"/>
              <w:jc w:val="left"/>
              <w:rPr>
                <w:sz w:val="20"/>
                <w:szCs w:val="20"/>
              </w:rPr>
            </w:pPr>
          </w:p>
        </w:tc>
        <w:tc>
          <w:tcPr>
            <w:tcW w:w="2380" w:type="dxa"/>
            <w:tcBorders>
              <w:top w:val="nil"/>
              <w:left w:val="nil"/>
              <w:bottom w:val="nil"/>
              <w:right w:val="nil"/>
            </w:tcBorders>
            <w:shd w:val="clear" w:color="auto" w:fill="auto"/>
            <w:noWrap/>
            <w:vAlign w:val="center"/>
            <w:hideMark/>
          </w:tcPr>
          <w:p w14:paraId="41F75DC6" w14:textId="77777777" w:rsidR="00E43879" w:rsidRPr="004821F1" w:rsidRDefault="00E43879" w:rsidP="00E43879">
            <w:pPr>
              <w:spacing w:line="240" w:lineRule="auto"/>
              <w:jc w:val="left"/>
              <w:rPr>
                <w:rFonts w:ascii="Arial Narrow" w:hAnsi="Arial Narrow" w:cs="Calibri"/>
                <w:b/>
                <w:bCs/>
                <w:color w:val="000000"/>
                <w:sz w:val="20"/>
                <w:szCs w:val="20"/>
              </w:rPr>
            </w:pPr>
            <w:r w:rsidRPr="004821F1">
              <w:rPr>
                <w:rFonts w:ascii="Arial Narrow" w:hAnsi="Arial Narrow" w:cs="Calibri"/>
                <w:b/>
                <w:bCs/>
                <w:color w:val="000000"/>
                <w:sz w:val="20"/>
                <w:szCs w:val="20"/>
              </w:rPr>
              <w:t xml:space="preserve">Starý areál </w:t>
            </w:r>
          </w:p>
        </w:tc>
        <w:tc>
          <w:tcPr>
            <w:tcW w:w="2000" w:type="dxa"/>
            <w:tcBorders>
              <w:top w:val="nil"/>
              <w:left w:val="nil"/>
              <w:bottom w:val="nil"/>
              <w:right w:val="nil"/>
            </w:tcBorders>
            <w:shd w:val="clear" w:color="auto" w:fill="auto"/>
            <w:noWrap/>
            <w:vAlign w:val="bottom"/>
            <w:hideMark/>
          </w:tcPr>
          <w:p w14:paraId="49D53B36" w14:textId="77777777" w:rsidR="00E43879" w:rsidRPr="004821F1" w:rsidRDefault="00E43879" w:rsidP="00E43879">
            <w:pPr>
              <w:spacing w:line="240" w:lineRule="auto"/>
              <w:jc w:val="left"/>
              <w:rPr>
                <w:rFonts w:ascii="Arial Narrow" w:hAnsi="Arial Narrow" w:cs="Calibri"/>
                <w:b/>
                <w:bCs/>
                <w:color w:val="000000"/>
                <w:sz w:val="20"/>
                <w:szCs w:val="20"/>
              </w:rPr>
            </w:pPr>
          </w:p>
        </w:tc>
        <w:tc>
          <w:tcPr>
            <w:tcW w:w="1240" w:type="dxa"/>
            <w:tcBorders>
              <w:top w:val="nil"/>
              <w:left w:val="nil"/>
              <w:bottom w:val="nil"/>
              <w:right w:val="nil"/>
            </w:tcBorders>
            <w:shd w:val="clear" w:color="auto" w:fill="auto"/>
            <w:noWrap/>
            <w:vAlign w:val="bottom"/>
            <w:hideMark/>
          </w:tcPr>
          <w:p w14:paraId="144D6EFF" w14:textId="687C710F" w:rsidR="00E43879" w:rsidRPr="004821F1" w:rsidRDefault="00E43879" w:rsidP="00261BC4">
            <w:pPr>
              <w:spacing w:line="240" w:lineRule="auto"/>
              <w:jc w:val="left"/>
              <w:rPr>
                <w:rFonts w:ascii="Arial Narrow" w:hAnsi="Arial Narrow" w:cs="Calibri"/>
                <w:color w:val="000000"/>
                <w:sz w:val="20"/>
                <w:szCs w:val="20"/>
              </w:rPr>
            </w:pPr>
            <w:r w:rsidRPr="004821F1">
              <w:rPr>
                <w:rFonts w:ascii="Arial Narrow" w:hAnsi="Arial Narrow" w:cs="Calibri"/>
                <w:color w:val="000000"/>
                <w:sz w:val="20"/>
                <w:szCs w:val="20"/>
              </w:rPr>
              <w:t xml:space="preserve">        40 000   </w:t>
            </w:r>
          </w:p>
        </w:tc>
        <w:tc>
          <w:tcPr>
            <w:tcW w:w="960" w:type="dxa"/>
            <w:tcBorders>
              <w:top w:val="nil"/>
              <w:left w:val="nil"/>
              <w:bottom w:val="nil"/>
              <w:right w:val="nil"/>
            </w:tcBorders>
            <w:shd w:val="clear" w:color="auto" w:fill="auto"/>
            <w:noWrap/>
            <w:vAlign w:val="bottom"/>
            <w:hideMark/>
          </w:tcPr>
          <w:p w14:paraId="79A7E115" w14:textId="77777777" w:rsidR="00E43879" w:rsidRPr="00E43879" w:rsidRDefault="00E43879" w:rsidP="00E43879">
            <w:pPr>
              <w:spacing w:line="240" w:lineRule="auto"/>
              <w:jc w:val="lef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872E887" w14:textId="77777777" w:rsidR="00E43879" w:rsidRPr="00E43879" w:rsidRDefault="00E43879" w:rsidP="00E43879">
            <w:pPr>
              <w:spacing w:line="240" w:lineRule="auto"/>
              <w:jc w:val="left"/>
              <w:rPr>
                <w:sz w:val="20"/>
                <w:szCs w:val="20"/>
              </w:rPr>
            </w:pPr>
          </w:p>
        </w:tc>
      </w:tr>
      <w:tr w:rsidR="00E43879" w:rsidRPr="00E43879" w14:paraId="0B600A05" w14:textId="77777777" w:rsidTr="002679C1">
        <w:trPr>
          <w:trHeight w:val="300"/>
          <w:jc w:val="center"/>
        </w:trPr>
        <w:tc>
          <w:tcPr>
            <w:tcW w:w="960" w:type="dxa"/>
            <w:tcBorders>
              <w:top w:val="nil"/>
              <w:left w:val="nil"/>
              <w:bottom w:val="nil"/>
              <w:right w:val="nil"/>
            </w:tcBorders>
            <w:shd w:val="clear" w:color="auto" w:fill="auto"/>
            <w:noWrap/>
            <w:vAlign w:val="bottom"/>
            <w:hideMark/>
          </w:tcPr>
          <w:p w14:paraId="1C5536AD" w14:textId="77777777" w:rsidR="00E43879" w:rsidRPr="00E43879" w:rsidRDefault="00E43879" w:rsidP="00E43879">
            <w:pPr>
              <w:spacing w:line="240" w:lineRule="auto"/>
              <w:jc w:val="left"/>
              <w:rPr>
                <w:sz w:val="20"/>
                <w:szCs w:val="20"/>
              </w:rPr>
            </w:pPr>
          </w:p>
        </w:tc>
        <w:tc>
          <w:tcPr>
            <w:tcW w:w="2380" w:type="dxa"/>
            <w:tcBorders>
              <w:top w:val="nil"/>
              <w:left w:val="nil"/>
              <w:bottom w:val="nil"/>
              <w:right w:val="nil"/>
            </w:tcBorders>
            <w:shd w:val="clear" w:color="auto" w:fill="auto"/>
            <w:noWrap/>
            <w:vAlign w:val="center"/>
            <w:hideMark/>
          </w:tcPr>
          <w:p w14:paraId="0C1F4B11" w14:textId="77777777" w:rsidR="00E43879" w:rsidRPr="004821F1" w:rsidRDefault="00E43879" w:rsidP="00E43879">
            <w:pPr>
              <w:spacing w:line="240" w:lineRule="auto"/>
              <w:jc w:val="left"/>
              <w:rPr>
                <w:rFonts w:ascii="Arial Narrow" w:hAnsi="Arial Narrow" w:cs="Calibri"/>
                <w:b/>
                <w:bCs/>
                <w:color w:val="000000"/>
                <w:sz w:val="20"/>
                <w:szCs w:val="20"/>
              </w:rPr>
            </w:pPr>
            <w:r w:rsidRPr="004821F1">
              <w:rPr>
                <w:rFonts w:ascii="Arial Narrow" w:hAnsi="Arial Narrow" w:cs="Calibri"/>
                <w:b/>
                <w:bCs/>
                <w:color w:val="000000"/>
                <w:sz w:val="20"/>
                <w:szCs w:val="20"/>
              </w:rPr>
              <w:t xml:space="preserve">Presun do nového pavilónu </w:t>
            </w:r>
          </w:p>
        </w:tc>
        <w:tc>
          <w:tcPr>
            <w:tcW w:w="2000" w:type="dxa"/>
            <w:tcBorders>
              <w:top w:val="nil"/>
              <w:left w:val="nil"/>
              <w:bottom w:val="nil"/>
              <w:right w:val="nil"/>
            </w:tcBorders>
            <w:shd w:val="clear" w:color="auto" w:fill="auto"/>
            <w:noWrap/>
            <w:vAlign w:val="bottom"/>
            <w:hideMark/>
          </w:tcPr>
          <w:p w14:paraId="278F71D7" w14:textId="77777777" w:rsidR="00E43879" w:rsidRPr="004821F1" w:rsidRDefault="00E43879" w:rsidP="00E43879">
            <w:pPr>
              <w:spacing w:line="240" w:lineRule="auto"/>
              <w:jc w:val="left"/>
              <w:rPr>
                <w:rFonts w:ascii="Arial Narrow" w:hAnsi="Arial Narrow" w:cs="Calibri"/>
                <w:b/>
                <w:bCs/>
                <w:color w:val="000000"/>
                <w:sz w:val="20"/>
                <w:szCs w:val="20"/>
              </w:rPr>
            </w:pPr>
          </w:p>
        </w:tc>
        <w:tc>
          <w:tcPr>
            <w:tcW w:w="1240" w:type="dxa"/>
            <w:tcBorders>
              <w:top w:val="nil"/>
              <w:left w:val="nil"/>
              <w:bottom w:val="nil"/>
              <w:right w:val="nil"/>
            </w:tcBorders>
            <w:shd w:val="clear" w:color="auto" w:fill="auto"/>
            <w:noWrap/>
            <w:vAlign w:val="bottom"/>
            <w:hideMark/>
          </w:tcPr>
          <w:p w14:paraId="450F1474" w14:textId="148232FB" w:rsidR="00E43879" w:rsidRPr="004821F1" w:rsidRDefault="00E43879" w:rsidP="00261BC4">
            <w:pPr>
              <w:spacing w:line="240" w:lineRule="auto"/>
              <w:jc w:val="left"/>
              <w:rPr>
                <w:rFonts w:ascii="Arial Narrow" w:hAnsi="Arial Narrow" w:cs="Calibri"/>
                <w:color w:val="000000"/>
                <w:sz w:val="20"/>
                <w:szCs w:val="20"/>
              </w:rPr>
            </w:pPr>
            <w:r w:rsidRPr="004821F1">
              <w:rPr>
                <w:rFonts w:ascii="Arial Narrow" w:hAnsi="Arial Narrow" w:cs="Calibri"/>
                <w:color w:val="000000"/>
                <w:sz w:val="20"/>
                <w:szCs w:val="20"/>
              </w:rPr>
              <w:t xml:space="preserve">        25 000   </w:t>
            </w:r>
          </w:p>
        </w:tc>
        <w:tc>
          <w:tcPr>
            <w:tcW w:w="960" w:type="dxa"/>
            <w:tcBorders>
              <w:top w:val="nil"/>
              <w:left w:val="nil"/>
              <w:bottom w:val="nil"/>
              <w:right w:val="nil"/>
            </w:tcBorders>
            <w:shd w:val="clear" w:color="auto" w:fill="auto"/>
            <w:noWrap/>
            <w:vAlign w:val="bottom"/>
            <w:hideMark/>
          </w:tcPr>
          <w:p w14:paraId="6E908DB0" w14:textId="77777777" w:rsidR="00E43879" w:rsidRPr="00E43879" w:rsidRDefault="00E43879" w:rsidP="00E43879">
            <w:pPr>
              <w:spacing w:line="240" w:lineRule="auto"/>
              <w:jc w:val="lef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A989A31" w14:textId="77777777" w:rsidR="00E43879" w:rsidRPr="00E43879" w:rsidRDefault="00E43879" w:rsidP="00E43879">
            <w:pPr>
              <w:spacing w:line="240" w:lineRule="auto"/>
              <w:jc w:val="left"/>
              <w:rPr>
                <w:sz w:val="20"/>
                <w:szCs w:val="20"/>
              </w:rPr>
            </w:pPr>
          </w:p>
        </w:tc>
      </w:tr>
    </w:tbl>
    <w:p w14:paraId="4CFAA169" w14:textId="3E353136" w:rsidR="00895EEE" w:rsidRPr="006B1505" w:rsidRDefault="001D07CB" w:rsidP="00895EEE">
      <w:pPr>
        <w:pStyle w:val="Popis"/>
        <w:spacing w:before="0" w:after="0" w:line="240" w:lineRule="auto"/>
        <w:rPr>
          <w:rFonts w:ascii="Century Gothic" w:hAnsi="Century Gothic" w:cstheme="minorHAnsi"/>
          <w:b w:val="0"/>
          <w:i/>
          <w:sz w:val="18"/>
          <w:szCs w:val="18"/>
        </w:rPr>
      </w:pPr>
      <w:r>
        <w:rPr>
          <w:rFonts w:ascii="Century Gothic" w:hAnsi="Century Gothic" w:cstheme="minorHAnsi"/>
          <w:b w:val="0"/>
          <w:i/>
          <w:sz w:val="18"/>
          <w:szCs w:val="18"/>
        </w:rPr>
        <w:t xml:space="preserve">Zdroj: </w:t>
      </w:r>
      <w:proofErr w:type="spellStart"/>
      <w:r>
        <w:rPr>
          <w:rFonts w:ascii="Century Gothic" w:hAnsi="Century Gothic" w:cstheme="minorHAnsi"/>
          <w:b w:val="0"/>
          <w:i/>
          <w:sz w:val="18"/>
          <w:szCs w:val="18"/>
        </w:rPr>
        <w:t>FNsP</w:t>
      </w:r>
      <w:proofErr w:type="spellEnd"/>
      <w:r>
        <w:rPr>
          <w:rFonts w:ascii="Century Gothic" w:hAnsi="Century Gothic" w:cstheme="minorHAnsi"/>
          <w:b w:val="0"/>
          <w:i/>
          <w:sz w:val="18"/>
          <w:szCs w:val="18"/>
        </w:rPr>
        <w:t xml:space="preserve"> </w:t>
      </w:r>
      <w:r w:rsidR="00895EEE" w:rsidRPr="006B1505">
        <w:rPr>
          <w:rFonts w:ascii="Century Gothic" w:hAnsi="Century Gothic" w:cstheme="minorHAnsi"/>
          <w:b w:val="0"/>
          <w:i/>
          <w:sz w:val="18"/>
          <w:szCs w:val="18"/>
        </w:rPr>
        <w:t>Žilina</w:t>
      </w:r>
    </w:p>
    <w:p w14:paraId="2CEFBF82" w14:textId="79770CC9" w:rsidR="00895EEE" w:rsidRDefault="00895EEE" w:rsidP="00E0451E">
      <w:pPr>
        <w:rPr>
          <w:lang w:eastAsia="en-US"/>
        </w:rPr>
      </w:pPr>
    </w:p>
    <w:p w14:paraId="037522CC" w14:textId="51D978A6" w:rsidR="00816D02" w:rsidRDefault="00816D02" w:rsidP="00D43498">
      <w:pPr>
        <w:spacing w:line="240" w:lineRule="auto"/>
        <w:rPr>
          <w:rFonts w:ascii="Century Gothic" w:hAnsi="Century Gothic"/>
          <w:sz w:val="22"/>
          <w:szCs w:val="22"/>
          <w:lang w:eastAsia="en-US"/>
        </w:rPr>
      </w:pPr>
      <w:r w:rsidRPr="00FE1699">
        <w:rPr>
          <w:rFonts w:ascii="Century Gothic" w:hAnsi="Century Gothic"/>
          <w:sz w:val="22"/>
          <w:szCs w:val="22"/>
          <w:lang w:eastAsia="en-US"/>
        </w:rPr>
        <w:t xml:space="preserve">Z celkovej výmery čistej podlahovej plochy (NFA – Net </w:t>
      </w:r>
      <w:proofErr w:type="spellStart"/>
      <w:r w:rsidRPr="00FE1699">
        <w:rPr>
          <w:rFonts w:ascii="Century Gothic" w:hAnsi="Century Gothic"/>
          <w:sz w:val="22"/>
          <w:szCs w:val="22"/>
          <w:lang w:eastAsia="en-US"/>
        </w:rPr>
        <w:t>Floor</w:t>
      </w:r>
      <w:proofErr w:type="spellEnd"/>
      <w:r w:rsidRPr="00FE1699">
        <w:rPr>
          <w:rFonts w:ascii="Century Gothic" w:hAnsi="Century Gothic"/>
          <w:sz w:val="22"/>
          <w:szCs w:val="22"/>
          <w:lang w:eastAsia="en-US"/>
        </w:rPr>
        <w:t xml:space="preserve"> </w:t>
      </w:r>
      <w:proofErr w:type="spellStart"/>
      <w:r w:rsidRPr="00FE1699">
        <w:rPr>
          <w:rFonts w:ascii="Century Gothic" w:hAnsi="Century Gothic"/>
          <w:sz w:val="22"/>
          <w:szCs w:val="22"/>
          <w:lang w:eastAsia="en-US"/>
        </w:rPr>
        <w:t>Area</w:t>
      </w:r>
      <w:proofErr w:type="spellEnd"/>
      <w:r w:rsidRPr="00FE1699">
        <w:rPr>
          <w:rFonts w:ascii="Century Gothic" w:hAnsi="Century Gothic"/>
          <w:sz w:val="22"/>
          <w:szCs w:val="22"/>
          <w:lang w:eastAsia="en-US"/>
        </w:rPr>
        <w:t>)  65 108 m</w:t>
      </w:r>
      <w:r w:rsidRPr="00FE1699">
        <w:rPr>
          <w:rFonts w:ascii="Century Gothic" w:hAnsi="Century Gothic"/>
          <w:sz w:val="22"/>
          <w:szCs w:val="22"/>
          <w:vertAlign w:val="superscript"/>
          <w:lang w:eastAsia="en-US"/>
        </w:rPr>
        <w:t>2</w:t>
      </w:r>
      <w:r w:rsidRPr="00FE1699">
        <w:rPr>
          <w:rFonts w:ascii="Century Gothic" w:hAnsi="Century Gothic"/>
          <w:sz w:val="22"/>
          <w:szCs w:val="22"/>
          <w:lang w:eastAsia="en-US"/>
        </w:rPr>
        <w:t xml:space="preserve"> sa cca</w:t>
      </w:r>
      <w:r w:rsidR="00FE1699">
        <w:rPr>
          <w:rFonts w:ascii="Century Gothic" w:hAnsi="Century Gothic"/>
          <w:sz w:val="22"/>
          <w:szCs w:val="22"/>
          <w:lang w:eastAsia="en-US"/>
        </w:rPr>
        <w:t>.</w:t>
      </w:r>
      <w:r w:rsidRPr="00FE1699">
        <w:rPr>
          <w:rFonts w:ascii="Century Gothic" w:hAnsi="Century Gothic"/>
          <w:sz w:val="22"/>
          <w:szCs w:val="22"/>
          <w:lang w:eastAsia="en-US"/>
        </w:rPr>
        <w:t xml:space="preserve"> 2</w:t>
      </w:r>
      <w:r w:rsidR="00E43879" w:rsidRPr="00FE1699">
        <w:rPr>
          <w:rFonts w:ascii="Century Gothic" w:hAnsi="Century Gothic"/>
          <w:sz w:val="22"/>
          <w:szCs w:val="22"/>
          <w:lang w:eastAsia="en-US"/>
        </w:rPr>
        <w:t>5</w:t>
      </w:r>
      <w:r w:rsidRPr="00FE1699">
        <w:rPr>
          <w:rFonts w:ascii="Century Gothic" w:hAnsi="Century Gothic"/>
          <w:sz w:val="22"/>
          <w:szCs w:val="22"/>
          <w:lang w:eastAsia="en-US"/>
        </w:rPr>
        <w:t> 000 m</w:t>
      </w:r>
      <w:r w:rsidRPr="00FE1699">
        <w:rPr>
          <w:rFonts w:ascii="Century Gothic" w:hAnsi="Century Gothic"/>
          <w:sz w:val="22"/>
          <w:szCs w:val="22"/>
          <w:vertAlign w:val="superscript"/>
          <w:lang w:eastAsia="en-US"/>
        </w:rPr>
        <w:t xml:space="preserve">2 </w:t>
      </w:r>
      <w:r w:rsidRPr="00FE1699">
        <w:rPr>
          <w:rFonts w:ascii="Century Gothic" w:hAnsi="Century Gothic"/>
          <w:sz w:val="22"/>
          <w:szCs w:val="22"/>
          <w:lang w:eastAsia="en-US"/>
        </w:rPr>
        <w:t xml:space="preserve">presunie do nového pavilónu a táto plocha existujúcich priestorov </w:t>
      </w:r>
      <w:r w:rsidR="007756C0">
        <w:rPr>
          <w:rFonts w:ascii="Century Gothic" w:hAnsi="Century Gothic"/>
          <w:sz w:val="22"/>
          <w:szCs w:val="22"/>
          <w:lang w:eastAsia="en-US"/>
        </w:rPr>
        <w:t>s</w:t>
      </w:r>
      <w:r w:rsidRPr="00FE1699">
        <w:rPr>
          <w:rFonts w:ascii="Century Gothic" w:hAnsi="Century Gothic"/>
          <w:sz w:val="22"/>
          <w:szCs w:val="22"/>
          <w:lang w:eastAsia="en-US"/>
        </w:rPr>
        <w:t xml:space="preserve">a uvoľní pre iné využitie, či už pre poskytovanie zdravotnej starostlivosti v medicínskych odbornostiach, ktoré ostanú v pôvodných priestoroch, alebo pre budúci rozvoj resp. </w:t>
      </w:r>
      <w:r w:rsidR="00251E36">
        <w:rPr>
          <w:rFonts w:ascii="Century Gothic" w:hAnsi="Century Gothic"/>
          <w:sz w:val="22"/>
          <w:szCs w:val="22"/>
          <w:lang w:eastAsia="en-US"/>
        </w:rPr>
        <w:t xml:space="preserve">zostane zachovaná </w:t>
      </w:r>
      <w:r w:rsidRPr="00FE1699">
        <w:rPr>
          <w:rFonts w:ascii="Century Gothic" w:hAnsi="Century Gothic"/>
          <w:sz w:val="22"/>
          <w:szCs w:val="22"/>
          <w:lang w:eastAsia="en-US"/>
        </w:rPr>
        <w:t>ako rezervná kapacita</w:t>
      </w:r>
      <w:r w:rsidR="00251E36">
        <w:rPr>
          <w:rFonts w:ascii="Century Gothic" w:hAnsi="Century Gothic"/>
          <w:sz w:val="22"/>
          <w:szCs w:val="22"/>
          <w:lang w:eastAsia="en-US"/>
        </w:rPr>
        <w:t>, resp. bude asanovaná.</w:t>
      </w:r>
    </w:p>
    <w:p w14:paraId="2C6555D1" w14:textId="77777777" w:rsidR="00D43498" w:rsidRPr="00FE1699" w:rsidRDefault="00D43498" w:rsidP="00D43498">
      <w:pPr>
        <w:spacing w:line="240" w:lineRule="auto"/>
        <w:rPr>
          <w:rFonts w:ascii="Century Gothic" w:hAnsi="Century Gothic"/>
          <w:sz w:val="22"/>
          <w:szCs w:val="22"/>
          <w:lang w:eastAsia="en-US"/>
        </w:rPr>
      </w:pPr>
    </w:p>
    <w:p w14:paraId="03699B2E" w14:textId="77777777" w:rsidR="0072689D" w:rsidRDefault="00816D02" w:rsidP="00D43498">
      <w:pPr>
        <w:spacing w:line="240" w:lineRule="auto"/>
        <w:rPr>
          <w:rFonts w:ascii="Century Gothic" w:hAnsi="Century Gothic"/>
          <w:sz w:val="22"/>
          <w:szCs w:val="22"/>
          <w:lang w:eastAsia="en-US"/>
        </w:rPr>
      </w:pPr>
      <w:r w:rsidRPr="00FE1699">
        <w:rPr>
          <w:rFonts w:ascii="Century Gothic" w:hAnsi="Century Gothic"/>
          <w:sz w:val="22"/>
          <w:szCs w:val="22"/>
          <w:lang w:eastAsia="en-US"/>
        </w:rPr>
        <w:t xml:space="preserve">Nový pavilón bude mať cca </w:t>
      </w:r>
      <w:r w:rsidR="00375CED" w:rsidRPr="00FE1699">
        <w:rPr>
          <w:rFonts w:ascii="Century Gothic" w:hAnsi="Century Gothic"/>
          <w:sz w:val="22"/>
          <w:szCs w:val="22"/>
          <w:lang w:eastAsia="en-US"/>
        </w:rPr>
        <w:t>55</w:t>
      </w:r>
      <w:r w:rsidRPr="00FE1699">
        <w:rPr>
          <w:rFonts w:ascii="Century Gothic" w:hAnsi="Century Gothic"/>
          <w:sz w:val="22"/>
          <w:szCs w:val="22"/>
          <w:lang w:eastAsia="en-US"/>
        </w:rPr>
        <w:t> 000 m</w:t>
      </w:r>
      <w:r w:rsidRPr="00FE1699">
        <w:rPr>
          <w:rFonts w:ascii="Century Gothic" w:hAnsi="Century Gothic"/>
          <w:sz w:val="22"/>
          <w:szCs w:val="22"/>
          <w:vertAlign w:val="superscript"/>
          <w:lang w:eastAsia="en-US"/>
        </w:rPr>
        <w:t>2</w:t>
      </w:r>
      <w:r w:rsidRPr="00FE1699">
        <w:rPr>
          <w:rFonts w:ascii="Century Gothic" w:hAnsi="Century Gothic"/>
          <w:sz w:val="22"/>
          <w:szCs w:val="22"/>
          <w:lang w:eastAsia="en-US"/>
        </w:rPr>
        <w:t xml:space="preserve"> čistej podlahovej plochy </w:t>
      </w:r>
      <w:proofErr w:type="spellStart"/>
      <w:r w:rsidRPr="00FE1699">
        <w:rPr>
          <w:rFonts w:ascii="Century Gothic" w:hAnsi="Century Gothic"/>
          <w:sz w:val="22"/>
          <w:szCs w:val="22"/>
          <w:lang w:eastAsia="en-US"/>
        </w:rPr>
        <w:t>t.j</w:t>
      </w:r>
      <w:proofErr w:type="spellEnd"/>
      <w:r w:rsidRPr="00FE1699">
        <w:rPr>
          <w:rFonts w:ascii="Century Gothic" w:hAnsi="Century Gothic"/>
          <w:sz w:val="22"/>
          <w:szCs w:val="22"/>
          <w:lang w:eastAsia="en-US"/>
        </w:rPr>
        <w:t>. bude kapacitne nastavený z pohľadu podlahovej plochy zhruba na úrovni zostávajúc</w:t>
      </w:r>
      <w:r w:rsidR="00FE1699">
        <w:rPr>
          <w:rFonts w:ascii="Century Gothic" w:hAnsi="Century Gothic"/>
          <w:sz w:val="22"/>
          <w:szCs w:val="22"/>
          <w:lang w:eastAsia="en-US"/>
        </w:rPr>
        <w:t xml:space="preserve">eho pôvodného areálu </w:t>
      </w:r>
      <w:proofErr w:type="spellStart"/>
      <w:r w:rsidR="00FE1699">
        <w:rPr>
          <w:rFonts w:ascii="Century Gothic" w:hAnsi="Century Gothic"/>
          <w:sz w:val="22"/>
          <w:szCs w:val="22"/>
          <w:lang w:eastAsia="en-US"/>
        </w:rPr>
        <w:t>FNsP</w:t>
      </w:r>
      <w:proofErr w:type="spellEnd"/>
      <w:r w:rsidR="00FE1699">
        <w:rPr>
          <w:rFonts w:ascii="Century Gothic" w:hAnsi="Century Gothic"/>
          <w:sz w:val="22"/>
          <w:szCs w:val="22"/>
          <w:lang w:eastAsia="en-US"/>
        </w:rPr>
        <w:t xml:space="preserve"> Žilina</w:t>
      </w:r>
      <w:r w:rsidRPr="00FE1699">
        <w:rPr>
          <w:rFonts w:ascii="Century Gothic" w:hAnsi="Century Gothic"/>
          <w:sz w:val="22"/>
          <w:szCs w:val="22"/>
          <w:lang w:eastAsia="en-US"/>
        </w:rPr>
        <w:t xml:space="preserve">.   </w:t>
      </w:r>
    </w:p>
    <w:p w14:paraId="52CFC028" w14:textId="77777777" w:rsidR="0072689D" w:rsidRDefault="0072689D" w:rsidP="00E0451E">
      <w:pPr>
        <w:rPr>
          <w:rFonts w:ascii="Century Gothic" w:hAnsi="Century Gothic"/>
          <w:sz w:val="22"/>
          <w:szCs w:val="22"/>
          <w:lang w:eastAsia="en-US"/>
        </w:rPr>
      </w:pPr>
    </w:p>
    <w:p w14:paraId="5A4D594F" w14:textId="561B5A91" w:rsidR="0072689D" w:rsidRDefault="0072689D" w:rsidP="00E0451E">
      <w:pPr>
        <w:rPr>
          <w:rFonts w:ascii="Century Gothic" w:hAnsi="Century Gothic"/>
          <w:sz w:val="22"/>
          <w:szCs w:val="22"/>
          <w:lang w:eastAsia="en-US"/>
        </w:rPr>
      </w:pPr>
    </w:p>
    <w:p w14:paraId="726E4577" w14:textId="77777777" w:rsidR="007756C0" w:rsidRDefault="007756C0" w:rsidP="00E0451E">
      <w:pPr>
        <w:rPr>
          <w:rFonts w:ascii="Century Gothic" w:hAnsi="Century Gothic"/>
          <w:sz w:val="22"/>
          <w:szCs w:val="22"/>
          <w:lang w:eastAsia="en-US"/>
        </w:rPr>
      </w:pPr>
    </w:p>
    <w:p w14:paraId="5748A94E" w14:textId="77777777" w:rsidR="0072689D" w:rsidRDefault="0072689D" w:rsidP="00E0451E">
      <w:pPr>
        <w:rPr>
          <w:rFonts w:ascii="Century Gothic" w:hAnsi="Century Gothic"/>
          <w:sz w:val="22"/>
          <w:szCs w:val="22"/>
          <w:lang w:eastAsia="en-US"/>
        </w:rPr>
      </w:pPr>
    </w:p>
    <w:p w14:paraId="05335E1F" w14:textId="3CDC1604" w:rsidR="00FE1699" w:rsidRPr="0072689D" w:rsidRDefault="0072689D" w:rsidP="0072689D">
      <w:pPr>
        <w:pStyle w:val="Popis"/>
        <w:spacing w:before="0" w:after="0" w:line="240" w:lineRule="auto"/>
        <w:rPr>
          <w:rFonts w:ascii="Century Gothic" w:hAnsi="Century Gothic" w:cstheme="minorBidi"/>
          <w:b w:val="0"/>
        </w:rPr>
      </w:pPr>
      <w:bookmarkStart w:id="118" w:name="_Toc145219930"/>
      <w:r w:rsidRPr="0072689D">
        <w:rPr>
          <w:rFonts w:ascii="Century Gothic" w:hAnsi="Century Gothic" w:cstheme="minorBidi"/>
          <w:b w:val="0"/>
          <w:i/>
        </w:rPr>
        <w:lastRenderedPageBreak/>
        <w:t xml:space="preserve">Tabuľka </w:t>
      </w:r>
      <w:r w:rsidRPr="0072689D">
        <w:rPr>
          <w:rFonts w:ascii="Century Gothic" w:hAnsi="Century Gothic" w:cstheme="minorBidi"/>
          <w:b w:val="0"/>
          <w:i/>
        </w:rPr>
        <w:fldChar w:fldCharType="begin"/>
      </w:r>
      <w:r w:rsidRPr="0072689D">
        <w:rPr>
          <w:rFonts w:ascii="Century Gothic" w:hAnsi="Century Gothic" w:cstheme="minorBidi"/>
          <w:b w:val="0"/>
          <w:i/>
        </w:rPr>
        <w:instrText xml:space="preserve"> SEQ Tabuľka \* ARABIC </w:instrText>
      </w:r>
      <w:r w:rsidRPr="0072689D">
        <w:rPr>
          <w:rFonts w:ascii="Century Gothic" w:hAnsi="Century Gothic" w:cstheme="minorBidi"/>
          <w:b w:val="0"/>
          <w:i/>
        </w:rPr>
        <w:fldChar w:fldCharType="separate"/>
      </w:r>
      <w:r w:rsidR="007D6A44">
        <w:rPr>
          <w:rFonts w:ascii="Century Gothic" w:hAnsi="Century Gothic" w:cstheme="minorBidi"/>
          <w:b w:val="0"/>
          <w:i/>
          <w:noProof/>
        </w:rPr>
        <w:t>29</w:t>
      </w:r>
      <w:r w:rsidRPr="0072689D">
        <w:rPr>
          <w:rFonts w:ascii="Century Gothic" w:hAnsi="Century Gothic" w:cstheme="minorBidi"/>
          <w:b w:val="0"/>
          <w:i/>
        </w:rPr>
        <w:fldChar w:fldCharType="end"/>
      </w:r>
      <w:r>
        <w:rPr>
          <w:rFonts w:ascii="Century Gothic" w:hAnsi="Century Gothic" w:cstheme="minorBidi"/>
          <w:b w:val="0"/>
          <w:i/>
        </w:rPr>
        <w:t>Rozloženie oddelenie v </w:t>
      </w:r>
      <w:r w:rsidR="007756C0">
        <w:rPr>
          <w:rFonts w:ascii="Century Gothic" w:hAnsi="Century Gothic" w:cstheme="minorBidi"/>
          <w:b w:val="0"/>
          <w:i/>
        </w:rPr>
        <w:t>n</w:t>
      </w:r>
      <w:r>
        <w:rPr>
          <w:rFonts w:ascii="Century Gothic" w:hAnsi="Century Gothic" w:cstheme="minorBidi"/>
          <w:b w:val="0"/>
          <w:i/>
        </w:rPr>
        <w:t>ovom Pavilóne urgentnej medicíny</w:t>
      </w:r>
      <w:bookmarkEnd w:id="118"/>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934"/>
        <w:gridCol w:w="1954"/>
      </w:tblGrid>
      <w:tr w:rsidR="0024496D" w14:paraId="4CA2C854" w14:textId="77777777" w:rsidTr="00FE1699">
        <w:trPr>
          <w:trHeight w:val="302"/>
        </w:trPr>
        <w:tc>
          <w:tcPr>
            <w:tcW w:w="4934" w:type="dxa"/>
            <w:shd w:val="solid" w:color="FFFFFF" w:themeColor="background1" w:fill="auto"/>
          </w:tcPr>
          <w:p w14:paraId="0BF6F630" w14:textId="5E9E5986" w:rsidR="0024496D" w:rsidRPr="00554317" w:rsidRDefault="0024496D">
            <w:pPr>
              <w:autoSpaceDE w:val="0"/>
              <w:autoSpaceDN w:val="0"/>
              <w:adjustRightInd w:val="0"/>
              <w:spacing w:line="240" w:lineRule="auto"/>
              <w:jc w:val="right"/>
              <w:rPr>
                <w:rFonts w:ascii="Arial Narrow" w:eastAsiaTheme="minorHAnsi" w:hAnsi="Arial Narrow" w:cs="Arial"/>
                <w:b/>
                <w:bCs/>
                <w:color w:val="000000"/>
                <w:sz w:val="20"/>
                <w:szCs w:val="20"/>
                <w:lang w:eastAsia="en-US"/>
              </w:rPr>
            </w:pPr>
          </w:p>
        </w:tc>
        <w:tc>
          <w:tcPr>
            <w:tcW w:w="1954" w:type="dxa"/>
            <w:shd w:val="solid" w:color="FFFFFF" w:themeColor="background1" w:fill="auto"/>
          </w:tcPr>
          <w:p w14:paraId="2AD87239" w14:textId="77777777" w:rsidR="0024496D" w:rsidRPr="00554317" w:rsidRDefault="0024496D">
            <w:pPr>
              <w:autoSpaceDE w:val="0"/>
              <w:autoSpaceDN w:val="0"/>
              <w:adjustRightInd w:val="0"/>
              <w:spacing w:line="240" w:lineRule="auto"/>
              <w:jc w:val="center"/>
              <w:rPr>
                <w:rFonts w:ascii="Arial Narrow" w:eastAsiaTheme="minorHAnsi" w:hAnsi="Arial Narrow" w:cs="Calibri"/>
                <w:b/>
                <w:bCs/>
                <w:color w:val="000000"/>
                <w:sz w:val="20"/>
                <w:szCs w:val="20"/>
                <w:lang w:eastAsia="en-US"/>
              </w:rPr>
            </w:pPr>
            <w:r w:rsidRPr="00554317">
              <w:rPr>
                <w:rFonts w:ascii="Arial Narrow" w:eastAsiaTheme="minorHAnsi" w:hAnsi="Arial Narrow" w:cs="Calibri"/>
                <w:b/>
                <w:bCs/>
                <w:color w:val="000000"/>
                <w:sz w:val="20"/>
                <w:szCs w:val="20"/>
                <w:lang w:eastAsia="en-US"/>
              </w:rPr>
              <w:t>Počet celkovo</w:t>
            </w:r>
          </w:p>
        </w:tc>
      </w:tr>
      <w:tr w:rsidR="0024496D" w14:paraId="55C44B61" w14:textId="77777777" w:rsidTr="003E480E">
        <w:trPr>
          <w:trHeight w:val="231"/>
        </w:trPr>
        <w:tc>
          <w:tcPr>
            <w:tcW w:w="4934" w:type="dxa"/>
            <w:vAlign w:val="center"/>
          </w:tcPr>
          <w:p w14:paraId="1BEC0D45" w14:textId="77777777" w:rsidR="0024496D" w:rsidRPr="00554317" w:rsidRDefault="0024496D">
            <w:pPr>
              <w:autoSpaceDE w:val="0"/>
              <w:autoSpaceDN w:val="0"/>
              <w:adjustRightInd w:val="0"/>
              <w:spacing w:line="240" w:lineRule="auto"/>
              <w:jc w:val="left"/>
              <w:rPr>
                <w:rFonts w:ascii="Arial Narrow" w:eastAsiaTheme="minorHAnsi" w:hAnsi="Arial Narrow" w:cs="Arial"/>
                <w:b/>
                <w:bCs/>
                <w:color w:val="000000"/>
                <w:sz w:val="20"/>
                <w:szCs w:val="20"/>
                <w:lang w:eastAsia="en-US"/>
              </w:rPr>
            </w:pPr>
            <w:r w:rsidRPr="00554317">
              <w:rPr>
                <w:rFonts w:ascii="Arial Narrow" w:eastAsiaTheme="minorHAnsi" w:hAnsi="Arial Narrow" w:cs="Arial"/>
                <w:b/>
                <w:bCs/>
                <w:color w:val="000000"/>
                <w:sz w:val="20"/>
                <w:szCs w:val="20"/>
                <w:lang w:eastAsia="en-US"/>
              </w:rPr>
              <w:t>Lôžkové oddelenia</w:t>
            </w:r>
          </w:p>
        </w:tc>
        <w:tc>
          <w:tcPr>
            <w:tcW w:w="1954" w:type="dxa"/>
            <w:vAlign w:val="center"/>
          </w:tcPr>
          <w:p w14:paraId="43B36F5E" w14:textId="77777777" w:rsidR="0024496D" w:rsidRPr="00554317" w:rsidRDefault="0024496D">
            <w:pPr>
              <w:autoSpaceDE w:val="0"/>
              <w:autoSpaceDN w:val="0"/>
              <w:adjustRightInd w:val="0"/>
              <w:spacing w:line="240" w:lineRule="auto"/>
              <w:jc w:val="center"/>
              <w:rPr>
                <w:rFonts w:ascii="Arial Narrow" w:eastAsiaTheme="minorHAnsi" w:hAnsi="Arial Narrow" w:cs="Calibri"/>
                <w:b/>
                <w:bCs/>
                <w:color w:val="000000"/>
                <w:sz w:val="20"/>
                <w:szCs w:val="20"/>
                <w:lang w:eastAsia="en-US"/>
              </w:rPr>
            </w:pPr>
            <w:r w:rsidRPr="00554317">
              <w:rPr>
                <w:rFonts w:ascii="Arial Narrow" w:eastAsiaTheme="minorHAnsi" w:hAnsi="Arial Narrow" w:cs="Calibri"/>
                <w:b/>
                <w:bCs/>
                <w:color w:val="000000"/>
                <w:sz w:val="20"/>
                <w:szCs w:val="20"/>
                <w:lang w:eastAsia="en-US"/>
              </w:rPr>
              <w:t>počet</w:t>
            </w:r>
          </w:p>
        </w:tc>
      </w:tr>
      <w:tr w:rsidR="0024496D" w14:paraId="56F30ABF" w14:textId="77777777" w:rsidTr="003E480E">
        <w:trPr>
          <w:trHeight w:val="302"/>
        </w:trPr>
        <w:tc>
          <w:tcPr>
            <w:tcW w:w="4934" w:type="dxa"/>
            <w:tcBorders>
              <w:bottom w:val="single" w:sz="4" w:space="0" w:color="auto"/>
            </w:tcBorders>
            <w:vAlign w:val="center"/>
          </w:tcPr>
          <w:p w14:paraId="668CA718" w14:textId="77777777" w:rsidR="0024496D" w:rsidRPr="00554317" w:rsidRDefault="0024496D">
            <w:pPr>
              <w:autoSpaceDE w:val="0"/>
              <w:autoSpaceDN w:val="0"/>
              <w:adjustRightInd w:val="0"/>
              <w:spacing w:line="240" w:lineRule="auto"/>
              <w:jc w:val="left"/>
              <w:rPr>
                <w:rFonts w:ascii="Arial Narrow" w:eastAsiaTheme="minorHAnsi" w:hAnsi="Arial Narrow" w:cs="Calibri"/>
                <w:b/>
                <w:bCs/>
                <w:color w:val="008000"/>
                <w:sz w:val="20"/>
                <w:szCs w:val="20"/>
                <w:lang w:eastAsia="en-US"/>
              </w:rPr>
            </w:pPr>
            <w:r w:rsidRPr="00554317">
              <w:rPr>
                <w:rFonts w:ascii="Arial Narrow" w:eastAsiaTheme="minorHAnsi" w:hAnsi="Arial Narrow" w:cs="Calibri"/>
                <w:b/>
                <w:bCs/>
                <w:color w:val="008000"/>
                <w:sz w:val="20"/>
                <w:szCs w:val="20"/>
                <w:lang w:eastAsia="en-US"/>
              </w:rPr>
              <w:t>Klasická jednolôžková izba s WC</w:t>
            </w:r>
          </w:p>
        </w:tc>
        <w:tc>
          <w:tcPr>
            <w:tcW w:w="1954" w:type="dxa"/>
            <w:tcBorders>
              <w:bottom w:val="single" w:sz="4" w:space="0" w:color="auto"/>
            </w:tcBorders>
            <w:vAlign w:val="center"/>
          </w:tcPr>
          <w:p w14:paraId="19010394" w14:textId="77777777" w:rsidR="0024496D" w:rsidRPr="00554317" w:rsidRDefault="0024496D">
            <w:pPr>
              <w:autoSpaceDE w:val="0"/>
              <w:autoSpaceDN w:val="0"/>
              <w:adjustRightInd w:val="0"/>
              <w:spacing w:line="240" w:lineRule="auto"/>
              <w:jc w:val="center"/>
              <w:rPr>
                <w:rFonts w:ascii="Arial Narrow" w:eastAsiaTheme="minorHAnsi" w:hAnsi="Arial Narrow" w:cs="Calibri"/>
                <w:b/>
                <w:bCs/>
                <w:sz w:val="20"/>
                <w:szCs w:val="20"/>
                <w:lang w:eastAsia="en-US"/>
              </w:rPr>
            </w:pPr>
            <w:r w:rsidRPr="00554317">
              <w:rPr>
                <w:rFonts w:ascii="Arial Narrow" w:eastAsiaTheme="minorHAnsi" w:hAnsi="Arial Narrow" w:cs="Calibri"/>
                <w:b/>
                <w:bCs/>
                <w:sz w:val="20"/>
                <w:szCs w:val="20"/>
                <w:lang w:eastAsia="en-US"/>
              </w:rPr>
              <w:t>343</w:t>
            </w:r>
          </w:p>
        </w:tc>
      </w:tr>
      <w:tr w:rsidR="0024496D" w14:paraId="1D67DC4C" w14:textId="77777777" w:rsidTr="003E480E">
        <w:trPr>
          <w:trHeight w:val="302"/>
        </w:trPr>
        <w:tc>
          <w:tcPr>
            <w:tcW w:w="4934" w:type="dxa"/>
            <w:shd w:val="clear" w:color="auto" w:fill="D6E3BC" w:themeFill="accent3" w:themeFillTint="66"/>
            <w:vAlign w:val="center"/>
          </w:tcPr>
          <w:p w14:paraId="44F03440"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Chirurgia - lôžkové oddelenie</w:t>
            </w:r>
          </w:p>
        </w:tc>
        <w:tc>
          <w:tcPr>
            <w:tcW w:w="1954" w:type="dxa"/>
            <w:shd w:val="clear" w:color="auto" w:fill="D6E3BC" w:themeFill="accent3" w:themeFillTint="66"/>
            <w:vAlign w:val="center"/>
          </w:tcPr>
          <w:p w14:paraId="3A81B775"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69</w:t>
            </w:r>
          </w:p>
        </w:tc>
      </w:tr>
      <w:tr w:rsidR="0024496D" w14:paraId="314E969A" w14:textId="77777777" w:rsidTr="003E480E">
        <w:trPr>
          <w:trHeight w:val="288"/>
        </w:trPr>
        <w:tc>
          <w:tcPr>
            <w:tcW w:w="4934" w:type="dxa"/>
            <w:shd w:val="clear" w:color="auto" w:fill="D6E3BC" w:themeFill="accent3" w:themeFillTint="66"/>
            <w:vAlign w:val="center"/>
          </w:tcPr>
          <w:p w14:paraId="347B0C74"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Gynekologické lôžkové oddelenie</w:t>
            </w:r>
          </w:p>
        </w:tc>
        <w:tc>
          <w:tcPr>
            <w:tcW w:w="1954" w:type="dxa"/>
            <w:shd w:val="clear" w:color="auto" w:fill="D6E3BC" w:themeFill="accent3" w:themeFillTint="66"/>
            <w:vAlign w:val="center"/>
          </w:tcPr>
          <w:p w14:paraId="2662A487"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76</w:t>
            </w:r>
          </w:p>
        </w:tc>
      </w:tr>
      <w:tr w:rsidR="0024496D" w14:paraId="7158810F" w14:textId="77777777" w:rsidTr="003E480E">
        <w:trPr>
          <w:trHeight w:val="288"/>
        </w:trPr>
        <w:tc>
          <w:tcPr>
            <w:tcW w:w="4934" w:type="dxa"/>
            <w:shd w:val="clear" w:color="auto" w:fill="D6E3BC" w:themeFill="accent3" w:themeFillTint="66"/>
            <w:vAlign w:val="center"/>
          </w:tcPr>
          <w:p w14:paraId="2EF45755" w14:textId="5CFCB506"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Neurochiru</w:t>
            </w:r>
            <w:r w:rsidR="00552FEC">
              <w:rPr>
                <w:rFonts w:ascii="Arial Narrow" w:eastAsiaTheme="minorHAnsi" w:hAnsi="Arial Narrow" w:cs="Calibri"/>
                <w:b/>
                <w:sz w:val="20"/>
                <w:szCs w:val="20"/>
                <w:lang w:eastAsia="en-US"/>
              </w:rPr>
              <w:t>r</w:t>
            </w:r>
            <w:r w:rsidRPr="00554317">
              <w:rPr>
                <w:rFonts w:ascii="Arial Narrow" w:eastAsiaTheme="minorHAnsi" w:hAnsi="Arial Narrow" w:cs="Calibri"/>
                <w:b/>
                <w:sz w:val="20"/>
                <w:szCs w:val="20"/>
                <w:lang w:eastAsia="en-US"/>
              </w:rPr>
              <w:t>gia- lôžkové oddelenie</w:t>
            </w:r>
          </w:p>
        </w:tc>
        <w:tc>
          <w:tcPr>
            <w:tcW w:w="1954" w:type="dxa"/>
            <w:shd w:val="clear" w:color="auto" w:fill="D6E3BC" w:themeFill="accent3" w:themeFillTint="66"/>
            <w:vAlign w:val="center"/>
          </w:tcPr>
          <w:p w14:paraId="7371D72B"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23</w:t>
            </w:r>
          </w:p>
        </w:tc>
      </w:tr>
      <w:tr w:rsidR="0024496D" w14:paraId="3648A8DE" w14:textId="77777777" w:rsidTr="003E480E">
        <w:trPr>
          <w:trHeight w:val="288"/>
        </w:trPr>
        <w:tc>
          <w:tcPr>
            <w:tcW w:w="4934" w:type="dxa"/>
            <w:shd w:val="clear" w:color="auto" w:fill="D6E3BC" w:themeFill="accent3" w:themeFillTint="66"/>
            <w:vAlign w:val="center"/>
          </w:tcPr>
          <w:p w14:paraId="6B5C00C7"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proofErr w:type="spellStart"/>
            <w:r w:rsidRPr="00554317">
              <w:rPr>
                <w:rFonts w:ascii="Arial Narrow" w:eastAsiaTheme="minorHAnsi" w:hAnsi="Arial Narrow" w:cs="Calibri"/>
                <w:b/>
                <w:sz w:val="20"/>
                <w:szCs w:val="20"/>
                <w:lang w:eastAsia="en-US"/>
              </w:rPr>
              <w:t>Spondylochirurgia</w:t>
            </w:r>
            <w:proofErr w:type="spellEnd"/>
            <w:r w:rsidRPr="00554317">
              <w:rPr>
                <w:rFonts w:ascii="Arial Narrow" w:eastAsiaTheme="minorHAnsi" w:hAnsi="Arial Narrow" w:cs="Calibri"/>
                <w:b/>
                <w:sz w:val="20"/>
                <w:szCs w:val="20"/>
                <w:lang w:eastAsia="en-US"/>
              </w:rPr>
              <w:t xml:space="preserve"> - lôžkové oddelenie</w:t>
            </w:r>
          </w:p>
        </w:tc>
        <w:tc>
          <w:tcPr>
            <w:tcW w:w="1954" w:type="dxa"/>
            <w:shd w:val="clear" w:color="auto" w:fill="D6E3BC" w:themeFill="accent3" w:themeFillTint="66"/>
            <w:vAlign w:val="center"/>
          </w:tcPr>
          <w:p w14:paraId="7A660131"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5</w:t>
            </w:r>
          </w:p>
        </w:tc>
      </w:tr>
      <w:tr w:rsidR="0024496D" w14:paraId="0130C376" w14:textId="77777777" w:rsidTr="003E480E">
        <w:trPr>
          <w:trHeight w:val="288"/>
        </w:trPr>
        <w:tc>
          <w:tcPr>
            <w:tcW w:w="4934" w:type="dxa"/>
            <w:shd w:val="clear" w:color="auto" w:fill="D6E3BC" w:themeFill="accent3" w:themeFillTint="66"/>
            <w:vAlign w:val="center"/>
          </w:tcPr>
          <w:p w14:paraId="1C830E10"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Urológia - lôžkové oddelenie</w:t>
            </w:r>
          </w:p>
        </w:tc>
        <w:tc>
          <w:tcPr>
            <w:tcW w:w="1954" w:type="dxa"/>
            <w:shd w:val="clear" w:color="auto" w:fill="D6E3BC" w:themeFill="accent3" w:themeFillTint="66"/>
            <w:vAlign w:val="center"/>
          </w:tcPr>
          <w:p w14:paraId="3CA781F1"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38</w:t>
            </w:r>
          </w:p>
        </w:tc>
      </w:tr>
      <w:tr w:rsidR="0024496D" w14:paraId="11503E00" w14:textId="77777777" w:rsidTr="003E480E">
        <w:trPr>
          <w:trHeight w:val="288"/>
        </w:trPr>
        <w:tc>
          <w:tcPr>
            <w:tcW w:w="4934" w:type="dxa"/>
            <w:shd w:val="clear" w:color="auto" w:fill="D6E3BC" w:themeFill="accent3" w:themeFillTint="66"/>
            <w:vAlign w:val="center"/>
          </w:tcPr>
          <w:p w14:paraId="46C72F3A" w14:textId="7E2F9921" w:rsidR="0024496D" w:rsidRPr="00554317" w:rsidRDefault="00552FEC">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Traumatológia</w:t>
            </w:r>
            <w:r w:rsidR="0024496D" w:rsidRPr="00554317">
              <w:rPr>
                <w:rFonts w:ascii="Arial Narrow" w:eastAsiaTheme="minorHAnsi" w:hAnsi="Arial Narrow" w:cs="Calibri"/>
                <w:b/>
                <w:sz w:val="20"/>
                <w:szCs w:val="20"/>
                <w:lang w:eastAsia="en-US"/>
              </w:rPr>
              <w:t xml:space="preserve"> - lôžkové oddelenie</w:t>
            </w:r>
          </w:p>
        </w:tc>
        <w:tc>
          <w:tcPr>
            <w:tcW w:w="1954" w:type="dxa"/>
            <w:shd w:val="clear" w:color="auto" w:fill="D6E3BC" w:themeFill="accent3" w:themeFillTint="66"/>
            <w:vAlign w:val="center"/>
          </w:tcPr>
          <w:p w14:paraId="04DF9B2A"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40</w:t>
            </w:r>
          </w:p>
        </w:tc>
      </w:tr>
      <w:tr w:rsidR="0024496D" w14:paraId="0BB4D972" w14:textId="77777777" w:rsidTr="003E480E">
        <w:trPr>
          <w:trHeight w:val="288"/>
        </w:trPr>
        <w:tc>
          <w:tcPr>
            <w:tcW w:w="4934" w:type="dxa"/>
            <w:shd w:val="clear" w:color="auto" w:fill="D6E3BC" w:themeFill="accent3" w:themeFillTint="66"/>
            <w:vAlign w:val="center"/>
          </w:tcPr>
          <w:p w14:paraId="4E675220"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ORL - lôžkové oddelenie</w:t>
            </w:r>
          </w:p>
        </w:tc>
        <w:tc>
          <w:tcPr>
            <w:tcW w:w="1954" w:type="dxa"/>
            <w:shd w:val="clear" w:color="auto" w:fill="D6E3BC" w:themeFill="accent3" w:themeFillTint="66"/>
            <w:vAlign w:val="center"/>
          </w:tcPr>
          <w:p w14:paraId="57B9BDD8"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4</w:t>
            </w:r>
          </w:p>
        </w:tc>
      </w:tr>
      <w:tr w:rsidR="0024496D" w14:paraId="0A09FDEA" w14:textId="77777777" w:rsidTr="003E480E">
        <w:trPr>
          <w:trHeight w:val="288"/>
        </w:trPr>
        <w:tc>
          <w:tcPr>
            <w:tcW w:w="4934" w:type="dxa"/>
            <w:shd w:val="clear" w:color="auto" w:fill="D6E3BC" w:themeFill="accent3" w:themeFillTint="66"/>
            <w:vAlign w:val="center"/>
          </w:tcPr>
          <w:p w14:paraId="340692F4" w14:textId="7169EAEF" w:rsidR="0024496D" w:rsidRPr="00554317" w:rsidRDefault="00552FEC">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Ortopédia</w:t>
            </w:r>
            <w:r w:rsidR="0024496D" w:rsidRPr="00554317">
              <w:rPr>
                <w:rFonts w:ascii="Arial Narrow" w:eastAsiaTheme="minorHAnsi" w:hAnsi="Arial Narrow" w:cs="Calibri"/>
                <w:b/>
                <w:sz w:val="20"/>
                <w:szCs w:val="20"/>
                <w:lang w:eastAsia="en-US"/>
              </w:rPr>
              <w:t xml:space="preserve"> - lôžkové oddelenie</w:t>
            </w:r>
          </w:p>
        </w:tc>
        <w:tc>
          <w:tcPr>
            <w:tcW w:w="1954" w:type="dxa"/>
            <w:shd w:val="clear" w:color="auto" w:fill="D6E3BC" w:themeFill="accent3" w:themeFillTint="66"/>
            <w:vAlign w:val="center"/>
          </w:tcPr>
          <w:p w14:paraId="770EB385"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26</w:t>
            </w:r>
          </w:p>
        </w:tc>
      </w:tr>
      <w:tr w:rsidR="0024496D" w14:paraId="51A60A06" w14:textId="77777777" w:rsidTr="003E480E">
        <w:trPr>
          <w:trHeight w:val="288"/>
        </w:trPr>
        <w:tc>
          <w:tcPr>
            <w:tcW w:w="4934" w:type="dxa"/>
            <w:shd w:val="clear" w:color="auto" w:fill="D6E3BC" w:themeFill="accent3" w:themeFillTint="66"/>
            <w:vAlign w:val="center"/>
          </w:tcPr>
          <w:p w14:paraId="3C5EB294"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Novorodenecké - lôžkové oddelenie</w:t>
            </w:r>
          </w:p>
        </w:tc>
        <w:tc>
          <w:tcPr>
            <w:tcW w:w="1954" w:type="dxa"/>
            <w:shd w:val="clear" w:color="auto" w:fill="D6E3BC" w:themeFill="accent3" w:themeFillTint="66"/>
            <w:vAlign w:val="center"/>
          </w:tcPr>
          <w:p w14:paraId="2908CCD0"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35</w:t>
            </w:r>
          </w:p>
        </w:tc>
      </w:tr>
      <w:tr w:rsidR="0024496D" w14:paraId="1310FA8E" w14:textId="77777777" w:rsidTr="003E480E">
        <w:trPr>
          <w:trHeight w:val="288"/>
        </w:trPr>
        <w:tc>
          <w:tcPr>
            <w:tcW w:w="4934" w:type="dxa"/>
            <w:shd w:val="clear" w:color="auto" w:fill="D6E3BC" w:themeFill="accent3" w:themeFillTint="66"/>
            <w:vAlign w:val="center"/>
          </w:tcPr>
          <w:p w14:paraId="69DB6670" w14:textId="77777777" w:rsidR="0024496D" w:rsidRPr="00554317" w:rsidRDefault="0024496D">
            <w:pPr>
              <w:autoSpaceDE w:val="0"/>
              <w:autoSpaceDN w:val="0"/>
              <w:adjustRightInd w:val="0"/>
              <w:spacing w:line="240" w:lineRule="auto"/>
              <w:jc w:val="left"/>
              <w:rPr>
                <w:rFonts w:ascii="Arial Narrow" w:eastAsiaTheme="minorHAnsi" w:hAnsi="Arial Narrow" w:cs="Calibri"/>
                <w:b/>
                <w:sz w:val="20"/>
                <w:szCs w:val="20"/>
                <w:lang w:eastAsia="en-US"/>
              </w:rPr>
            </w:pPr>
            <w:r w:rsidRPr="00554317">
              <w:rPr>
                <w:rFonts w:ascii="Arial Narrow" w:eastAsiaTheme="minorHAnsi" w:hAnsi="Arial Narrow" w:cs="Calibri"/>
                <w:b/>
                <w:sz w:val="20"/>
                <w:szCs w:val="20"/>
                <w:lang w:eastAsia="en-US"/>
              </w:rPr>
              <w:t>Detská ortopédia - lôžkové oddelenie</w:t>
            </w:r>
          </w:p>
        </w:tc>
        <w:tc>
          <w:tcPr>
            <w:tcW w:w="1954" w:type="dxa"/>
            <w:shd w:val="clear" w:color="auto" w:fill="D6E3BC" w:themeFill="accent3" w:themeFillTint="66"/>
            <w:vAlign w:val="center"/>
          </w:tcPr>
          <w:p w14:paraId="14BF89AA"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19</w:t>
            </w:r>
          </w:p>
        </w:tc>
      </w:tr>
      <w:tr w:rsidR="0024496D" w14:paraId="3B0F492B" w14:textId="77777777" w:rsidTr="003E480E">
        <w:trPr>
          <w:trHeight w:val="288"/>
        </w:trPr>
        <w:tc>
          <w:tcPr>
            <w:tcW w:w="4934" w:type="dxa"/>
            <w:vAlign w:val="center"/>
          </w:tcPr>
          <w:p w14:paraId="0D68CB1E" w14:textId="77777777" w:rsidR="0024496D" w:rsidRPr="00554317" w:rsidRDefault="0024496D">
            <w:pPr>
              <w:autoSpaceDE w:val="0"/>
              <w:autoSpaceDN w:val="0"/>
              <w:adjustRightInd w:val="0"/>
              <w:spacing w:line="240" w:lineRule="auto"/>
              <w:jc w:val="left"/>
              <w:rPr>
                <w:rFonts w:ascii="Arial Narrow" w:eastAsiaTheme="minorHAnsi" w:hAnsi="Arial Narrow" w:cs="Calibri"/>
                <w:b/>
                <w:color w:val="002060"/>
                <w:sz w:val="20"/>
                <w:szCs w:val="20"/>
                <w:lang w:eastAsia="en-US"/>
              </w:rPr>
            </w:pPr>
            <w:r w:rsidRPr="00554317">
              <w:rPr>
                <w:rFonts w:ascii="Arial Narrow" w:eastAsiaTheme="minorHAnsi" w:hAnsi="Arial Narrow" w:cs="Calibri"/>
                <w:b/>
                <w:color w:val="002060"/>
                <w:sz w:val="20"/>
                <w:szCs w:val="20"/>
                <w:lang w:eastAsia="en-US"/>
              </w:rPr>
              <w:t>OAIM</w:t>
            </w:r>
          </w:p>
        </w:tc>
        <w:tc>
          <w:tcPr>
            <w:tcW w:w="1954" w:type="dxa"/>
            <w:vAlign w:val="center"/>
          </w:tcPr>
          <w:p w14:paraId="67DD97A3"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8</w:t>
            </w:r>
          </w:p>
        </w:tc>
      </w:tr>
      <w:tr w:rsidR="0024496D" w14:paraId="7B6EF0DE" w14:textId="77777777" w:rsidTr="003E480E">
        <w:trPr>
          <w:trHeight w:val="288"/>
        </w:trPr>
        <w:tc>
          <w:tcPr>
            <w:tcW w:w="4934" w:type="dxa"/>
            <w:vAlign w:val="center"/>
          </w:tcPr>
          <w:p w14:paraId="5476C140" w14:textId="77777777" w:rsidR="0024496D" w:rsidRPr="00554317" w:rsidRDefault="0024496D">
            <w:pPr>
              <w:autoSpaceDE w:val="0"/>
              <w:autoSpaceDN w:val="0"/>
              <w:adjustRightInd w:val="0"/>
              <w:spacing w:line="240" w:lineRule="auto"/>
              <w:jc w:val="left"/>
              <w:rPr>
                <w:rFonts w:ascii="Arial Narrow" w:eastAsiaTheme="minorHAnsi" w:hAnsi="Arial Narrow" w:cs="Arial"/>
                <w:b/>
                <w:color w:val="000000"/>
                <w:sz w:val="20"/>
                <w:szCs w:val="20"/>
                <w:lang w:eastAsia="en-US"/>
              </w:rPr>
            </w:pPr>
            <w:r w:rsidRPr="00554317">
              <w:rPr>
                <w:rFonts w:ascii="Arial Narrow" w:eastAsiaTheme="minorHAnsi" w:hAnsi="Arial Narrow" w:cs="Arial"/>
                <w:b/>
                <w:color w:val="000000"/>
                <w:sz w:val="20"/>
                <w:szCs w:val="20"/>
                <w:lang w:eastAsia="en-US"/>
              </w:rPr>
              <w:t>Novorodenecká JIS (NICU)</w:t>
            </w:r>
          </w:p>
        </w:tc>
        <w:tc>
          <w:tcPr>
            <w:tcW w:w="1954" w:type="dxa"/>
            <w:vAlign w:val="center"/>
          </w:tcPr>
          <w:p w14:paraId="0B19E4E6"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10</w:t>
            </w:r>
          </w:p>
        </w:tc>
      </w:tr>
      <w:tr w:rsidR="0024496D" w14:paraId="15A4DA4D" w14:textId="77777777" w:rsidTr="003E480E">
        <w:trPr>
          <w:trHeight w:val="288"/>
        </w:trPr>
        <w:tc>
          <w:tcPr>
            <w:tcW w:w="4934" w:type="dxa"/>
            <w:vAlign w:val="center"/>
          </w:tcPr>
          <w:p w14:paraId="6A1B6005" w14:textId="77777777" w:rsidR="0024496D" w:rsidRPr="00554317" w:rsidRDefault="0024496D">
            <w:pPr>
              <w:autoSpaceDE w:val="0"/>
              <w:autoSpaceDN w:val="0"/>
              <w:adjustRightInd w:val="0"/>
              <w:spacing w:line="240" w:lineRule="auto"/>
              <w:jc w:val="left"/>
              <w:rPr>
                <w:rFonts w:ascii="Arial Narrow" w:eastAsiaTheme="minorHAnsi" w:hAnsi="Arial Narrow" w:cs="Arial"/>
                <w:b/>
                <w:color w:val="000000"/>
                <w:sz w:val="20"/>
                <w:szCs w:val="20"/>
                <w:lang w:eastAsia="en-US"/>
              </w:rPr>
            </w:pPr>
            <w:r w:rsidRPr="00554317">
              <w:rPr>
                <w:rFonts w:ascii="Arial Narrow" w:eastAsiaTheme="minorHAnsi" w:hAnsi="Arial Narrow" w:cs="Arial"/>
                <w:b/>
                <w:color w:val="000000"/>
                <w:sz w:val="20"/>
                <w:szCs w:val="20"/>
                <w:lang w:eastAsia="en-US"/>
              </w:rPr>
              <w:t>JIS - ICU</w:t>
            </w:r>
          </w:p>
        </w:tc>
        <w:tc>
          <w:tcPr>
            <w:tcW w:w="1954" w:type="dxa"/>
            <w:vAlign w:val="center"/>
          </w:tcPr>
          <w:p w14:paraId="3D162561"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34</w:t>
            </w:r>
          </w:p>
        </w:tc>
      </w:tr>
      <w:tr w:rsidR="0024496D" w14:paraId="2572ACC2" w14:textId="77777777" w:rsidTr="003E480E">
        <w:trPr>
          <w:trHeight w:val="302"/>
        </w:trPr>
        <w:tc>
          <w:tcPr>
            <w:tcW w:w="4934" w:type="dxa"/>
            <w:vAlign w:val="center"/>
          </w:tcPr>
          <w:p w14:paraId="70576A33" w14:textId="77777777" w:rsidR="0024496D" w:rsidRPr="00554317" w:rsidRDefault="0024496D">
            <w:pPr>
              <w:autoSpaceDE w:val="0"/>
              <w:autoSpaceDN w:val="0"/>
              <w:adjustRightInd w:val="0"/>
              <w:spacing w:line="240" w:lineRule="auto"/>
              <w:jc w:val="left"/>
              <w:rPr>
                <w:rFonts w:ascii="Arial Narrow" w:eastAsiaTheme="minorHAnsi" w:hAnsi="Arial Narrow" w:cs="Arial"/>
                <w:b/>
                <w:color w:val="000000"/>
                <w:sz w:val="20"/>
                <w:szCs w:val="20"/>
                <w:lang w:eastAsia="en-US"/>
              </w:rPr>
            </w:pPr>
            <w:r w:rsidRPr="00554317">
              <w:rPr>
                <w:rFonts w:ascii="Arial Narrow" w:eastAsiaTheme="minorHAnsi" w:hAnsi="Arial Narrow" w:cs="Arial"/>
                <w:b/>
                <w:color w:val="000000"/>
                <w:sz w:val="20"/>
                <w:szCs w:val="20"/>
                <w:lang w:eastAsia="en-US"/>
              </w:rPr>
              <w:t>ARO - OAIM</w:t>
            </w:r>
          </w:p>
        </w:tc>
        <w:tc>
          <w:tcPr>
            <w:tcW w:w="1954" w:type="dxa"/>
            <w:vAlign w:val="center"/>
          </w:tcPr>
          <w:p w14:paraId="2FDF52A7" w14:textId="77777777" w:rsidR="0024496D" w:rsidRPr="00554317" w:rsidRDefault="0024496D">
            <w:pPr>
              <w:autoSpaceDE w:val="0"/>
              <w:autoSpaceDN w:val="0"/>
              <w:adjustRightInd w:val="0"/>
              <w:spacing w:line="240" w:lineRule="auto"/>
              <w:jc w:val="center"/>
              <w:rPr>
                <w:rFonts w:ascii="Arial Narrow" w:eastAsiaTheme="minorHAnsi" w:hAnsi="Arial Narrow" w:cs="Calibri"/>
                <w:sz w:val="20"/>
                <w:szCs w:val="20"/>
                <w:lang w:eastAsia="en-US"/>
              </w:rPr>
            </w:pPr>
            <w:r w:rsidRPr="00554317">
              <w:rPr>
                <w:rFonts w:ascii="Arial Narrow" w:eastAsiaTheme="minorHAnsi" w:hAnsi="Arial Narrow" w:cs="Calibri"/>
                <w:sz w:val="20"/>
                <w:szCs w:val="20"/>
                <w:lang w:eastAsia="en-US"/>
              </w:rPr>
              <w:t>16</w:t>
            </w:r>
          </w:p>
        </w:tc>
      </w:tr>
      <w:tr w:rsidR="0024496D" w14:paraId="20131E8D" w14:textId="77777777" w:rsidTr="003E480E">
        <w:trPr>
          <w:trHeight w:val="302"/>
        </w:trPr>
        <w:tc>
          <w:tcPr>
            <w:tcW w:w="4934" w:type="dxa"/>
            <w:vAlign w:val="center"/>
          </w:tcPr>
          <w:p w14:paraId="3B5A4B05" w14:textId="77777777" w:rsidR="0024496D" w:rsidRPr="00554317" w:rsidRDefault="0024496D">
            <w:pPr>
              <w:autoSpaceDE w:val="0"/>
              <w:autoSpaceDN w:val="0"/>
              <w:adjustRightInd w:val="0"/>
              <w:spacing w:line="240" w:lineRule="auto"/>
              <w:jc w:val="left"/>
              <w:rPr>
                <w:rFonts w:ascii="Arial Narrow" w:eastAsiaTheme="minorHAnsi" w:hAnsi="Arial Narrow" w:cs="Calibri"/>
                <w:b/>
                <w:bCs/>
                <w:color w:val="008000"/>
                <w:sz w:val="20"/>
                <w:szCs w:val="20"/>
                <w:lang w:eastAsia="en-US"/>
              </w:rPr>
            </w:pPr>
            <w:r w:rsidRPr="00554317">
              <w:rPr>
                <w:rFonts w:ascii="Arial Narrow" w:eastAsiaTheme="minorHAnsi" w:hAnsi="Arial Narrow" w:cs="Calibri"/>
                <w:b/>
                <w:bCs/>
                <w:color w:val="008000"/>
                <w:sz w:val="20"/>
                <w:szCs w:val="20"/>
                <w:lang w:eastAsia="en-US"/>
              </w:rPr>
              <w:t>JIS Spolu</w:t>
            </w:r>
          </w:p>
        </w:tc>
        <w:tc>
          <w:tcPr>
            <w:tcW w:w="1954" w:type="dxa"/>
            <w:vAlign w:val="center"/>
          </w:tcPr>
          <w:p w14:paraId="5DA50DE6" w14:textId="77777777" w:rsidR="0024496D" w:rsidRPr="00554317" w:rsidRDefault="0024496D">
            <w:pPr>
              <w:autoSpaceDE w:val="0"/>
              <w:autoSpaceDN w:val="0"/>
              <w:adjustRightInd w:val="0"/>
              <w:spacing w:line="240" w:lineRule="auto"/>
              <w:jc w:val="center"/>
              <w:rPr>
                <w:rFonts w:ascii="Arial Narrow" w:eastAsiaTheme="minorHAnsi" w:hAnsi="Arial Narrow" w:cs="Calibri"/>
                <w:b/>
                <w:bCs/>
                <w:sz w:val="20"/>
                <w:szCs w:val="20"/>
                <w:lang w:eastAsia="en-US"/>
              </w:rPr>
            </w:pPr>
            <w:r w:rsidRPr="00554317">
              <w:rPr>
                <w:rFonts w:ascii="Arial Narrow" w:eastAsiaTheme="minorHAnsi" w:hAnsi="Arial Narrow" w:cs="Calibri"/>
                <w:b/>
                <w:bCs/>
                <w:sz w:val="20"/>
                <w:szCs w:val="20"/>
                <w:lang w:eastAsia="en-US"/>
              </w:rPr>
              <w:t>60</w:t>
            </w:r>
          </w:p>
        </w:tc>
      </w:tr>
    </w:tbl>
    <w:p w14:paraId="2379E076" w14:textId="07250F97" w:rsidR="0072689D" w:rsidRPr="006B1505" w:rsidRDefault="0072689D" w:rsidP="0072689D">
      <w:pPr>
        <w:pStyle w:val="Popis"/>
        <w:spacing w:before="0" w:after="0" w:line="240" w:lineRule="auto"/>
        <w:rPr>
          <w:rFonts w:ascii="Century Gothic" w:hAnsi="Century Gothic" w:cstheme="minorHAnsi"/>
          <w:b w:val="0"/>
          <w:i/>
          <w:sz w:val="18"/>
          <w:szCs w:val="18"/>
        </w:rPr>
      </w:pPr>
      <w:r>
        <w:rPr>
          <w:rFonts w:ascii="Century Gothic" w:hAnsi="Century Gothic" w:cstheme="minorHAnsi"/>
          <w:b w:val="0"/>
          <w:i/>
          <w:sz w:val="18"/>
          <w:szCs w:val="18"/>
        </w:rPr>
        <w:t>Zdroj: vlastné spracovanie</w:t>
      </w:r>
    </w:p>
    <w:p w14:paraId="25490531" w14:textId="3D35B04E" w:rsidR="00A62CD9" w:rsidRDefault="00A62CD9" w:rsidP="00E0451E">
      <w:pPr>
        <w:rPr>
          <w:lang w:eastAsia="en-US"/>
        </w:rPr>
      </w:pPr>
    </w:p>
    <w:p w14:paraId="213D15EE" w14:textId="77777777" w:rsidR="007B7154" w:rsidRPr="00E0451E" w:rsidRDefault="007B7154" w:rsidP="00E0451E">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119" w:name="_Toc145219956"/>
      <w:r w:rsidRPr="00E0451E">
        <w:rPr>
          <w:rFonts w:ascii="Century Gothic" w:hAnsi="Century Gothic" w:cs="Calibri Light"/>
          <w:b w:val="0"/>
          <w:bCs w:val="0"/>
          <w:color w:val="365F91" w:themeColor="accent1" w:themeShade="BF"/>
          <w:lang w:eastAsia="en-US"/>
        </w:rPr>
        <w:t>Skladba oddelení a ambulancií v čase</w:t>
      </w:r>
      <w:bookmarkEnd w:id="119"/>
    </w:p>
    <w:p w14:paraId="62B07435" w14:textId="32A2E00C" w:rsidR="00E0451E" w:rsidRDefault="00E0451E" w:rsidP="00E0451E">
      <w:pPr>
        <w:rPr>
          <w:rFonts w:ascii="Century Gothic" w:eastAsiaTheme="majorEastAsia" w:hAnsi="Century Gothic" w:cs="Calibri Light"/>
          <w:color w:val="365F91" w:themeColor="accent1" w:themeShade="BF"/>
          <w:sz w:val="26"/>
          <w:szCs w:val="26"/>
          <w:lang w:eastAsia="en-US"/>
        </w:rPr>
      </w:pPr>
    </w:p>
    <w:p w14:paraId="7086F5ED" w14:textId="491ACAB9" w:rsidR="00EA4AA8" w:rsidRDefault="00375CED" w:rsidP="00A62CD9">
      <w:pPr>
        <w:spacing w:line="240" w:lineRule="auto"/>
        <w:rPr>
          <w:rFonts w:ascii="Century Gothic" w:hAnsi="Century Gothic" w:cstheme="minorHAnsi"/>
          <w:sz w:val="22"/>
          <w:szCs w:val="22"/>
        </w:rPr>
      </w:pPr>
      <w:r w:rsidRPr="002679C1">
        <w:rPr>
          <w:rFonts w:ascii="Century Gothic" w:hAnsi="Century Gothic" w:cstheme="minorHAnsi"/>
          <w:sz w:val="22"/>
          <w:szCs w:val="22"/>
        </w:rPr>
        <w:t xml:space="preserve">Kompletná skladba lôžkových oddelení </w:t>
      </w:r>
      <w:r w:rsidR="00EA4AA8">
        <w:rPr>
          <w:rFonts w:ascii="Century Gothic" w:hAnsi="Century Gothic" w:cstheme="minorHAnsi"/>
          <w:sz w:val="22"/>
          <w:szCs w:val="22"/>
        </w:rPr>
        <w:t xml:space="preserve">je uvedená v nasledujúcej tabuľke, pričom farebne sú zvýraznené oddelenia, ktoré budú lokalizované v novom pavilóne. </w:t>
      </w:r>
    </w:p>
    <w:p w14:paraId="23DFF19A" w14:textId="77777777" w:rsidR="0072689D" w:rsidRDefault="0072689D" w:rsidP="00A62CD9">
      <w:pPr>
        <w:spacing w:line="240" w:lineRule="auto"/>
        <w:rPr>
          <w:rFonts w:ascii="Century Gothic" w:hAnsi="Century Gothic" w:cstheme="minorHAnsi"/>
          <w:sz w:val="22"/>
          <w:szCs w:val="22"/>
        </w:rPr>
      </w:pPr>
    </w:p>
    <w:p w14:paraId="5A84DA92" w14:textId="6BAFA2FA" w:rsidR="00264B18" w:rsidRPr="0072689D" w:rsidRDefault="0072689D" w:rsidP="0072689D">
      <w:pPr>
        <w:pStyle w:val="Popis"/>
        <w:spacing w:before="0" w:after="0" w:line="240" w:lineRule="auto"/>
        <w:jc w:val="both"/>
        <w:rPr>
          <w:rFonts w:ascii="Century Gothic" w:hAnsi="Century Gothic" w:cstheme="minorBidi"/>
          <w:b w:val="0"/>
          <w:i/>
        </w:rPr>
      </w:pPr>
      <w:bookmarkStart w:id="120" w:name="_Toc145219931"/>
      <w:r w:rsidRPr="0072689D">
        <w:rPr>
          <w:rFonts w:ascii="Century Gothic" w:hAnsi="Century Gothic" w:cstheme="minorBidi"/>
          <w:b w:val="0"/>
          <w:i/>
        </w:rPr>
        <w:t xml:space="preserve">Tabuľka </w:t>
      </w:r>
      <w:r w:rsidRPr="0072689D">
        <w:rPr>
          <w:rFonts w:ascii="Century Gothic" w:hAnsi="Century Gothic" w:cstheme="minorBidi"/>
          <w:b w:val="0"/>
          <w:i/>
        </w:rPr>
        <w:fldChar w:fldCharType="begin"/>
      </w:r>
      <w:r w:rsidRPr="0072689D">
        <w:rPr>
          <w:rFonts w:ascii="Century Gothic" w:hAnsi="Century Gothic" w:cstheme="minorBidi"/>
          <w:b w:val="0"/>
          <w:i/>
        </w:rPr>
        <w:instrText xml:space="preserve"> SEQ Tabuľka \* ARABIC </w:instrText>
      </w:r>
      <w:r w:rsidRPr="0072689D">
        <w:rPr>
          <w:rFonts w:ascii="Century Gothic" w:hAnsi="Century Gothic" w:cstheme="minorBidi"/>
          <w:b w:val="0"/>
          <w:i/>
        </w:rPr>
        <w:fldChar w:fldCharType="separate"/>
      </w:r>
      <w:r w:rsidR="007D6A44">
        <w:rPr>
          <w:rFonts w:ascii="Century Gothic" w:hAnsi="Century Gothic" w:cstheme="minorBidi"/>
          <w:b w:val="0"/>
          <w:i/>
          <w:noProof/>
        </w:rPr>
        <w:t>30</w:t>
      </w:r>
      <w:r w:rsidRPr="0072689D">
        <w:rPr>
          <w:rFonts w:ascii="Century Gothic" w:hAnsi="Century Gothic" w:cstheme="minorBidi"/>
          <w:b w:val="0"/>
          <w:i/>
        </w:rPr>
        <w:fldChar w:fldCharType="end"/>
      </w:r>
      <w:r>
        <w:rPr>
          <w:rFonts w:ascii="Century Gothic" w:hAnsi="Century Gothic" w:cstheme="minorBidi"/>
          <w:b w:val="0"/>
          <w:i/>
        </w:rPr>
        <w:t xml:space="preserve"> Oddelenia </w:t>
      </w:r>
      <w:proofErr w:type="spellStart"/>
      <w:r>
        <w:rPr>
          <w:rFonts w:ascii="Century Gothic" w:hAnsi="Century Gothic" w:cstheme="minorBidi"/>
          <w:b w:val="0"/>
          <w:i/>
        </w:rPr>
        <w:t>FNsP</w:t>
      </w:r>
      <w:proofErr w:type="spellEnd"/>
      <w:r>
        <w:rPr>
          <w:rFonts w:ascii="Century Gothic" w:hAnsi="Century Gothic" w:cstheme="minorBidi"/>
          <w:b w:val="0"/>
          <w:i/>
        </w:rPr>
        <w:t xml:space="preserve"> Žilina s uvedením oddelení, ktoré budú lokalizované v Novom PUM</w:t>
      </w:r>
      <w:bookmarkEnd w:id="120"/>
    </w:p>
    <w:tbl>
      <w:tblPr>
        <w:tblW w:w="6362" w:type="dxa"/>
        <w:tblCellMar>
          <w:left w:w="70" w:type="dxa"/>
          <w:right w:w="70" w:type="dxa"/>
        </w:tblCellMar>
        <w:tblLook w:val="04A0" w:firstRow="1" w:lastRow="0" w:firstColumn="1" w:lastColumn="0" w:noHBand="0" w:noVBand="1"/>
      </w:tblPr>
      <w:tblGrid>
        <w:gridCol w:w="1120"/>
        <w:gridCol w:w="4422"/>
        <w:gridCol w:w="820"/>
      </w:tblGrid>
      <w:tr w:rsidR="00264B18" w:rsidRPr="00264B18" w14:paraId="49478259" w14:textId="77777777" w:rsidTr="00FE1699">
        <w:trPr>
          <w:trHeight w:val="132"/>
        </w:trPr>
        <w:tc>
          <w:tcPr>
            <w:tcW w:w="1120" w:type="dxa"/>
            <w:tcBorders>
              <w:top w:val="single" w:sz="8" w:space="0" w:color="auto"/>
              <w:left w:val="single" w:sz="8" w:space="0" w:color="auto"/>
              <w:bottom w:val="nil"/>
              <w:right w:val="single" w:sz="8" w:space="0" w:color="auto"/>
            </w:tcBorders>
            <w:shd w:val="clear" w:color="000000" w:fill="C5D9F1"/>
            <w:noWrap/>
            <w:vAlign w:val="bottom"/>
            <w:hideMark/>
          </w:tcPr>
          <w:p w14:paraId="291B4DDF" w14:textId="77777777" w:rsidR="00264B18" w:rsidRPr="00264B18" w:rsidRDefault="00264B18" w:rsidP="00264B18">
            <w:pPr>
              <w:spacing w:line="240" w:lineRule="auto"/>
              <w:jc w:val="left"/>
              <w:rPr>
                <w:rFonts w:ascii="Arial CE" w:hAnsi="Arial CE" w:cs="Arial CE"/>
                <w:sz w:val="20"/>
                <w:szCs w:val="20"/>
              </w:rPr>
            </w:pPr>
            <w:r w:rsidRPr="00264B18">
              <w:rPr>
                <w:rFonts w:ascii="Arial CE" w:hAnsi="Arial CE" w:cs="Arial CE"/>
                <w:sz w:val="20"/>
                <w:szCs w:val="20"/>
              </w:rPr>
              <w:t> </w:t>
            </w:r>
          </w:p>
        </w:tc>
        <w:tc>
          <w:tcPr>
            <w:tcW w:w="4422" w:type="dxa"/>
            <w:tcBorders>
              <w:top w:val="single" w:sz="8" w:space="0" w:color="auto"/>
              <w:left w:val="nil"/>
              <w:bottom w:val="nil"/>
              <w:right w:val="single" w:sz="8" w:space="0" w:color="auto"/>
            </w:tcBorders>
            <w:shd w:val="clear" w:color="000000" w:fill="C5D9F1"/>
            <w:noWrap/>
            <w:vAlign w:val="bottom"/>
            <w:hideMark/>
          </w:tcPr>
          <w:p w14:paraId="17871C10" w14:textId="77777777" w:rsidR="00264B18" w:rsidRPr="00264B18" w:rsidRDefault="00264B18" w:rsidP="00264B18">
            <w:pPr>
              <w:spacing w:line="240" w:lineRule="auto"/>
              <w:jc w:val="left"/>
              <w:rPr>
                <w:rFonts w:ascii="Arial CE" w:hAnsi="Arial CE" w:cs="Arial CE"/>
                <w:sz w:val="20"/>
                <w:szCs w:val="20"/>
              </w:rPr>
            </w:pPr>
            <w:r w:rsidRPr="00264B18">
              <w:rPr>
                <w:rFonts w:ascii="Arial CE" w:hAnsi="Arial CE" w:cs="Arial CE"/>
                <w:sz w:val="20"/>
                <w:szCs w:val="20"/>
              </w:rPr>
              <w:t> </w:t>
            </w:r>
          </w:p>
        </w:tc>
        <w:tc>
          <w:tcPr>
            <w:tcW w:w="820" w:type="dxa"/>
            <w:tcBorders>
              <w:top w:val="single" w:sz="8" w:space="0" w:color="auto"/>
              <w:left w:val="nil"/>
              <w:bottom w:val="nil"/>
              <w:right w:val="single" w:sz="4" w:space="0" w:color="auto"/>
            </w:tcBorders>
            <w:shd w:val="clear" w:color="000000" w:fill="C5D9F1"/>
            <w:noWrap/>
            <w:vAlign w:val="bottom"/>
            <w:hideMark/>
          </w:tcPr>
          <w:p w14:paraId="354C4032" w14:textId="77777777" w:rsidR="00264B18" w:rsidRPr="00264B18" w:rsidRDefault="00264B18" w:rsidP="00264B18">
            <w:pPr>
              <w:spacing w:line="240" w:lineRule="auto"/>
              <w:jc w:val="left"/>
              <w:rPr>
                <w:rFonts w:ascii="Arial CE" w:hAnsi="Arial CE" w:cs="Arial CE"/>
                <w:sz w:val="20"/>
                <w:szCs w:val="20"/>
              </w:rPr>
            </w:pPr>
            <w:r w:rsidRPr="00264B18">
              <w:rPr>
                <w:rFonts w:ascii="Arial CE" w:hAnsi="Arial CE" w:cs="Arial CE"/>
                <w:sz w:val="20"/>
                <w:szCs w:val="20"/>
              </w:rPr>
              <w:t>Počet</w:t>
            </w:r>
          </w:p>
        </w:tc>
      </w:tr>
      <w:tr w:rsidR="00264B18" w:rsidRPr="00264B18" w14:paraId="5EFCACDF" w14:textId="77777777" w:rsidTr="00EA4AA8">
        <w:trPr>
          <w:trHeight w:val="270"/>
        </w:trPr>
        <w:tc>
          <w:tcPr>
            <w:tcW w:w="1120" w:type="dxa"/>
            <w:tcBorders>
              <w:top w:val="nil"/>
              <w:left w:val="single" w:sz="8" w:space="0" w:color="auto"/>
              <w:bottom w:val="single" w:sz="8" w:space="0" w:color="auto"/>
              <w:right w:val="single" w:sz="8" w:space="0" w:color="auto"/>
            </w:tcBorders>
            <w:shd w:val="clear" w:color="000000" w:fill="C5D9F1"/>
            <w:noWrap/>
            <w:vAlign w:val="bottom"/>
            <w:hideMark/>
          </w:tcPr>
          <w:p w14:paraId="57607569" w14:textId="77777777" w:rsidR="00264B18" w:rsidRPr="00264B18" w:rsidRDefault="00264B18" w:rsidP="00264B18">
            <w:pPr>
              <w:spacing w:line="240" w:lineRule="auto"/>
              <w:jc w:val="left"/>
              <w:rPr>
                <w:rFonts w:ascii="Arial CE" w:hAnsi="Arial CE" w:cs="Arial CE"/>
                <w:sz w:val="20"/>
                <w:szCs w:val="20"/>
              </w:rPr>
            </w:pPr>
            <w:r w:rsidRPr="00264B18">
              <w:rPr>
                <w:rFonts w:ascii="Arial CE" w:hAnsi="Arial CE" w:cs="Arial CE"/>
                <w:sz w:val="20"/>
                <w:szCs w:val="20"/>
              </w:rPr>
              <w:t>Označenie</w:t>
            </w:r>
          </w:p>
        </w:tc>
        <w:tc>
          <w:tcPr>
            <w:tcW w:w="4422" w:type="dxa"/>
            <w:tcBorders>
              <w:top w:val="nil"/>
              <w:left w:val="nil"/>
              <w:bottom w:val="single" w:sz="8" w:space="0" w:color="auto"/>
              <w:right w:val="single" w:sz="8" w:space="0" w:color="auto"/>
            </w:tcBorders>
            <w:shd w:val="clear" w:color="000000" w:fill="C5D9F1"/>
            <w:noWrap/>
            <w:vAlign w:val="bottom"/>
            <w:hideMark/>
          </w:tcPr>
          <w:p w14:paraId="2A851842" w14:textId="77777777" w:rsidR="00264B18" w:rsidRPr="00264B18" w:rsidRDefault="00264B18" w:rsidP="00264B18">
            <w:pPr>
              <w:spacing w:line="240" w:lineRule="auto"/>
              <w:jc w:val="left"/>
              <w:rPr>
                <w:rFonts w:ascii="Arial CE" w:hAnsi="Arial CE" w:cs="Arial CE"/>
                <w:sz w:val="20"/>
                <w:szCs w:val="20"/>
              </w:rPr>
            </w:pPr>
            <w:r w:rsidRPr="00264B18">
              <w:rPr>
                <w:rFonts w:ascii="Arial CE" w:hAnsi="Arial CE" w:cs="Arial CE"/>
                <w:sz w:val="20"/>
                <w:szCs w:val="20"/>
              </w:rPr>
              <w:t>Oddelenie</w:t>
            </w:r>
          </w:p>
        </w:tc>
        <w:tc>
          <w:tcPr>
            <w:tcW w:w="820" w:type="dxa"/>
            <w:tcBorders>
              <w:top w:val="nil"/>
              <w:left w:val="nil"/>
              <w:bottom w:val="single" w:sz="8" w:space="0" w:color="auto"/>
              <w:right w:val="single" w:sz="4" w:space="0" w:color="auto"/>
            </w:tcBorders>
            <w:shd w:val="clear" w:color="000000" w:fill="C5D9F1"/>
            <w:noWrap/>
            <w:vAlign w:val="bottom"/>
            <w:hideMark/>
          </w:tcPr>
          <w:p w14:paraId="4F007105" w14:textId="08581FE7" w:rsidR="00264B18" w:rsidRPr="00264B18" w:rsidRDefault="00EA4AA8" w:rsidP="00264B18">
            <w:pPr>
              <w:spacing w:line="240" w:lineRule="auto"/>
              <w:jc w:val="left"/>
              <w:rPr>
                <w:rFonts w:ascii="Arial CE" w:hAnsi="Arial CE" w:cs="Arial CE"/>
                <w:sz w:val="20"/>
                <w:szCs w:val="20"/>
              </w:rPr>
            </w:pPr>
            <w:r>
              <w:rPr>
                <w:rFonts w:ascii="Arial CE" w:hAnsi="Arial CE" w:cs="Arial CE"/>
                <w:sz w:val="20"/>
                <w:szCs w:val="20"/>
              </w:rPr>
              <w:t>lôžok</w:t>
            </w:r>
          </w:p>
        </w:tc>
      </w:tr>
      <w:tr w:rsidR="00264B18" w:rsidRPr="00EA4AA8" w14:paraId="62CBC97B" w14:textId="77777777" w:rsidTr="003E480E">
        <w:trPr>
          <w:trHeight w:val="300"/>
        </w:trPr>
        <w:tc>
          <w:tcPr>
            <w:tcW w:w="1120" w:type="dxa"/>
            <w:tcBorders>
              <w:top w:val="single" w:sz="8"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1E80E1F9"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CHIR</w:t>
            </w:r>
          </w:p>
        </w:tc>
        <w:tc>
          <w:tcPr>
            <w:tcW w:w="4422" w:type="dxa"/>
            <w:tcBorders>
              <w:top w:val="single" w:sz="8" w:space="0" w:color="auto"/>
              <w:left w:val="nil"/>
              <w:bottom w:val="single" w:sz="4" w:space="0" w:color="auto"/>
              <w:right w:val="single" w:sz="4" w:space="0" w:color="auto"/>
            </w:tcBorders>
            <w:shd w:val="clear" w:color="000000" w:fill="D6E3BC" w:themeFill="accent3" w:themeFillTint="66"/>
            <w:noWrap/>
            <w:vAlign w:val="center"/>
            <w:hideMark/>
          </w:tcPr>
          <w:p w14:paraId="5169C3B4"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Chirurgia</w:t>
            </w:r>
          </w:p>
        </w:tc>
        <w:tc>
          <w:tcPr>
            <w:tcW w:w="820" w:type="dxa"/>
            <w:tcBorders>
              <w:top w:val="single" w:sz="8" w:space="0" w:color="auto"/>
              <w:left w:val="nil"/>
              <w:bottom w:val="single" w:sz="4" w:space="0" w:color="auto"/>
              <w:right w:val="single" w:sz="4" w:space="0" w:color="auto"/>
            </w:tcBorders>
            <w:shd w:val="clear" w:color="000000" w:fill="D6E3BC" w:themeFill="accent3" w:themeFillTint="66"/>
            <w:noWrap/>
            <w:vAlign w:val="center"/>
            <w:hideMark/>
          </w:tcPr>
          <w:p w14:paraId="6185BDB6" w14:textId="77777777" w:rsidR="00264B18" w:rsidRPr="00FE1699" w:rsidRDefault="00264B18" w:rsidP="00EA4AA8">
            <w:pPr>
              <w:spacing w:line="240" w:lineRule="auto"/>
              <w:jc w:val="center"/>
              <w:rPr>
                <w:rFonts w:ascii="Arial Narrow" w:hAnsi="Arial Narrow" w:cs="Arial CE"/>
                <w:sz w:val="20"/>
                <w:szCs w:val="20"/>
              </w:rPr>
            </w:pPr>
            <w:r w:rsidRPr="00FE1699">
              <w:rPr>
                <w:rFonts w:ascii="Arial Narrow" w:hAnsi="Arial Narrow" w:cs="Arial CE"/>
                <w:sz w:val="20"/>
                <w:szCs w:val="20"/>
              </w:rPr>
              <w:t>60</w:t>
            </w:r>
          </w:p>
        </w:tc>
      </w:tr>
      <w:tr w:rsidR="00264B18" w:rsidRPr="00264B18" w14:paraId="0613D54E"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3EFD4FC5"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CPLDZ</w:t>
            </w:r>
          </w:p>
        </w:tc>
        <w:tc>
          <w:tcPr>
            <w:tcW w:w="4422" w:type="dxa"/>
            <w:tcBorders>
              <w:top w:val="nil"/>
              <w:left w:val="nil"/>
              <w:bottom w:val="single" w:sz="4" w:space="0" w:color="auto"/>
              <w:right w:val="single" w:sz="4" w:space="0" w:color="auto"/>
            </w:tcBorders>
            <w:shd w:val="clear" w:color="000000" w:fill="FFFFFF"/>
            <w:noWrap/>
            <w:vAlign w:val="center"/>
            <w:hideMark/>
          </w:tcPr>
          <w:p w14:paraId="16EA1B79"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Centrum pre liečbu drogových závislostí</w:t>
            </w:r>
          </w:p>
        </w:tc>
        <w:tc>
          <w:tcPr>
            <w:tcW w:w="820" w:type="dxa"/>
            <w:tcBorders>
              <w:top w:val="nil"/>
              <w:left w:val="nil"/>
              <w:bottom w:val="single" w:sz="4" w:space="0" w:color="auto"/>
              <w:right w:val="single" w:sz="4" w:space="0" w:color="auto"/>
            </w:tcBorders>
            <w:shd w:val="clear" w:color="000000" w:fill="FFFFFF"/>
            <w:noWrap/>
            <w:vAlign w:val="center"/>
            <w:hideMark/>
          </w:tcPr>
          <w:p w14:paraId="2E2CC1CE"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32</w:t>
            </w:r>
          </w:p>
        </w:tc>
      </w:tr>
      <w:tr w:rsidR="00264B18" w:rsidRPr="00264B18" w14:paraId="347A2718"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41EAC02B"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DET</w:t>
            </w:r>
          </w:p>
        </w:tc>
        <w:tc>
          <w:tcPr>
            <w:tcW w:w="4422" w:type="dxa"/>
            <w:tcBorders>
              <w:top w:val="nil"/>
              <w:left w:val="nil"/>
              <w:bottom w:val="single" w:sz="4" w:space="0" w:color="auto"/>
              <w:right w:val="single" w:sz="4" w:space="0" w:color="auto"/>
            </w:tcBorders>
            <w:shd w:val="clear" w:color="000000" w:fill="FFFFFF"/>
            <w:noWrap/>
            <w:vAlign w:val="center"/>
            <w:hideMark/>
          </w:tcPr>
          <w:p w14:paraId="65DAF940" w14:textId="6E9F8990" w:rsidR="00264B18" w:rsidRPr="00FE1699" w:rsidRDefault="00EA4AA8" w:rsidP="00264B18">
            <w:pPr>
              <w:spacing w:line="240" w:lineRule="auto"/>
              <w:jc w:val="left"/>
              <w:rPr>
                <w:rFonts w:ascii="Arial Narrow" w:hAnsi="Arial Narrow" w:cs="Arial CE"/>
                <w:sz w:val="20"/>
                <w:szCs w:val="20"/>
              </w:rPr>
            </w:pPr>
            <w:r>
              <w:rPr>
                <w:rFonts w:ascii="Arial Narrow" w:hAnsi="Arial Narrow" w:cs="Arial CE"/>
                <w:sz w:val="20"/>
                <w:szCs w:val="20"/>
              </w:rPr>
              <w:t>Pe</w:t>
            </w:r>
            <w:r w:rsidR="00264B18" w:rsidRPr="00FE1699">
              <w:rPr>
                <w:rFonts w:ascii="Arial Narrow" w:hAnsi="Arial Narrow" w:cs="Arial CE"/>
                <w:sz w:val="20"/>
                <w:szCs w:val="20"/>
              </w:rPr>
              <w:t>diatria</w:t>
            </w:r>
          </w:p>
        </w:tc>
        <w:tc>
          <w:tcPr>
            <w:tcW w:w="820" w:type="dxa"/>
            <w:tcBorders>
              <w:top w:val="nil"/>
              <w:left w:val="nil"/>
              <w:bottom w:val="single" w:sz="4" w:space="0" w:color="auto"/>
              <w:right w:val="single" w:sz="4" w:space="0" w:color="auto"/>
            </w:tcBorders>
            <w:shd w:val="clear" w:color="000000" w:fill="FFFFFF"/>
            <w:noWrap/>
            <w:vAlign w:val="center"/>
            <w:hideMark/>
          </w:tcPr>
          <w:p w14:paraId="1C98FEF8"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35</w:t>
            </w:r>
          </w:p>
        </w:tc>
      </w:tr>
      <w:tr w:rsidR="00264B18" w:rsidRPr="00264B18" w14:paraId="3F22A13C"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4D3A83A2"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DOS</w:t>
            </w:r>
          </w:p>
        </w:tc>
        <w:tc>
          <w:tcPr>
            <w:tcW w:w="4422" w:type="dxa"/>
            <w:tcBorders>
              <w:top w:val="nil"/>
              <w:left w:val="nil"/>
              <w:bottom w:val="single" w:sz="4" w:space="0" w:color="auto"/>
              <w:right w:val="single" w:sz="4" w:space="0" w:color="auto"/>
            </w:tcBorders>
            <w:shd w:val="clear" w:color="000000" w:fill="FFFFFF"/>
            <w:noWrap/>
            <w:vAlign w:val="center"/>
            <w:hideMark/>
          </w:tcPr>
          <w:p w14:paraId="58D8B55E"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Dom ošetrovateľskej starostlivosti</w:t>
            </w:r>
          </w:p>
        </w:tc>
        <w:tc>
          <w:tcPr>
            <w:tcW w:w="820" w:type="dxa"/>
            <w:tcBorders>
              <w:top w:val="nil"/>
              <w:left w:val="nil"/>
              <w:bottom w:val="single" w:sz="4" w:space="0" w:color="auto"/>
              <w:right w:val="single" w:sz="4" w:space="0" w:color="auto"/>
            </w:tcBorders>
            <w:shd w:val="clear" w:color="000000" w:fill="FFFFFF"/>
            <w:noWrap/>
            <w:vAlign w:val="center"/>
            <w:hideMark/>
          </w:tcPr>
          <w:p w14:paraId="0CB2B6FC"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22</w:t>
            </w:r>
          </w:p>
        </w:tc>
      </w:tr>
      <w:tr w:rsidR="00264B18" w:rsidRPr="00264B18" w14:paraId="01AE83D2"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2E9063C6"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GYN</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745068C3"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Gynekológia</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4BCFE5C5"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60</w:t>
            </w:r>
          </w:p>
        </w:tc>
      </w:tr>
      <w:tr w:rsidR="00264B18" w:rsidRPr="00264B18" w14:paraId="66D72DFC"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1F03CD2F"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VL A</w:t>
            </w:r>
          </w:p>
        </w:tc>
        <w:tc>
          <w:tcPr>
            <w:tcW w:w="4422" w:type="dxa"/>
            <w:tcBorders>
              <w:top w:val="nil"/>
              <w:left w:val="nil"/>
              <w:bottom w:val="single" w:sz="4" w:space="0" w:color="auto"/>
              <w:right w:val="single" w:sz="4" w:space="0" w:color="auto"/>
            </w:tcBorders>
            <w:shd w:val="clear" w:color="000000" w:fill="FFFFFF"/>
            <w:noWrap/>
            <w:vAlign w:val="center"/>
            <w:hideMark/>
          </w:tcPr>
          <w:p w14:paraId="6FE338E6"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Vnútorné lekárstvo</w:t>
            </w:r>
          </w:p>
        </w:tc>
        <w:tc>
          <w:tcPr>
            <w:tcW w:w="820" w:type="dxa"/>
            <w:tcBorders>
              <w:top w:val="nil"/>
              <w:left w:val="nil"/>
              <w:bottom w:val="single" w:sz="4" w:space="0" w:color="auto"/>
              <w:right w:val="single" w:sz="4" w:space="0" w:color="auto"/>
            </w:tcBorders>
            <w:shd w:val="clear" w:color="000000" w:fill="FFFFFF"/>
            <w:noWrap/>
            <w:vAlign w:val="center"/>
            <w:hideMark/>
          </w:tcPr>
          <w:p w14:paraId="7B0AC291"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83</w:t>
            </w:r>
          </w:p>
        </w:tc>
      </w:tr>
      <w:tr w:rsidR="00264B18" w:rsidRPr="00264B18" w14:paraId="726BEBA4"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680BF962"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VL B</w:t>
            </w:r>
          </w:p>
        </w:tc>
        <w:tc>
          <w:tcPr>
            <w:tcW w:w="4422" w:type="dxa"/>
            <w:tcBorders>
              <w:top w:val="nil"/>
              <w:left w:val="nil"/>
              <w:bottom w:val="single" w:sz="4" w:space="0" w:color="auto"/>
              <w:right w:val="single" w:sz="4" w:space="0" w:color="auto"/>
            </w:tcBorders>
            <w:shd w:val="clear" w:color="000000" w:fill="FFFFFF"/>
            <w:noWrap/>
            <w:vAlign w:val="center"/>
            <w:hideMark/>
          </w:tcPr>
          <w:p w14:paraId="2E6B0077"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Vnútorné lekárstvo</w:t>
            </w:r>
          </w:p>
        </w:tc>
        <w:tc>
          <w:tcPr>
            <w:tcW w:w="820" w:type="dxa"/>
            <w:tcBorders>
              <w:top w:val="nil"/>
              <w:left w:val="nil"/>
              <w:bottom w:val="single" w:sz="4" w:space="0" w:color="auto"/>
              <w:right w:val="single" w:sz="4" w:space="0" w:color="auto"/>
            </w:tcBorders>
            <w:shd w:val="clear" w:color="000000" w:fill="FFFFFF"/>
            <w:noWrap/>
            <w:vAlign w:val="center"/>
            <w:hideMark/>
          </w:tcPr>
          <w:p w14:paraId="59FDA33B"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68</w:t>
            </w:r>
          </w:p>
        </w:tc>
      </w:tr>
      <w:tr w:rsidR="00264B18" w:rsidRPr="00264B18" w14:paraId="492D5F57"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313BF148"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LDCH</w:t>
            </w:r>
          </w:p>
        </w:tc>
        <w:tc>
          <w:tcPr>
            <w:tcW w:w="4422" w:type="dxa"/>
            <w:tcBorders>
              <w:top w:val="nil"/>
              <w:left w:val="nil"/>
              <w:bottom w:val="single" w:sz="4" w:space="0" w:color="auto"/>
              <w:right w:val="single" w:sz="4" w:space="0" w:color="auto"/>
            </w:tcBorders>
            <w:shd w:val="clear" w:color="000000" w:fill="FFFFFF"/>
            <w:noWrap/>
            <w:vAlign w:val="center"/>
            <w:hideMark/>
          </w:tcPr>
          <w:p w14:paraId="63A436FD"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Liečebňa dlhodobo chorých</w:t>
            </w:r>
          </w:p>
        </w:tc>
        <w:tc>
          <w:tcPr>
            <w:tcW w:w="820" w:type="dxa"/>
            <w:tcBorders>
              <w:top w:val="nil"/>
              <w:left w:val="nil"/>
              <w:bottom w:val="single" w:sz="4" w:space="0" w:color="auto"/>
              <w:right w:val="single" w:sz="4" w:space="0" w:color="auto"/>
            </w:tcBorders>
            <w:shd w:val="clear" w:color="000000" w:fill="FFFFFF"/>
            <w:noWrap/>
            <w:vAlign w:val="center"/>
            <w:hideMark/>
          </w:tcPr>
          <w:p w14:paraId="2DDE6DF7"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56</w:t>
            </w:r>
          </w:p>
        </w:tc>
      </w:tr>
      <w:tr w:rsidR="00264B18" w:rsidRPr="00264B18" w14:paraId="6DA4ED5F"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6CAF78CD"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NECH</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22BA3567" w14:textId="43F7F371"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Neurochiru</w:t>
            </w:r>
            <w:r w:rsidR="0072689D">
              <w:rPr>
                <w:rFonts w:ascii="Arial Narrow" w:hAnsi="Arial Narrow" w:cs="Arial CE"/>
                <w:sz w:val="20"/>
                <w:szCs w:val="20"/>
              </w:rPr>
              <w:t>r</w:t>
            </w:r>
            <w:r w:rsidRPr="00FE1699">
              <w:rPr>
                <w:rFonts w:ascii="Arial Narrow" w:hAnsi="Arial Narrow" w:cs="Arial CE"/>
                <w:sz w:val="20"/>
                <w:szCs w:val="20"/>
              </w:rPr>
              <w:t>gia</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5C9F7DAB"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25</w:t>
            </w:r>
          </w:p>
        </w:tc>
      </w:tr>
      <w:tr w:rsidR="00264B18" w:rsidRPr="00264B18" w14:paraId="6CA0CD95"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6B33570F"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NEUROL</w:t>
            </w:r>
          </w:p>
        </w:tc>
        <w:tc>
          <w:tcPr>
            <w:tcW w:w="4422" w:type="dxa"/>
            <w:tcBorders>
              <w:top w:val="nil"/>
              <w:left w:val="nil"/>
              <w:bottom w:val="single" w:sz="4" w:space="0" w:color="auto"/>
              <w:right w:val="single" w:sz="4" w:space="0" w:color="auto"/>
            </w:tcBorders>
            <w:shd w:val="clear" w:color="000000" w:fill="FFFFFF"/>
            <w:noWrap/>
            <w:vAlign w:val="center"/>
            <w:hideMark/>
          </w:tcPr>
          <w:p w14:paraId="2B9FDCE7"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Neurológia</w:t>
            </w:r>
          </w:p>
        </w:tc>
        <w:tc>
          <w:tcPr>
            <w:tcW w:w="820" w:type="dxa"/>
            <w:tcBorders>
              <w:top w:val="nil"/>
              <w:left w:val="nil"/>
              <w:bottom w:val="single" w:sz="4" w:space="0" w:color="auto"/>
              <w:right w:val="single" w:sz="4" w:space="0" w:color="auto"/>
            </w:tcBorders>
            <w:shd w:val="clear" w:color="000000" w:fill="FFFFFF"/>
            <w:noWrap/>
            <w:vAlign w:val="center"/>
            <w:hideMark/>
          </w:tcPr>
          <w:p w14:paraId="2EEA4689"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36</w:t>
            </w:r>
          </w:p>
        </w:tc>
      </w:tr>
      <w:tr w:rsidR="00264B18" w:rsidRPr="00264B18" w14:paraId="1FF823DC"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6FFBC8D5"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NOV</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29548F63"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Novorodenecké oddelenie</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2C0D941F"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24</w:t>
            </w:r>
          </w:p>
        </w:tc>
      </w:tr>
      <w:tr w:rsidR="00264B18" w:rsidRPr="00264B18" w14:paraId="3143BC0E"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0D84640D"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NOV-JIRS</w:t>
            </w:r>
          </w:p>
        </w:tc>
        <w:tc>
          <w:tcPr>
            <w:tcW w:w="4422" w:type="dxa"/>
            <w:tcBorders>
              <w:top w:val="nil"/>
              <w:left w:val="nil"/>
              <w:bottom w:val="single" w:sz="4" w:space="0" w:color="auto"/>
              <w:right w:val="single" w:sz="4" w:space="0" w:color="auto"/>
            </w:tcBorders>
            <w:shd w:val="clear" w:color="000000" w:fill="FFFFFF"/>
            <w:noWrap/>
            <w:vAlign w:val="center"/>
            <w:hideMark/>
          </w:tcPr>
          <w:p w14:paraId="2AFEF1E2"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Novorodenecká JIS</w:t>
            </w:r>
          </w:p>
        </w:tc>
        <w:tc>
          <w:tcPr>
            <w:tcW w:w="820" w:type="dxa"/>
            <w:tcBorders>
              <w:top w:val="nil"/>
              <w:left w:val="nil"/>
              <w:bottom w:val="single" w:sz="4" w:space="0" w:color="auto"/>
              <w:right w:val="single" w:sz="4" w:space="0" w:color="auto"/>
            </w:tcBorders>
            <w:shd w:val="clear" w:color="000000" w:fill="FFFFFF"/>
            <w:noWrap/>
            <w:vAlign w:val="center"/>
            <w:hideMark/>
          </w:tcPr>
          <w:p w14:paraId="1192368F"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9</w:t>
            </w:r>
          </w:p>
        </w:tc>
      </w:tr>
      <w:tr w:rsidR="00264B18" w:rsidRPr="00264B18" w14:paraId="4C829615"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0E923018"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OAIM</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194BB561" w14:textId="643EB067" w:rsidR="00264B18" w:rsidRPr="00FE1699" w:rsidRDefault="00EA4AA8" w:rsidP="00264B18">
            <w:pPr>
              <w:spacing w:line="240" w:lineRule="auto"/>
              <w:jc w:val="left"/>
              <w:rPr>
                <w:rFonts w:ascii="Arial Narrow" w:hAnsi="Arial Narrow" w:cs="Arial CE"/>
                <w:sz w:val="20"/>
                <w:szCs w:val="20"/>
              </w:rPr>
            </w:pPr>
            <w:r>
              <w:rPr>
                <w:rFonts w:ascii="Arial Narrow" w:hAnsi="Arial Narrow" w:cs="Arial CE"/>
                <w:sz w:val="20"/>
                <w:szCs w:val="20"/>
              </w:rPr>
              <w:t xml:space="preserve">Oddelenie </w:t>
            </w:r>
            <w:proofErr w:type="spellStart"/>
            <w:r>
              <w:rPr>
                <w:rFonts w:ascii="Arial Narrow" w:hAnsi="Arial Narrow" w:cs="Arial CE"/>
                <w:sz w:val="20"/>
                <w:szCs w:val="20"/>
              </w:rPr>
              <w:t>aneste</w:t>
            </w:r>
            <w:r w:rsidR="00264B18" w:rsidRPr="00FE1699">
              <w:rPr>
                <w:rFonts w:ascii="Arial Narrow" w:hAnsi="Arial Narrow" w:cs="Arial CE"/>
                <w:sz w:val="20"/>
                <w:szCs w:val="20"/>
              </w:rPr>
              <w:t>ziológie</w:t>
            </w:r>
            <w:proofErr w:type="spellEnd"/>
            <w:r w:rsidR="00264B18" w:rsidRPr="00FE1699">
              <w:rPr>
                <w:rFonts w:ascii="Arial Narrow" w:hAnsi="Arial Narrow" w:cs="Arial CE"/>
                <w:sz w:val="20"/>
                <w:szCs w:val="20"/>
              </w:rPr>
              <w:t xml:space="preserve"> a intenzívnej medicíny</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087A079C"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8</w:t>
            </w:r>
          </w:p>
        </w:tc>
      </w:tr>
      <w:tr w:rsidR="00264B18" w:rsidRPr="00264B18" w14:paraId="0ABABB14"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48C47620"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OČN</w:t>
            </w:r>
          </w:p>
        </w:tc>
        <w:tc>
          <w:tcPr>
            <w:tcW w:w="4422" w:type="dxa"/>
            <w:tcBorders>
              <w:top w:val="nil"/>
              <w:left w:val="nil"/>
              <w:bottom w:val="single" w:sz="4" w:space="0" w:color="auto"/>
              <w:right w:val="single" w:sz="4" w:space="0" w:color="auto"/>
            </w:tcBorders>
            <w:shd w:val="clear" w:color="000000" w:fill="FFFFFF"/>
            <w:noWrap/>
            <w:vAlign w:val="center"/>
            <w:hideMark/>
          </w:tcPr>
          <w:p w14:paraId="33F482F1"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Očné</w:t>
            </w:r>
          </w:p>
        </w:tc>
        <w:tc>
          <w:tcPr>
            <w:tcW w:w="820" w:type="dxa"/>
            <w:tcBorders>
              <w:top w:val="nil"/>
              <w:left w:val="nil"/>
              <w:bottom w:val="single" w:sz="4" w:space="0" w:color="auto"/>
              <w:right w:val="single" w:sz="4" w:space="0" w:color="auto"/>
            </w:tcBorders>
            <w:shd w:val="clear" w:color="000000" w:fill="FFFFFF"/>
            <w:noWrap/>
            <w:vAlign w:val="center"/>
            <w:hideMark/>
          </w:tcPr>
          <w:p w14:paraId="46501ECF"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10</w:t>
            </w:r>
          </w:p>
        </w:tc>
      </w:tr>
      <w:tr w:rsidR="00264B18" w:rsidRPr="00264B18" w14:paraId="2CC64DC9"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38A79381"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ORL</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0FD2A045" w14:textId="77777777" w:rsidR="00264B18" w:rsidRPr="00FE1699" w:rsidRDefault="00264B18" w:rsidP="00264B18">
            <w:pPr>
              <w:spacing w:line="240" w:lineRule="auto"/>
              <w:jc w:val="left"/>
              <w:rPr>
                <w:rFonts w:ascii="Arial Narrow" w:hAnsi="Arial Narrow" w:cs="Arial CE"/>
                <w:sz w:val="20"/>
                <w:szCs w:val="20"/>
              </w:rPr>
            </w:pPr>
            <w:proofErr w:type="spellStart"/>
            <w:r w:rsidRPr="00FE1699">
              <w:rPr>
                <w:rFonts w:ascii="Arial Narrow" w:hAnsi="Arial Narrow" w:cs="Arial CE"/>
                <w:sz w:val="20"/>
                <w:szCs w:val="20"/>
              </w:rPr>
              <w:t>Otorinolaryngológia</w:t>
            </w:r>
            <w:proofErr w:type="spellEnd"/>
            <w:r w:rsidRPr="00FE1699">
              <w:rPr>
                <w:rFonts w:ascii="Arial Narrow" w:hAnsi="Arial Narrow" w:cs="Arial CE"/>
                <w:sz w:val="20"/>
                <w:szCs w:val="20"/>
              </w:rPr>
              <w:t xml:space="preserve"> a chirurgia hlavy a krku</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1E5B39D4"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9</w:t>
            </w:r>
          </w:p>
        </w:tc>
      </w:tr>
      <w:tr w:rsidR="00264B18" w:rsidRPr="00264B18" w14:paraId="51F7BC9A"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4EA2F4B5"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 xml:space="preserve">ORT </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5C9291AE"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Ortopédia</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7DEB9673"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21</w:t>
            </w:r>
          </w:p>
        </w:tc>
      </w:tr>
      <w:tr w:rsidR="00264B18" w:rsidRPr="00264B18" w14:paraId="6ADD33EF"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280B3F7B"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ORT-de</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528F1BDD"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Ortopédia - detská</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572CC061"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17</w:t>
            </w:r>
          </w:p>
        </w:tc>
      </w:tr>
      <w:tr w:rsidR="00264B18" w:rsidRPr="00264B18" w14:paraId="661EB217"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431E4AD7"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lastRenderedPageBreak/>
              <w:t>PSYCH</w:t>
            </w:r>
          </w:p>
        </w:tc>
        <w:tc>
          <w:tcPr>
            <w:tcW w:w="4422" w:type="dxa"/>
            <w:tcBorders>
              <w:top w:val="nil"/>
              <w:left w:val="nil"/>
              <w:bottom w:val="single" w:sz="4" w:space="0" w:color="auto"/>
              <w:right w:val="single" w:sz="4" w:space="0" w:color="auto"/>
            </w:tcBorders>
            <w:shd w:val="clear" w:color="000000" w:fill="FFFFFF"/>
            <w:noWrap/>
            <w:vAlign w:val="center"/>
            <w:hideMark/>
          </w:tcPr>
          <w:p w14:paraId="7C29ED0C"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Psychiatria</w:t>
            </w:r>
          </w:p>
        </w:tc>
        <w:tc>
          <w:tcPr>
            <w:tcW w:w="820" w:type="dxa"/>
            <w:tcBorders>
              <w:top w:val="nil"/>
              <w:left w:val="nil"/>
              <w:bottom w:val="single" w:sz="4" w:space="0" w:color="auto"/>
              <w:right w:val="single" w:sz="4" w:space="0" w:color="auto"/>
            </w:tcBorders>
            <w:shd w:val="clear" w:color="000000" w:fill="FFFFFF"/>
            <w:noWrap/>
            <w:vAlign w:val="center"/>
            <w:hideMark/>
          </w:tcPr>
          <w:p w14:paraId="6F77E87B"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62</w:t>
            </w:r>
          </w:p>
        </w:tc>
      </w:tr>
      <w:tr w:rsidR="00264B18" w:rsidRPr="00264B18" w14:paraId="4BF36B9C"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14:paraId="42A2FC7D"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RDT</w:t>
            </w:r>
          </w:p>
        </w:tc>
        <w:tc>
          <w:tcPr>
            <w:tcW w:w="4422" w:type="dxa"/>
            <w:tcBorders>
              <w:top w:val="nil"/>
              <w:left w:val="nil"/>
              <w:bottom w:val="single" w:sz="4" w:space="0" w:color="auto"/>
              <w:right w:val="single" w:sz="4" w:space="0" w:color="auto"/>
            </w:tcBorders>
            <w:shd w:val="clear" w:color="000000" w:fill="FFFFFF"/>
            <w:noWrap/>
            <w:vAlign w:val="center"/>
            <w:hideMark/>
          </w:tcPr>
          <w:p w14:paraId="01BD22FA"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Radiačná onkológia</w:t>
            </w:r>
          </w:p>
        </w:tc>
        <w:tc>
          <w:tcPr>
            <w:tcW w:w="820" w:type="dxa"/>
            <w:tcBorders>
              <w:top w:val="nil"/>
              <w:left w:val="nil"/>
              <w:bottom w:val="single" w:sz="4" w:space="0" w:color="auto"/>
              <w:right w:val="single" w:sz="4" w:space="0" w:color="auto"/>
            </w:tcBorders>
            <w:shd w:val="clear" w:color="000000" w:fill="FFFFFF"/>
            <w:noWrap/>
            <w:vAlign w:val="center"/>
            <w:hideMark/>
          </w:tcPr>
          <w:p w14:paraId="4FF382F2"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60</w:t>
            </w:r>
          </w:p>
        </w:tc>
      </w:tr>
      <w:tr w:rsidR="00264B18" w:rsidRPr="00264B18" w14:paraId="4BF0B94C"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54742D84"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TRA</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080305BC"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Traumatológia</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76FFBC89"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46</w:t>
            </w:r>
          </w:p>
        </w:tc>
      </w:tr>
      <w:tr w:rsidR="00264B18" w:rsidRPr="00264B18" w14:paraId="24811CA4" w14:textId="77777777" w:rsidTr="003E480E">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6E3BC" w:themeFill="accent3" w:themeFillTint="66"/>
            <w:noWrap/>
            <w:vAlign w:val="center"/>
            <w:hideMark/>
          </w:tcPr>
          <w:p w14:paraId="6D01773E"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URO</w:t>
            </w:r>
          </w:p>
        </w:tc>
        <w:tc>
          <w:tcPr>
            <w:tcW w:w="4422"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6C486F2C" w14:textId="77777777" w:rsidR="00264B18" w:rsidRPr="00FE1699" w:rsidRDefault="00264B18" w:rsidP="00264B18">
            <w:pPr>
              <w:spacing w:line="240" w:lineRule="auto"/>
              <w:jc w:val="left"/>
              <w:rPr>
                <w:rFonts w:ascii="Arial Narrow" w:hAnsi="Arial Narrow" w:cs="Arial CE"/>
                <w:sz w:val="20"/>
                <w:szCs w:val="20"/>
              </w:rPr>
            </w:pPr>
            <w:r w:rsidRPr="00FE1699">
              <w:rPr>
                <w:rFonts w:ascii="Arial Narrow" w:hAnsi="Arial Narrow" w:cs="Arial CE"/>
                <w:sz w:val="20"/>
                <w:szCs w:val="20"/>
              </w:rPr>
              <w:t>Urológia</w:t>
            </w:r>
          </w:p>
        </w:tc>
        <w:tc>
          <w:tcPr>
            <w:tcW w:w="820" w:type="dxa"/>
            <w:tcBorders>
              <w:top w:val="single" w:sz="4" w:space="0" w:color="auto"/>
              <w:left w:val="nil"/>
              <w:bottom w:val="single" w:sz="4" w:space="0" w:color="auto"/>
              <w:right w:val="single" w:sz="4" w:space="0" w:color="auto"/>
            </w:tcBorders>
            <w:shd w:val="clear" w:color="000000" w:fill="D6E3BC" w:themeFill="accent3" w:themeFillTint="66"/>
            <w:noWrap/>
            <w:vAlign w:val="center"/>
            <w:hideMark/>
          </w:tcPr>
          <w:p w14:paraId="31DDC952" w14:textId="77777777" w:rsidR="00264B18" w:rsidRPr="00FE1699" w:rsidRDefault="00264B18" w:rsidP="00746C5B">
            <w:pPr>
              <w:spacing w:line="240" w:lineRule="auto"/>
              <w:jc w:val="center"/>
              <w:rPr>
                <w:rFonts w:ascii="Arial Narrow" w:hAnsi="Arial Narrow" w:cs="Arial CE"/>
                <w:sz w:val="20"/>
                <w:szCs w:val="20"/>
              </w:rPr>
            </w:pPr>
            <w:r w:rsidRPr="00FE1699">
              <w:rPr>
                <w:rFonts w:ascii="Arial Narrow" w:hAnsi="Arial Narrow" w:cs="Arial CE"/>
                <w:sz w:val="20"/>
                <w:szCs w:val="20"/>
              </w:rPr>
              <w:t>42</w:t>
            </w:r>
          </w:p>
        </w:tc>
      </w:tr>
      <w:tr w:rsidR="00264B18" w:rsidRPr="00264B18" w14:paraId="3D38A61A" w14:textId="77777777" w:rsidTr="003E480E">
        <w:trPr>
          <w:trHeight w:val="300"/>
        </w:trPr>
        <w:tc>
          <w:tcPr>
            <w:tcW w:w="1120" w:type="dxa"/>
            <w:tcBorders>
              <w:top w:val="nil"/>
              <w:left w:val="single" w:sz="4" w:space="0" w:color="auto"/>
              <w:bottom w:val="single" w:sz="4" w:space="0" w:color="auto"/>
              <w:right w:val="single" w:sz="4" w:space="0" w:color="auto"/>
            </w:tcBorders>
            <w:shd w:val="clear" w:color="000000" w:fill="FFCC00"/>
            <w:vAlign w:val="center"/>
            <w:hideMark/>
          </w:tcPr>
          <w:p w14:paraId="08348EDB" w14:textId="77777777" w:rsidR="00264B18" w:rsidRPr="00FE1699" w:rsidRDefault="00264B18" w:rsidP="00264B18">
            <w:pPr>
              <w:spacing w:line="240" w:lineRule="auto"/>
              <w:jc w:val="left"/>
              <w:rPr>
                <w:rFonts w:ascii="Arial Narrow" w:hAnsi="Arial Narrow" w:cs="Arial CE"/>
                <w:b/>
                <w:bCs/>
                <w:sz w:val="20"/>
                <w:szCs w:val="20"/>
              </w:rPr>
            </w:pPr>
            <w:r w:rsidRPr="00FE1699">
              <w:rPr>
                <w:rFonts w:ascii="Arial Narrow" w:hAnsi="Arial Narrow" w:cs="Arial CE"/>
                <w:b/>
                <w:bCs/>
                <w:sz w:val="20"/>
                <w:szCs w:val="20"/>
              </w:rPr>
              <w:t>celkom</w:t>
            </w:r>
          </w:p>
        </w:tc>
        <w:tc>
          <w:tcPr>
            <w:tcW w:w="4422" w:type="dxa"/>
            <w:tcBorders>
              <w:top w:val="nil"/>
              <w:left w:val="nil"/>
              <w:bottom w:val="single" w:sz="4" w:space="0" w:color="auto"/>
              <w:right w:val="single" w:sz="4" w:space="0" w:color="auto"/>
            </w:tcBorders>
            <w:shd w:val="clear" w:color="000000" w:fill="FFCC00"/>
            <w:vAlign w:val="center"/>
            <w:hideMark/>
          </w:tcPr>
          <w:p w14:paraId="635921C7" w14:textId="77777777" w:rsidR="00264B18" w:rsidRPr="00FE1699" w:rsidRDefault="00264B18" w:rsidP="00264B18">
            <w:pPr>
              <w:spacing w:line="240" w:lineRule="auto"/>
              <w:jc w:val="left"/>
              <w:rPr>
                <w:rFonts w:ascii="Arial Narrow" w:hAnsi="Arial Narrow" w:cs="Arial CE"/>
                <w:b/>
                <w:bCs/>
                <w:sz w:val="20"/>
                <w:szCs w:val="20"/>
              </w:rPr>
            </w:pPr>
            <w:r w:rsidRPr="00FE1699">
              <w:rPr>
                <w:rFonts w:ascii="Arial Narrow" w:hAnsi="Arial Narrow" w:cs="Arial CE"/>
                <w:b/>
                <w:bCs/>
                <w:sz w:val="20"/>
                <w:szCs w:val="20"/>
              </w:rPr>
              <w:t> </w:t>
            </w:r>
          </w:p>
        </w:tc>
        <w:tc>
          <w:tcPr>
            <w:tcW w:w="820" w:type="dxa"/>
            <w:tcBorders>
              <w:top w:val="nil"/>
              <w:left w:val="nil"/>
              <w:bottom w:val="single" w:sz="4" w:space="0" w:color="auto"/>
              <w:right w:val="single" w:sz="4" w:space="0" w:color="auto"/>
            </w:tcBorders>
            <w:shd w:val="clear" w:color="000000" w:fill="FFCC00"/>
            <w:noWrap/>
            <w:vAlign w:val="center"/>
            <w:hideMark/>
          </w:tcPr>
          <w:p w14:paraId="6D71AE4D" w14:textId="77777777" w:rsidR="00264B18" w:rsidRPr="00FE1699" w:rsidRDefault="00264B18" w:rsidP="00746C5B">
            <w:pPr>
              <w:spacing w:line="240" w:lineRule="auto"/>
              <w:jc w:val="center"/>
              <w:rPr>
                <w:rFonts w:ascii="Arial Narrow" w:hAnsi="Arial Narrow" w:cs="Arial CE"/>
                <w:b/>
                <w:bCs/>
                <w:sz w:val="20"/>
                <w:szCs w:val="20"/>
              </w:rPr>
            </w:pPr>
            <w:r w:rsidRPr="00FE1699">
              <w:rPr>
                <w:rFonts w:ascii="Arial Narrow" w:hAnsi="Arial Narrow" w:cs="Arial CE"/>
                <w:b/>
                <w:bCs/>
                <w:sz w:val="20"/>
                <w:szCs w:val="20"/>
              </w:rPr>
              <w:t>785</w:t>
            </w:r>
          </w:p>
        </w:tc>
      </w:tr>
    </w:tbl>
    <w:p w14:paraId="1EEFBCB6" w14:textId="77777777" w:rsidR="0072689D" w:rsidRPr="006B1505" w:rsidRDefault="0072689D" w:rsidP="0072689D">
      <w:pPr>
        <w:pStyle w:val="Popis"/>
        <w:spacing w:before="0" w:after="0" w:line="240" w:lineRule="auto"/>
        <w:rPr>
          <w:rFonts w:ascii="Century Gothic" w:hAnsi="Century Gothic" w:cstheme="minorHAnsi"/>
          <w:b w:val="0"/>
          <w:i/>
          <w:sz w:val="18"/>
          <w:szCs w:val="18"/>
        </w:rPr>
      </w:pPr>
      <w:r>
        <w:rPr>
          <w:rFonts w:ascii="Century Gothic" w:hAnsi="Century Gothic" w:cstheme="minorHAnsi"/>
          <w:b w:val="0"/>
          <w:i/>
          <w:sz w:val="18"/>
          <w:szCs w:val="18"/>
        </w:rPr>
        <w:t>Zdroj: vlastné spracovanie</w:t>
      </w:r>
    </w:p>
    <w:p w14:paraId="09AC9E52" w14:textId="22D327AB" w:rsidR="00375CED" w:rsidRPr="005A2CC5" w:rsidRDefault="00375CED" w:rsidP="00A62CD9">
      <w:pPr>
        <w:spacing w:line="240" w:lineRule="auto"/>
        <w:rPr>
          <w:rFonts w:ascii="Century Gothic" w:hAnsi="Century Gothic" w:cstheme="minorHAnsi"/>
          <w:sz w:val="22"/>
          <w:szCs w:val="22"/>
          <w:highlight w:val="yellow"/>
        </w:rPr>
      </w:pPr>
    </w:p>
    <w:p w14:paraId="59A02C3C" w14:textId="2AB18C82" w:rsidR="00EA4AA8" w:rsidRPr="002679C1" w:rsidRDefault="00EA4AA8" w:rsidP="00EA4AA8">
      <w:pPr>
        <w:spacing w:line="240" w:lineRule="auto"/>
        <w:rPr>
          <w:rFonts w:ascii="Century Gothic" w:hAnsi="Century Gothic" w:cstheme="minorHAnsi"/>
          <w:sz w:val="22"/>
          <w:szCs w:val="22"/>
        </w:rPr>
      </w:pPr>
      <w:r>
        <w:rPr>
          <w:rFonts w:ascii="Century Gothic" w:hAnsi="Century Gothic" w:cstheme="minorHAnsi"/>
          <w:sz w:val="22"/>
          <w:szCs w:val="22"/>
        </w:rPr>
        <w:t xml:space="preserve">Kompletná skladba ambulancií </w:t>
      </w:r>
      <w:proofErr w:type="spellStart"/>
      <w:r>
        <w:rPr>
          <w:rFonts w:ascii="Century Gothic" w:hAnsi="Century Gothic" w:cstheme="minorHAnsi"/>
          <w:sz w:val="22"/>
          <w:szCs w:val="22"/>
        </w:rPr>
        <w:t>FNsP</w:t>
      </w:r>
      <w:proofErr w:type="spellEnd"/>
      <w:r>
        <w:rPr>
          <w:rFonts w:ascii="Century Gothic" w:hAnsi="Century Gothic" w:cstheme="minorHAnsi"/>
          <w:sz w:val="22"/>
          <w:szCs w:val="22"/>
        </w:rPr>
        <w:t xml:space="preserve"> Žili</w:t>
      </w:r>
      <w:r w:rsidR="0072689D">
        <w:rPr>
          <w:rFonts w:ascii="Century Gothic" w:hAnsi="Century Gothic" w:cstheme="minorHAnsi"/>
          <w:sz w:val="22"/>
          <w:szCs w:val="22"/>
        </w:rPr>
        <w:t xml:space="preserve">na tvorí prílohu tejto štúdie. </w:t>
      </w:r>
    </w:p>
    <w:p w14:paraId="3A4FEE34" w14:textId="77777777" w:rsidR="00B70514" w:rsidRPr="00B70514" w:rsidRDefault="00B70514" w:rsidP="00B70514">
      <w:pPr>
        <w:spacing w:line="240" w:lineRule="auto"/>
        <w:rPr>
          <w:rFonts w:ascii="Century Gothic" w:eastAsiaTheme="minorHAnsi" w:hAnsi="Century Gothic" w:cstheme="minorHAnsi"/>
          <w:sz w:val="22"/>
          <w:szCs w:val="22"/>
          <w:highlight w:val="yellow"/>
          <w:lang w:eastAsia="en-US"/>
        </w:rPr>
      </w:pPr>
    </w:p>
    <w:p w14:paraId="05C4F1D6" w14:textId="77777777" w:rsidR="007B7154" w:rsidRPr="00E0451E" w:rsidRDefault="007B7154" w:rsidP="00E0451E">
      <w:pPr>
        <w:pStyle w:val="Nadpis2"/>
        <w:numPr>
          <w:ilvl w:val="1"/>
          <w:numId w:val="1"/>
        </w:numPr>
        <w:tabs>
          <w:tab w:val="clear" w:pos="567"/>
        </w:tabs>
        <w:spacing w:before="40" w:line="259" w:lineRule="auto"/>
        <w:ind w:left="750" w:hanging="390"/>
        <w:jc w:val="left"/>
        <w:rPr>
          <w:rFonts w:ascii="Century Gothic" w:hAnsi="Century Gothic" w:cs="Calibri Light"/>
          <w:b w:val="0"/>
          <w:bCs w:val="0"/>
          <w:color w:val="365F91" w:themeColor="accent1" w:themeShade="BF"/>
          <w:lang w:eastAsia="en-US"/>
        </w:rPr>
      </w:pPr>
      <w:bookmarkStart w:id="121" w:name="_Toc145219957"/>
      <w:r w:rsidRPr="00E0451E">
        <w:rPr>
          <w:rFonts w:ascii="Century Gothic" w:hAnsi="Century Gothic" w:cs="Calibri Light"/>
          <w:b w:val="0"/>
          <w:bCs w:val="0"/>
          <w:color w:val="365F91" w:themeColor="accent1" w:themeShade="BF"/>
          <w:lang w:eastAsia="en-US"/>
        </w:rPr>
        <w:t>Vzdelávanie zdravotníkov</w:t>
      </w:r>
      <w:bookmarkEnd w:id="121"/>
    </w:p>
    <w:p w14:paraId="07700B73" w14:textId="77777777" w:rsidR="00A62CD9" w:rsidRPr="00082A60" w:rsidRDefault="00A62CD9" w:rsidP="007B7154">
      <w:pPr>
        <w:rPr>
          <w:rFonts w:ascii="Century Gothic" w:hAnsi="Century Gothic"/>
          <w:bCs/>
          <w:sz w:val="28"/>
          <w:szCs w:val="28"/>
        </w:rPr>
      </w:pPr>
    </w:p>
    <w:p w14:paraId="65CD516D" w14:textId="3A743253" w:rsidR="00082A60" w:rsidRDefault="006A43FD" w:rsidP="008F3D74">
      <w:pPr>
        <w:spacing w:line="240" w:lineRule="auto"/>
        <w:rPr>
          <w:rFonts w:ascii="Century Gothic" w:eastAsiaTheme="minorHAnsi" w:hAnsi="Century Gothic" w:cstheme="minorHAnsi"/>
          <w:sz w:val="22"/>
          <w:szCs w:val="22"/>
          <w:lang w:eastAsia="en-US"/>
        </w:rPr>
      </w:pPr>
      <w:proofErr w:type="spellStart"/>
      <w:r w:rsidRPr="004F5E08">
        <w:rPr>
          <w:rFonts w:ascii="Century Gothic" w:eastAsiaTheme="minorHAnsi" w:hAnsi="Century Gothic" w:cstheme="minorHAnsi"/>
          <w:sz w:val="22"/>
          <w:szCs w:val="22"/>
          <w:lang w:eastAsia="en-US"/>
        </w:rPr>
        <w:t>FNsP</w:t>
      </w:r>
      <w:proofErr w:type="spellEnd"/>
      <w:r w:rsidRPr="004F5E08">
        <w:rPr>
          <w:rFonts w:ascii="Century Gothic" w:eastAsiaTheme="minorHAnsi" w:hAnsi="Century Gothic" w:cstheme="minorHAnsi"/>
          <w:sz w:val="22"/>
          <w:szCs w:val="22"/>
          <w:lang w:eastAsia="en-US"/>
        </w:rPr>
        <w:t xml:space="preserve"> Žilina sa výrazným spôsobom podieľa na praktickej výučbe zdravotníkov v 12tich zdravotníckych profesiách a takisto aj v nezdravotníckych profesiách. Nemocnica tvorí základnú bázu pre výučbu Strednej</w:t>
      </w:r>
      <w:r w:rsidR="00082A60" w:rsidRPr="004F5E08">
        <w:rPr>
          <w:rFonts w:ascii="Century Gothic" w:eastAsiaTheme="minorHAnsi" w:hAnsi="Century Gothic" w:cstheme="minorHAnsi"/>
          <w:sz w:val="22"/>
          <w:szCs w:val="22"/>
          <w:lang w:eastAsia="en-US"/>
        </w:rPr>
        <w:t xml:space="preserve"> zdravotnej školy Žilina pre odbory: asistent výživy (nutričný terapeut), masér, praktická sestra, zdravotnícky asistent, zdravotnícky laborant, zdravotnícky záchranár.</w:t>
      </w:r>
    </w:p>
    <w:p w14:paraId="16BB67B5" w14:textId="77777777" w:rsidR="008F3D74" w:rsidRPr="004F5E08" w:rsidRDefault="008F3D74" w:rsidP="008F3D74">
      <w:pPr>
        <w:spacing w:line="240" w:lineRule="auto"/>
        <w:rPr>
          <w:rFonts w:ascii="Century Gothic" w:eastAsiaTheme="minorHAnsi" w:hAnsi="Century Gothic" w:cstheme="minorHAnsi"/>
          <w:sz w:val="22"/>
          <w:szCs w:val="22"/>
          <w:lang w:eastAsia="en-US"/>
        </w:rPr>
      </w:pPr>
    </w:p>
    <w:p w14:paraId="1DD277F3" w14:textId="07581C5B" w:rsidR="00082A60" w:rsidRPr="004F5E08" w:rsidRDefault="00082A60" w:rsidP="008F3D74">
      <w:pPr>
        <w:spacing w:line="240" w:lineRule="auto"/>
        <w:rPr>
          <w:rFonts w:ascii="Century Gothic" w:eastAsiaTheme="minorHAnsi" w:hAnsi="Century Gothic" w:cstheme="minorHAnsi"/>
          <w:sz w:val="22"/>
          <w:szCs w:val="22"/>
          <w:lang w:eastAsia="en-US"/>
        </w:rPr>
      </w:pPr>
      <w:r w:rsidRPr="004F5E08">
        <w:rPr>
          <w:rFonts w:ascii="Century Gothic" w:eastAsiaTheme="minorHAnsi" w:hAnsi="Century Gothic" w:cstheme="minorHAnsi"/>
          <w:sz w:val="22"/>
          <w:szCs w:val="22"/>
          <w:lang w:eastAsia="en-US"/>
        </w:rPr>
        <w:t xml:space="preserve">V nemocnici prebieha takisto praktická výučba Fakulty elektrotechniky a informačných technológií – odbor biomedicínske inžinierstvo </w:t>
      </w:r>
      <w:r w:rsidR="004E231E">
        <w:rPr>
          <w:rFonts w:ascii="Century Gothic" w:eastAsiaTheme="minorHAnsi" w:hAnsi="Century Gothic" w:cstheme="minorHAnsi"/>
          <w:sz w:val="22"/>
          <w:szCs w:val="22"/>
          <w:lang w:eastAsia="en-US"/>
        </w:rPr>
        <w:t>Ž</w:t>
      </w:r>
      <w:r w:rsidR="004F5E08" w:rsidRPr="004F5E08">
        <w:rPr>
          <w:rFonts w:ascii="Century Gothic" w:eastAsiaTheme="minorHAnsi" w:hAnsi="Century Gothic" w:cstheme="minorHAnsi"/>
          <w:sz w:val="22"/>
          <w:szCs w:val="22"/>
          <w:lang w:eastAsia="en-US"/>
        </w:rPr>
        <w:t>ilinskej</w:t>
      </w:r>
      <w:r w:rsidRPr="004F5E08">
        <w:rPr>
          <w:rFonts w:ascii="Century Gothic" w:eastAsiaTheme="minorHAnsi" w:hAnsi="Century Gothic" w:cstheme="minorHAnsi"/>
          <w:sz w:val="22"/>
          <w:szCs w:val="22"/>
          <w:lang w:eastAsia="en-US"/>
        </w:rPr>
        <w:t xml:space="preserve"> </w:t>
      </w:r>
      <w:r w:rsidR="004E231E">
        <w:rPr>
          <w:rFonts w:ascii="Century Gothic" w:eastAsiaTheme="minorHAnsi" w:hAnsi="Century Gothic" w:cstheme="minorHAnsi"/>
          <w:sz w:val="22"/>
          <w:szCs w:val="22"/>
          <w:lang w:eastAsia="en-US"/>
        </w:rPr>
        <w:t>u</w:t>
      </w:r>
      <w:r w:rsidRPr="004F5E08">
        <w:rPr>
          <w:rFonts w:ascii="Century Gothic" w:eastAsiaTheme="minorHAnsi" w:hAnsi="Century Gothic" w:cstheme="minorHAnsi"/>
          <w:sz w:val="22"/>
          <w:szCs w:val="22"/>
          <w:lang w:eastAsia="en-US"/>
        </w:rPr>
        <w:t xml:space="preserve">niverzity v Žiline. Nemalou mierou sa v spolupráci </w:t>
      </w:r>
      <w:r w:rsidR="004E231E">
        <w:rPr>
          <w:rFonts w:ascii="Century Gothic" w:eastAsiaTheme="minorHAnsi" w:hAnsi="Century Gothic" w:cstheme="minorHAnsi"/>
          <w:sz w:val="22"/>
          <w:szCs w:val="22"/>
          <w:lang w:eastAsia="en-US"/>
        </w:rPr>
        <w:t xml:space="preserve">s </w:t>
      </w:r>
      <w:proofErr w:type="spellStart"/>
      <w:r w:rsidR="004E231E">
        <w:rPr>
          <w:rFonts w:ascii="Century Gothic" w:eastAsiaTheme="minorHAnsi" w:hAnsi="Century Gothic" w:cstheme="minorHAnsi"/>
          <w:sz w:val="22"/>
          <w:szCs w:val="22"/>
          <w:lang w:eastAsia="en-US"/>
        </w:rPr>
        <w:t>Jesseniovou</w:t>
      </w:r>
      <w:proofErr w:type="spellEnd"/>
      <w:r w:rsidRPr="004F5E08">
        <w:rPr>
          <w:rFonts w:ascii="Century Gothic" w:eastAsiaTheme="minorHAnsi" w:hAnsi="Century Gothic" w:cstheme="minorHAnsi"/>
          <w:sz w:val="22"/>
          <w:szCs w:val="22"/>
          <w:lang w:eastAsia="en-US"/>
        </w:rPr>
        <w:t xml:space="preserve"> lekárskou fakultou v Martine, Univerzity Komenského v Bratislave podieľa na špecializačnom štúdiou všeobecných lekárov. Bližší prehľad o jednotlivých odboroch v tabuľke.</w:t>
      </w:r>
    </w:p>
    <w:p w14:paraId="1715DA87" w14:textId="7B228E4B" w:rsidR="009907EA" w:rsidRDefault="009907EA" w:rsidP="00082A60">
      <w:pPr>
        <w:rPr>
          <w:rFonts w:ascii="Century Gothic" w:hAnsi="Century Gothic"/>
          <w:bCs/>
          <w:sz w:val="28"/>
          <w:szCs w:val="28"/>
        </w:rPr>
      </w:pPr>
    </w:p>
    <w:p w14:paraId="70E9E753" w14:textId="3134B8C5" w:rsidR="001D07CB" w:rsidRPr="001D07CB" w:rsidRDefault="001D07CB" w:rsidP="001D07CB">
      <w:pPr>
        <w:pStyle w:val="Popis"/>
        <w:spacing w:before="0" w:after="0" w:line="240" w:lineRule="auto"/>
        <w:rPr>
          <w:rFonts w:ascii="Century Gothic" w:hAnsi="Century Gothic" w:cstheme="minorBidi"/>
          <w:b w:val="0"/>
          <w:i/>
        </w:rPr>
      </w:pPr>
      <w:bookmarkStart w:id="122" w:name="_Toc145219932"/>
      <w:r w:rsidRPr="001D07CB">
        <w:rPr>
          <w:rFonts w:ascii="Century Gothic" w:hAnsi="Century Gothic" w:cstheme="minorBidi"/>
          <w:b w:val="0"/>
          <w:i/>
        </w:rPr>
        <w:t xml:space="preserve">Tabuľka </w:t>
      </w:r>
      <w:r w:rsidRPr="001D07CB">
        <w:rPr>
          <w:rFonts w:ascii="Century Gothic" w:hAnsi="Century Gothic" w:cstheme="minorBidi"/>
          <w:b w:val="0"/>
          <w:i/>
        </w:rPr>
        <w:fldChar w:fldCharType="begin"/>
      </w:r>
      <w:r w:rsidRPr="001D07CB">
        <w:rPr>
          <w:rFonts w:ascii="Century Gothic" w:hAnsi="Century Gothic" w:cstheme="minorBidi"/>
          <w:b w:val="0"/>
          <w:i/>
        </w:rPr>
        <w:instrText xml:space="preserve"> SEQ Tabuľka \* ARABIC </w:instrText>
      </w:r>
      <w:r w:rsidRPr="001D07CB">
        <w:rPr>
          <w:rFonts w:ascii="Century Gothic" w:hAnsi="Century Gothic" w:cstheme="minorBidi"/>
          <w:b w:val="0"/>
          <w:i/>
        </w:rPr>
        <w:fldChar w:fldCharType="separate"/>
      </w:r>
      <w:r w:rsidR="007D6A44">
        <w:rPr>
          <w:rFonts w:ascii="Century Gothic" w:hAnsi="Century Gothic" w:cstheme="minorBidi"/>
          <w:b w:val="0"/>
          <w:i/>
          <w:noProof/>
        </w:rPr>
        <w:t>31</w:t>
      </w:r>
      <w:r w:rsidRPr="001D07CB">
        <w:rPr>
          <w:rFonts w:ascii="Century Gothic" w:hAnsi="Century Gothic" w:cstheme="minorBidi"/>
          <w:b w:val="0"/>
          <w:i/>
        </w:rPr>
        <w:fldChar w:fldCharType="end"/>
      </w:r>
      <w:r w:rsidRPr="001D07CB">
        <w:rPr>
          <w:rFonts w:ascii="Century Gothic" w:hAnsi="Century Gothic" w:cstheme="minorBidi"/>
          <w:b w:val="0"/>
          <w:i/>
        </w:rPr>
        <w:t xml:space="preserve"> Tabuľka: Počet študentov podľa odborov</w:t>
      </w:r>
      <w:bookmarkEnd w:id="122"/>
    </w:p>
    <w:tbl>
      <w:tblPr>
        <w:tblW w:w="4679" w:type="dxa"/>
        <w:jc w:val="center"/>
        <w:tblCellMar>
          <w:left w:w="70" w:type="dxa"/>
          <w:right w:w="70" w:type="dxa"/>
        </w:tblCellMar>
        <w:tblLook w:val="04A0" w:firstRow="1" w:lastRow="0" w:firstColumn="1" w:lastColumn="0" w:noHBand="0" w:noVBand="1"/>
      </w:tblPr>
      <w:tblGrid>
        <w:gridCol w:w="3478"/>
        <w:gridCol w:w="1201"/>
      </w:tblGrid>
      <w:tr w:rsidR="009907EA" w:rsidRPr="008F554A" w14:paraId="046E9A45" w14:textId="77777777" w:rsidTr="006C646E">
        <w:trPr>
          <w:trHeight w:val="316"/>
          <w:jc w:val="center"/>
        </w:trPr>
        <w:tc>
          <w:tcPr>
            <w:tcW w:w="3478" w:type="dxa"/>
            <w:shd w:val="clear" w:color="auto" w:fill="auto"/>
            <w:noWrap/>
            <w:vAlign w:val="center"/>
            <w:hideMark/>
          </w:tcPr>
          <w:p w14:paraId="1EC1B7DE"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Všeobecné lekárstvo</w:t>
            </w:r>
          </w:p>
        </w:tc>
        <w:tc>
          <w:tcPr>
            <w:tcW w:w="1201" w:type="dxa"/>
            <w:shd w:val="clear" w:color="auto" w:fill="auto"/>
            <w:noWrap/>
            <w:vAlign w:val="center"/>
            <w:hideMark/>
          </w:tcPr>
          <w:p w14:paraId="08B78B7B"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158</w:t>
            </w:r>
          </w:p>
        </w:tc>
      </w:tr>
      <w:tr w:rsidR="009907EA" w:rsidRPr="008F554A" w14:paraId="6B9C96BE" w14:textId="77777777" w:rsidTr="006C646E">
        <w:trPr>
          <w:trHeight w:val="316"/>
          <w:jc w:val="center"/>
        </w:trPr>
        <w:tc>
          <w:tcPr>
            <w:tcW w:w="3478" w:type="dxa"/>
            <w:shd w:val="clear" w:color="auto" w:fill="auto"/>
            <w:noWrap/>
            <w:vAlign w:val="center"/>
            <w:hideMark/>
          </w:tcPr>
          <w:p w14:paraId="2220FF77"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Ošetrovateľstvo</w:t>
            </w:r>
          </w:p>
        </w:tc>
        <w:tc>
          <w:tcPr>
            <w:tcW w:w="1201" w:type="dxa"/>
            <w:shd w:val="clear" w:color="auto" w:fill="auto"/>
            <w:noWrap/>
            <w:vAlign w:val="center"/>
            <w:hideMark/>
          </w:tcPr>
          <w:p w14:paraId="66F54D1F"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270</w:t>
            </w:r>
          </w:p>
        </w:tc>
      </w:tr>
      <w:tr w:rsidR="009907EA" w:rsidRPr="008F554A" w14:paraId="286CE6FD" w14:textId="77777777" w:rsidTr="006C646E">
        <w:trPr>
          <w:trHeight w:val="316"/>
          <w:jc w:val="center"/>
        </w:trPr>
        <w:tc>
          <w:tcPr>
            <w:tcW w:w="3478" w:type="dxa"/>
            <w:shd w:val="clear" w:color="auto" w:fill="auto"/>
            <w:noWrap/>
            <w:vAlign w:val="center"/>
            <w:hideMark/>
          </w:tcPr>
          <w:p w14:paraId="714FFA38"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Pôrodná asistencia</w:t>
            </w:r>
          </w:p>
        </w:tc>
        <w:tc>
          <w:tcPr>
            <w:tcW w:w="1201" w:type="dxa"/>
            <w:shd w:val="clear" w:color="auto" w:fill="auto"/>
            <w:noWrap/>
            <w:vAlign w:val="center"/>
            <w:hideMark/>
          </w:tcPr>
          <w:p w14:paraId="243F38A5"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12</w:t>
            </w:r>
          </w:p>
        </w:tc>
      </w:tr>
      <w:tr w:rsidR="009907EA" w:rsidRPr="008F554A" w14:paraId="1B46099B" w14:textId="77777777" w:rsidTr="006C646E">
        <w:trPr>
          <w:trHeight w:val="316"/>
          <w:jc w:val="center"/>
        </w:trPr>
        <w:tc>
          <w:tcPr>
            <w:tcW w:w="3478" w:type="dxa"/>
            <w:shd w:val="clear" w:color="auto" w:fill="auto"/>
            <w:noWrap/>
            <w:vAlign w:val="center"/>
            <w:hideMark/>
          </w:tcPr>
          <w:p w14:paraId="74E6319A" w14:textId="77777777" w:rsidR="009907EA" w:rsidRPr="008F554A" w:rsidRDefault="009907EA" w:rsidP="009907EA">
            <w:pPr>
              <w:spacing w:line="240" w:lineRule="auto"/>
              <w:jc w:val="left"/>
              <w:rPr>
                <w:rFonts w:ascii="Arial Narrow" w:hAnsi="Arial Narrow" w:cs="Calibri"/>
                <w:b/>
                <w:color w:val="000000"/>
                <w:sz w:val="20"/>
                <w:szCs w:val="20"/>
              </w:rPr>
            </w:pPr>
            <w:proofErr w:type="spellStart"/>
            <w:r w:rsidRPr="008F554A">
              <w:rPr>
                <w:rFonts w:ascii="Arial Narrow" w:hAnsi="Arial Narrow" w:cs="Calibri"/>
                <w:b/>
                <w:color w:val="000000"/>
                <w:sz w:val="20"/>
                <w:szCs w:val="20"/>
              </w:rPr>
              <w:t>Fyzioterapia</w:t>
            </w:r>
            <w:proofErr w:type="spellEnd"/>
          </w:p>
        </w:tc>
        <w:tc>
          <w:tcPr>
            <w:tcW w:w="1201" w:type="dxa"/>
            <w:shd w:val="clear" w:color="auto" w:fill="auto"/>
            <w:noWrap/>
            <w:vAlign w:val="center"/>
            <w:hideMark/>
          </w:tcPr>
          <w:p w14:paraId="3E09DBE7"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67</w:t>
            </w:r>
          </w:p>
        </w:tc>
      </w:tr>
      <w:tr w:rsidR="009907EA" w:rsidRPr="008F554A" w14:paraId="3B0CD518" w14:textId="77777777" w:rsidTr="006C646E">
        <w:trPr>
          <w:trHeight w:val="316"/>
          <w:jc w:val="center"/>
        </w:trPr>
        <w:tc>
          <w:tcPr>
            <w:tcW w:w="3478" w:type="dxa"/>
            <w:shd w:val="clear" w:color="auto" w:fill="auto"/>
            <w:noWrap/>
            <w:vAlign w:val="center"/>
            <w:hideMark/>
          </w:tcPr>
          <w:p w14:paraId="68EB4D3B"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Rádiologická technika</w:t>
            </w:r>
          </w:p>
        </w:tc>
        <w:tc>
          <w:tcPr>
            <w:tcW w:w="1201" w:type="dxa"/>
            <w:shd w:val="clear" w:color="auto" w:fill="auto"/>
            <w:noWrap/>
            <w:vAlign w:val="center"/>
            <w:hideMark/>
          </w:tcPr>
          <w:p w14:paraId="25FECD0B"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86</w:t>
            </w:r>
          </w:p>
        </w:tc>
      </w:tr>
      <w:tr w:rsidR="009907EA" w:rsidRPr="008F554A" w14:paraId="1B05D710" w14:textId="77777777" w:rsidTr="006C646E">
        <w:trPr>
          <w:trHeight w:val="316"/>
          <w:jc w:val="center"/>
        </w:trPr>
        <w:tc>
          <w:tcPr>
            <w:tcW w:w="3478" w:type="dxa"/>
            <w:shd w:val="clear" w:color="auto" w:fill="auto"/>
            <w:noWrap/>
            <w:vAlign w:val="center"/>
            <w:hideMark/>
          </w:tcPr>
          <w:p w14:paraId="7657D919"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Urgentná zdravotná starostlivosť</w:t>
            </w:r>
          </w:p>
        </w:tc>
        <w:tc>
          <w:tcPr>
            <w:tcW w:w="1201" w:type="dxa"/>
            <w:shd w:val="clear" w:color="auto" w:fill="auto"/>
            <w:noWrap/>
            <w:vAlign w:val="center"/>
            <w:hideMark/>
          </w:tcPr>
          <w:p w14:paraId="23309D0E"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26</w:t>
            </w:r>
          </w:p>
        </w:tc>
      </w:tr>
      <w:tr w:rsidR="009907EA" w:rsidRPr="008F554A" w14:paraId="73C92B77" w14:textId="77777777" w:rsidTr="006C646E">
        <w:trPr>
          <w:trHeight w:val="316"/>
          <w:jc w:val="center"/>
        </w:trPr>
        <w:tc>
          <w:tcPr>
            <w:tcW w:w="3478" w:type="dxa"/>
            <w:shd w:val="clear" w:color="auto" w:fill="auto"/>
            <w:noWrap/>
            <w:vAlign w:val="center"/>
            <w:hideMark/>
          </w:tcPr>
          <w:p w14:paraId="4A184466"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Psychológia</w:t>
            </w:r>
          </w:p>
        </w:tc>
        <w:tc>
          <w:tcPr>
            <w:tcW w:w="1201" w:type="dxa"/>
            <w:shd w:val="clear" w:color="auto" w:fill="auto"/>
            <w:noWrap/>
            <w:vAlign w:val="center"/>
            <w:hideMark/>
          </w:tcPr>
          <w:p w14:paraId="2004D0C0"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2</w:t>
            </w:r>
          </w:p>
        </w:tc>
      </w:tr>
      <w:tr w:rsidR="009907EA" w:rsidRPr="008F554A" w14:paraId="5E5BC644" w14:textId="77777777" w:rsidTr="006C646E">
        <w:trPr>
          <w:trHeight w:val="316"/>
          <w:jc w:val="center"/>
        </w:trPr>
        <w:tc>
          <w:tcPr>
            <w:tcW w:w="3478" w:type="dxa"/>
            <w:shd w:val="clear" w:color="auto" w:fill="auto"/>
            <w:noWrap/>
            <w:vAlign w:val="center"/>
            <w:hideMark/>
          </w:tcPr>
          <w:p w14:paraId="07956CA5"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Biomedicínske inžinierstvo</w:t>
            </w:r>
          </w:p>
        </w:tc>
        <w:tc>
          <w:tcPr>
            <w:tcW w:w="1201" w:type="dxa"/>
            <w:shd w:val="clear" w:color="auto" w:fill="auto"/>
            <w:noWrap/>
            <w:vAlign w:val="center"/>
            <w:hideMark/>
          </w:tcPr>
          <w:p w14:paraId="0A75A586"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19</w:t>
            </w:r>
          </w:p>
        </w:tc>
      </w:tr>
      <w:tr w:rsidR="009907EA" w:rsidRPr="008F554A" w14:paraId="13C1ECDF" w14:textId="77777777" w:rsidTr="006C646E">
        <w:trPr>
          <w:trHeight w:val="316"/>
          <w:jc w:val="center"/>
        </w:trPr>
        <w:tc>
          <w:tcPr>
            <w:tcW w:w="3478" w:type="dxa"/>
            <w:shd w:val="clear" w:color="auto" w:fill="auto"/>
            <w:noWrap/>
            <w:vAlign w:val="center"/>
            <w:hideMark/>
          </w:tcPr>
          <w:p w14:paraId="01D20E93"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Farmaceutický laborant</w:t>
            </w:r>
          </w:p>
        </w:tc>
        <w:tc>
          <w:tcPr>
            <w:tcW w:w="1201" w:type="dxa"/>
            <w:shd w:val="clear" w:color="auto" w:fill="auto"/>
            <w:noWrap/>
            <w:vAlign w:val="center"/>
            <w:hideMark/>
          </w:tcPr>
          <w:p w14:paraId="7285D825"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1</w:t>
            </w:r>
          </w:p>
        </w:tc>
      </w:tr>
      <w:tr w:rsidR="009907EA" w:rsidRPr="008F554A" w14:paraId="5CA0F49D" w14:textId="77777777" w:rsidTr="006C646E">
        <w:trPr>
          <w:trHeight w:val="316"/>
          <w:jc w:val="center"/>
        </w:trPr>
        <w:tc>
          <w:tcPr>
            <w:tcW w:w="3478" w:type="dxa"/>
            <w:shd w:val="clear" w:color="auto" w:fill="auto"/>
            <w:noWrap/>
            <w:vAlign w:val="center"/>
            <w:hideMark/>
          </w:tcPr>
          <w:p w14:paraId="11A8E0EF"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Nutričný terapeut</w:t>
            </w:r>
          </w:p>
        </w:tc>
        <w:tc>
          <w:tcPr>
            <w:tcW w:w="1201" w:type="dxa"/>
            <w:shd w:val="clear" w:color="auto" w:fill="auto"/>
            <w:noWrap/>
            <w:vAlign w:val="center"/>
            <w:hideMark/>
          </w:tcPr>
          <w:p w14:paraId="16C9F3F6"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2</w:t>
            </w:r>
          </w:p>
        </w:tc>
      </w:tr>
      <w:tr w:rsidR="009907EA" w:rsidRPr="008F554A" w14:paraId="477280AE" w14:textId="77777777" w:rsidTr="006C646E">
        <w:trPr>
          <w:trHeight w:val="316"/>
          <w:jc w:val="center"/>
        </w:trPr>
        <w:tc>
          <w:tcPr>
            <w:tcW w:w="3478" w:type="dxa"/>
            <w:shd w:val="clear" w:color="auto" w:fill="auto"/>
            <w:noWrap/>
            <w:vAlign w:val="center"/>
            <w:hideMark/>
          </w:tcPr>
          <w:p w14:paraId="25D5197B"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Farmácia</w:t>
            </w:r>
          </w:p>
        </w:tc>
        <w:tc>
          <w:tcPr>
            <w:tcW w:w="1201" w:type="dxa"/>
            <w:shd w:val="clear" w:color="auto" w:fill="auto"/>
            <w:noWrap/>
            <w:vAlign w:val="center"/>
            <w:hideMark/>
          </w:tcPr>
          <w:p w14:paraId="7B3F537B"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4</w:t>
            </w:r>
          </w:p>
        </w:tc>
      </w:tr>
      <w:tr w:rsidR="009907EA" w:rsidRPr="008F554A" w14:paraId="493FD7A7" w14:textId="77777777" w:rsidTr="006C646E">
        <w:trPr>
          <w:trHeight w:val="316"/>
          <w:jc w:val="center"/>
        </w:trPr>
        <w:tc>
          <w:tcPr>
            <w:tcW w:w="3478" w:type="dxa"/>
            <w:shd w:val="clear" w:color="auto" w:fill="auto"/>
            <w:noWrap/>
            <w:vAlign w:val="center"/>
            <w:hideMark/>
          </w:tcPr>
          <w:p w14:paraId="0EBF7BBD"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Laboratórne a vyšetrovacie metódy</w:t>
            </w:r>
          </w:p>
        </w:tc>
        <w:tc>
          <w:tcPr>
            <w:tcW w:w="1201" w:type="dxa"/>
            <w:shd w:val="clear" w:color="auto" w:fill="auto"/>
            <w:noWrap/>
            <w:vAlign w:val="center"/>
            <w:hideMark/>
          </w:tcPr>
          <w:p w14:paraId="62FAC40B"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1</w:t>
            </w:r>
          </w:p>
        </w:tc>
      </w:tr>
      <w:tr w:rsidR="009907EA" w:rsidRPr="008F554A" w14:paraId="72CAAFB3" w14:textId="77777777" w:rsidTr="006C646E">
        <w:trPr>
          <w:trHeight w:val="316"/>
          <w:jc w:val="center"/>
        </w:trPr>
        <w:tc>
          <w:tcPr>
            <w:tcW w:w="3478" w:type="dxa"/>
            <w:shd w:val="clear" w:color="auto" w:fill="auto"/>
            <w:noWrap/>
            <w:vAlign w:val="center"/>
            <w:hideMark/>
          </w:tcPr>
          <w:p w14:paraId="3140EC99" w14:textId="77777777" w:rsidR="009907EA" w:rsidRPr="008F554A" w:rsidRDefault="009907EA" w:rsidP="009907EA">
            <w:pPr>
              <w:spacing w:line="240" w:lineRule="auto"/>
              <w:jc w:val="left"/>
              <w:rPr>
                <w:rFonts w:ascii="Arial Narrow" w:hAnsi="Arial Narrow" w:cs="Calibri"/>
                <w:b/>
                <w:color w:val="000000"/>
                <w:sz w:val="20"/>
                <w:szCs w:val="20"/>
              </w:rPr>
            </w:pPr>
            <w:r w:rsidRPr="008F554A">
              <w:rPr>
                <w:rFonts w:ascii="Arial Narrow" w:hAnsi="Arial Narrow" w:cs="Calibri"/>
                <w:b/>
                <w:color w:val="000000"/>
                <w:sz w:val="20"/>
                <w:szCs w:val="20"/>
              </w:rPr>
              <w:t>SZŠ Žilina</w:t>
            </w:r>
          </w:p>
        </w:tc>
        <w:tc>
          <w:tcPr>
            <w:tcW w:w="1201" w:type="dxa"/>
            <w:shd w:val="clear" w:color="auto" w:fill="auto"/>
            <w:noWrap/>
            <w:vAlign w:val="center"/>
            <w:hideMark/>
          </w:tcPr>
          <w:p w14:paraId="22C175A3" w14:textId="77777777" w:rsidR="009907EA" w:rsidRPr="008F554A" w:rsidRDefault="009907EA" w:rsidP="008F554A">
            <w:pPr>
              <w:spacing w:line="240" w:lineRule="auto"/>
              <w:jc w:val="center"/>
              <w:rPr>
                <w:rFonts w:ascii="Arial Narrow" w:hAnsi="Arial Narrow" w:cs="Calibri"/>
                <w:color w:val="000000"/>
                <w:sz w:val="20"/>
                <w:szCs w:val="20"/>
              </w:rPr>
            </w:pPr>
            <w:r w:rsidRPr="008F554A">
              <w:rPr>
                <w:rFonts w:ascii="Arial Narrow" w:hAnsi="Arial Narrow" w:cs="Calibri"/>
                <w:color w:val="000000"/>
                <w:sz w:val="20"/>
                <w:szCs w:val="20"/>
              </w:rPr>
              <w:t>342</w:t>
            </w:r>
          </w:p>
        </w:tc>
      </w:tr>
      <w:tr w:rsidR="009907EA" w:rsidRPr="008F554A" w14:paraId="5C1921D8" w14:textId="77777777" w:rsidTr="006C646E">
        <w:trPr>
          <w:trHeight w:val="316"/>
          <w:jc w:val="center"/>
        </w:trPr>
        <w:tc>
          <w:tcPr>
            <w:tcW w:w="3478" w:type="dxa"/>
            <w:shd w:val="clear" w:color="auto" w:fill="auto"/>
            <w:noWrap/>
            <w:vAlign w:val="center"/>
            <w:hideMark/>
          </w:tcPr>
          <w:p w14:paraId="64C35CC9" w14:textId="77777777" w:rsidR="009907EA" w:rsidRPr="008F554A" w:rsidRDefault="009907EA" w:rsidP="009907EA">
            <w:pPr>
              <w:spacing w:line="240" w:lineRule="auto"/>
              <w:jc w:val="left"/>
              <w:rPr>
                <w:rFonts w:ascii="Arial Narrow" w:hAnsi="Arial Narrow" w:cs="Calibri"/>
                <w:b/>
                <w:bCs/>
                <w:color w:val="000000"/>
                <w:sz w:val="20"/>
                <w:szCs w:val="20"/>
              </w:rPr>
            </w:pPr>
            <w:r w:rsidRPr="008F554A">
              <w:rPr>
                <w:rFonts w:ascii="Arial Narrow" w:hAnsi="Arial Narrow" w:cs="Calibri"/>
                <w:b/>
                <w:bCs/>
                <w:color w:val="000000"/>
                <w:sz w:val="20"/>
                <w:szCs w:val="20"/>
              </w:rPr>
              <w:t>SPOLU</w:t>
            </w:r>
          </w:p>
        </w:tc>
        <w:tc>
          <w:tcPr>
            <w:tcW w:w="1201" w:type="dxa"/>
            <w:shd w:val="clear" w:color="auto" w:fill="auto"/>
            <w:noWrap/>
            <w:vAlign w:val="center"/>
            <w:hideMark/>
          </w:tcPr>
          <w:p w14:paraId="35CB877A" w14:textId="77777777" w:rsidR="009907EA" w:rsidRPr="008F554A" w:rsidRDefault="009907EA" w:rsidP="008F554A">
            <w:pPr>
              <w:spacing w:line="240" w:lineRule="auto"/>
              <w:jc w:val="center"/>
              <w:rPr>
                <w:rFonts w:ascii="Arial Narrow" w:hAnsi="Arial Narrow" w:cs="Calibri"/>
                <w:b/>
                <w:bCs/>
                <w:color w:val="000000"/>
                <w:sz w:val="20"/>
                <w:szCs w:val="20"/>
              </w:rPr>
            </w:pPr>
            <w:r w:rsidRPr="008F554A">
              <w:rPr>
                <w:rFonts w:ascii="Arial Narrow" w:hAnsi="Arial Narrow" w:cs="Calibri"/>
                <w:b/>
                <w:bCs/>
                <w:color w:val="000000"/>
                <w:sz w:val="20"/>
                <w:szCs w:val="20"/>
              </w:rPr>
              <w:t>990</w:t>
            </w:r>
          </w:p>
        </w:tc>
      </w:tr>
    </w:tbl>
    <w:p w14:paraId="5249A479" w14:textId="14E92C72" w:rsidR="009907EA" w:rsidRPr="001D07CB" w:rsidRDefault="009907EA" w:rsidP="001D07CB">
      <w:pPr>
        <w:pStyle w:val="Popis"/>
        <w:spacing w:before="0" w:after="0" w:line="240" w:lineRule="auto"/>
        <w:rPr>
          <w:rFonts w:ascii="Century Gothic" w:hAnsi="Century Gothic" w:cstheme="minorHAnsi"/>
          <w:b w:val="0"/>
          <w:i/>
          <w:sz w:val="18"/>
          <w:szCs w:val="18"/>
        </w:rPr>
      </w:pPr>
      <w:r w:rsidRPr="001D07CB">
        <w:rPr>
          <w:rFonts w:ascii="Century Gothic" w:hAnsi="Century Gothic" w:cstheme="minorHAnsi"/>
          <w:b w:val="0"/>
          <w:i/>
          <w:sz w:val="18"/>
          <w:szCs w:val="18"/>
        </w:rPr>
        <w:t xml:space="preserve">Zdroj: </w:t>
      </w:r>
      <w:r w:rsidR="008F554A">
        <w:rPr>
          <w:rFonts w:ascii="Century Gothic" w:hAnsi="Century Gothic" w:cstheme="minorHAnsi"/>
          <w:b w:val="0"/>
          <w:i/>
          <w:sz w:val="18"/>
          <w:szCs w:val="18"/>
        </w:rPr>
        <w:t>Fakultná nemocnica s poliklinikou</w:t>
      </w:r>
      <w:r w:rsidRPr="001D07CB">
        <w:rPr>
          <w:rFonts w:ascii="Century Gothic" w:hAnsi="Century Gothic" w:cstheme="minorHAnsi"/>
          <w:b w:val="0"/>
          <w:i/>
          <w:sz w:val="18"/>
          <w:szCs w:val="18"/>
        </w:rPr>
        <w:t xml:space="preserve"> Žilina</w:t>
      </w:r>
    </w:p>
    <w:p w14:paraId="0FD153A0" w14:textId="77777777" w:rsidR="006C646E" w:rsidRDefault="006C646E" w:rsidP="008F3D74">
      <w:pPr>
        <w:spacing w:line="240" w:lineRule="auto"/>
        <w:rPr>
          <w:rFonts w:ascii="Century Gothic" w:eastAsiaTheme="minorHAnsi" w:hAnsi="Century Gothic" w:cstheme="minorHAnsi"/>
          <w:sz w:val="22"/>
          <w:szCs w:val="22"/>
          <w:lang w:eastAsia="en-US"/>
        </w:rPr>
      </w:pPr>
    </w:p>
    <w:p w14:paraId="2B1AA015" w14:textId="65A6B184" w:rsidR="00082A60" w:rsidRPr="007748A6" w:rsidRDefault="00082A60" w:rsidP="008F3D74">
      <w:pPr>
        <w:spacing w:line="240" w:lineRule="auto"/>
        <w:rPr>
          <w:rFonts w:ascii="Century Gothic" w:eastAsiaTheme="minorHAnsi" w:hAnsi="Century Gothic" w:cstheme="minorHAnsi"/>
          <w:sz w:val="22"/>
          <w:szCs w:val="22"/>
          <w:lang w:eastAsia="en-US"/>
        </w:rPr>
      </w:pPr>
      <w:r w:rsidRPr="007748A6">
        <w:rPr>
          <w:rFonts w:ascii="Century Gothic" w:eastAsiaTheme="minorHAnsi" w:hAnsi="Century Gothic" w:cstheme="minorHAnsi"/>
          <w:sz w:val="22"/>
          <w:szCs w:val="22"/>
          <w:lang w:eastAsia="en-US"/>
        </w:rPr>
        <w:t>Za účelom vzdelávania zdravotníckych aj nezdravotníc</w:t>
      </w:r>
      <w:r w:rsidR="009907EA" w:rsidRPr="007748A6">
        <w:rPr>
          <w:rFonts w:ascii="Century Gothic" w:eastAsiaTheme="minorHAnsi" w:hAnsi="Century Gothic" w:cstheme="minorHAnsi"/>
          <w:sz w:val="22"/>
          <w:szCs w:val="22"/>
          <w:lang w:eastAsia="en-US"/>
        </w:rPr>
        <w:t>kyc</w:t>
      </w:r>
      <w:r w:rsidRPr="007748A6">
        <w:rPr>
          <w:rFonts w:ascii="Century Gothic" w:eastAsiaTheme="minorHAnsi" w:hAnsi="Century Gothic" w:cstheme="minorHAnsi"/>
          <w:sz w:val="22"/>
          <w:szCs w:val="22"/>
          <w:lang w:eastAsia="en-US"/>
        </w:rPr>
        <w:t xml:space="preserve">h pracovníkov má </w:t>
      </w:r>
      <w:proofErr w:type="spellStart"/>
      <w:r w:rsidRPr="007748A6">
        <w:rPr>
          <w:rFonts w:ascii="Century Gothic" w:eastAsiaTheme="minorHAnsi" w:hAnsi="Century Gothic" w:cstheme="minorHAnsi"/>
          <w:sz w:val="22"/>
          <w:szCs w:val="22"/>
          <w:lang w:eastAsia="en-US"/>
        </w:rPr>
        <w:t>FNsP</w:t>
      </w:r>
      <w:proofErr w:type="spellEnd"/>
      <w:r w:rsidRPr="007748A6">
        <w:rPr>
          <w:rFonts w:ascii="Century Gothic" w:eastAsiaTheme="minorHAnsi" w:hAnsi="Century Gothic" w:cstheme="minorHAnsi"/>
          <w:sz w:val="22"/>
          <w:szCs w:val="22"/>
          <w:lang w:eastAsia="en-US"/>
        </w:rPr>
        <w:t xml:space="preserve"> Žilina podpísaných 13 rámcových zmlúv s jednotlivými strednými a vysokými školami a v roku 2022 mala podpísaných 17 individuálnych zm</w:t>
      </w:r>
      <w:r w:rsidR="00FE1699">
        <w:rPr>
          <w:rFonts w:ascii="Century Gothic" w:eastAsiaTheme="minorHAnsi" w:hAnsi="Century Gothic" w:cstheme="minorHAnsi"/>
          <w:sz w:val="22"/>
          <w:szCs w:val="22"/>
          <w:lang w:eastAsia="en-US"/>
        </w:rPr>
        <w:t>lúv pre konkrétnych študentov.</w:t>
      </w:r>
    </w:p>
    <w:p w14:paraId="0FA8174D" w14:textId="2F81E58A" w:rsidR="009907EA" w:rsidRDefault="009907EA" w:rsidP="00082A60">
      <w:pPr>
        <w:rPr>
          <w:rFonts w:ascii="Century Gothic" w:hAnsi="Century Gothic"/>
          <w:bCs/>
          <w:sz w:val="28"/>
          <w:szCs w:val="28"/>
        </w:rPr>
      </w:pPr>
    </w:p>
    <w:p w14:paraId="254F9D1A" w14:textId="77777777" w:rsidR="00377663" w:rsidRDefault="00377663" w:rsidP="00082A60">
      <w:pPr>
        <w:rPr>
          <w:rFonts w:ascii="Century Gothic" w:hAnsi="Century Gothic"/>
          <w:bCs/>
          <w:sz w:val="28"/>
          <w:szCs w:val="28"/>
        </w:rPr>
      </w:pPr>
    </w:p>
    <w:p w14:paraId="5EC8819F" w14:textId="6FE3DC90" w:rsidR="007B7154" w:rsidRPr="00B46658" w:rsidRDefault="007B7154" w:rsidP="00B46658">
      <w:pPr>
        <w:pStyle w:val="Nadpis10"/>
        <w:numPr>
          <w:ilvl w:val="0"/>
          <w:numId w:val="1"/>
        </w:numPr>
        <w:tabs>
          <w:tab w:val="clear" w:pos="567"/>
        </w:tabs>
        <w:spacing w:before="240" w:line="259" w:lineRule="auto"/>
        <w:ind w:left="720" w:hanging="360"/>
        <w:jc w:val="left"/>
        <w:rPr>
          <w:rFonts w:ascii="Century Gothic" w:hAnsi="Century Gothic" w:cs="Calibri Light"/>
          <w:b w:val="0"/>
          <w:bCs w:val="0"/>
          <w:sz w:val="32"/>
          <w:szCs w:val="32"/>
          <w:lang w:eastAsia="en-US"/>
        </w:rPr>
      </w:pPr>
      <w:bookmarkStart w:id="123" w:name="_Toc145219958"/>
      <w:r w:rsidRPr="00B46658">
        <w:rPr>
          <w:rFonts w:ascii="Century Gothic" w:hAnsi="Century Gothic" w:cs="Calibri Light"/>
          <w:b w:val="0"/>
          <w:bCs w:val="0"/>
          <w:sz w:val="32"/>
          <w:szCs w:val="32"/>
          <w:lang w:eastAsia="en-US"/>
        </w:rPr>
        <w:lastRenderedPageBreak/>
        <w:t>Technický stav areálu</w:t>
      </w:r>
      <w:bookmarkEnd w:id="123"/>
    </w:p>
    <w:p w14:paraId="4D21A739" w14:textId="77777777" w:rsidR="007B7154" w:rsidRDefault="007B7154" w:rsidP="007B7154">
      <w:pPr>
        <w:rPr>
          <w:rFonts w:ascii="Century Gothic" w:hAnsi="Century Gothic"/>
          <w:b/>
          <w:sz w:val="28"/>
          <w:szCs w:val="28"/>
        </w:rPr>
      </w:pPr>
    </w:p>
    <w:p w14:paraId="22969670" w14:textId="5AA5A4DC" w:rsidR="00CF5780" w:rsidRDefault="00CF5780" w:rsidP="00CF5780">
      <w:pPr>
        <w:pStyle w:val="Default"/>
        <w:jc w:val="both"/>
        <w:rPr>
          <w:rFonts w:ascii="Century Gothic" w:hAnsi="Century Gothic"/>
          <w:b/>
          <w:sz w:val="28"/>
          <w:szCs w:val="28"/>
        </w:rPr>
      </w:pPr>
      <w:r w:rsidRPr="00CF5780">
        <w:rPr>
          <w:rFonts w:ascii="Century Gothic" w:hAnsi="Century Gothic" w:cstheme="minorHAnsi"/>
          <w:color w:val="auto"/>
          <w:sz w:val="22"/>
          <w:szCs w:val="22"/>
        </w:rPr>
        <w:t xml:space="preserve">Technický stav jednotlivých budov v areáli </w:t>
      </w:r>
      <w:proofErr w:type="spellStart"/>
      <w:r w:rsidRPr="00CF5780">
        <w:rPr>
          <w:rFonts w:ascii="Century Gothic" w:hAnsi="Century Gothic" w:cstheme="minorHAnsi"/>
          <w:color w:val="auto"/>
          <w:sz w:val="22"/>
          <w:szCs w:val="22"/>
        </w:rPr>
        <w:t>FNsP</w:t>
      </w:r>
      <w:proofErr w:type="spellEnd"/>
      <w:r w:rsidRPr="00CF5780">
        <w:rPr>
          <w:rFonts w:ascii="Century Gothic" w:hAnsi="Century Gothic" w:cstheme="minorHAnsi"/>
          <w:color w:val="auto"/>
          <w:sz w:val="22"/>
          <w:szCs w:val="22"/>
        </w:rPr>
        <w:t xml:space="preserve"> Žilina je </w:t>
      </w:r>
      <w:r w:rsidR="00FE1699">
        <w:rPr>
          <w:rFonts w:ascii="Century Gothic" w:hAnsi="Century Gothic" w:cstheme="minorHAnsi"/>
          <w:color w:val="auto"/>
          <w:sz w:val="22"/>
          <w:szCs w:val="22"/>
        </w:rPr>
        <w:t xml:space="preserve">popísaný v nasledujúcej tabuľke, pričom červeným zvýraznené sú pavilóny, ktoré sa presúvajú do nového Pavilónu </w:t>
      </w:r>
      <w:r w:rsidR="00D43498">
        <w:rPr>
          <w:rFonts w:ascii="Century Gothic" w:hAnsi="Century Gothic" w:cstheme="minorHAnsi"/>
          <w:color w:val="auto"/>
          <w:sz w:val="22"/>
          <w:szCs w:val="22"/>
        </w:rPr>
        <w:t>u</w:t>
      </w:r>
      <w:r w:rsidR="00FE1699">
        <w:rPr>
          <w:rFonts w:ascii="Century Gothic" w:hAnsi="Century Gothic" w:cstheme="minorHAnsi"/>
          <w:color w:val="auto"/>
          <w:sz w:val="22"/>
          <w:szCs w:val="22"/>
        </w:rPr>
        <w:t xml:space="preserve">rgentnej medicíny. </w:t>
      </w:r>
    </w:p>
    <w:p w14:paraId="36EEAF71" w14:textId="77777777" w:rsidR="008252F1" w:rsidRDefault="008252F1" w:rsidP="00CF5780">
      <w:pPr>
        <w:pStyle w:val="Default"/>
        <w:jc w:val="both"/>
        <w:rPr>
          <w:rFonts w:ascii="Century Gothic" w:hAnsi="Century Gothic"/>
          <w:b/>
          <w:sz w:val="28"/>
          <w:szCs w:val="28"/>
        </w:rPr>
      </w:pPr>
    </w:p>
    <w:p w14:paraId="2D7A59CA" w14:textId="5B3CFA40" w:rsidR="00CF5780" w:rsidRPr="008252F1" w:rsidRDefault="008252F1" w:rsidP="008252F1">
      <w:pPr>
        <w:pStyle w:val="Popis"/>
        <w:spacing w:before="0" w:after="0" w:line="240" w:lineRule="auto"/>
        <w:rPr>
          <w:rFonts w:ascii="Century Gothic" w:hAnsi="Century Gothic" w:cstheme="minorBidi"/>
          <w:b w:val="0"/>
        </w:rPr>
      </w:pPr>
      <w:bookmarkStart w:id="124" w:name="_Toc145219933"/>
      <w:r w:rsidRPr="008252F1">
        <w:rPr>
          <w:rFonts w:ascii="Century Gothic" w:hAnsi="Century Gothic" w:cstheme="minorBidi"/>
          <w:b w:val="0"/>
        </w:rPr>
        <w:t xml:space="preserve">Tabuľka </w:t>
      </w:r>
      <w:r w:rsidRPr="008252F1">
        <w:rPr>
          <w:rFonts w:ascii="Century Gothic" w:hAnsi="Century Gothic" w:cstheme="minorBidi"/>
          <w:b w:val="0"/>
        </w:rPr>
        <w:fldChar w:fldCharType="begin"/>
      </w:r>
      <w:r w:rsidRPr="008252F1">
        <w:rPr>
          <w:rFonts w:ascii="Century Gothic" w:hAnsi="Century Gothic" w:cstheme="minorBidi"/>
          <w:b w:val="0"/>
        </w:rPr>
        <w:instrText xml:space="preserve"> SEQ Tabuľka \* ARABIC </w:instrText>
      </w:r>
      <w:r w:rsidRPr="008252F1">
        <w:rPr>
          <w:rFonts w:ascii="Century Gothic" w:hAnsi="Century Gothic" w:cstheme="minorBidi"/>
          <w:b w:val="0"/>
        </w:rPr>
        <w:fldChar w:fldCharType="separate"/>
      </w:r>
      <w:r w:rsidR="007D6A44">
        <w:rPr>
          <w:rFonts w:ascii="Century Gothic" w:hAnsi="Century Gothic" w:cstheme="minorBidi"/>
          <w:b w:val="0"/>
          <w:noProof/>
        </w:rPr>
        <w:t>32</w:t>
      </w:r>
      <w:r w:rsidRPr="008252F1">
        <w:rPr>
          <w:rFonts w:ascii="Century Gothic" w:hAnsi="Century Gothic" w:cstheme="minorBidi"/>
          <w:b w:val="0"/>
        </w:rPr>
        <w:fldChar w:fldCharType="end"/>
      </w:r>
      <w:r w:rsidRPr="008252F1">
        <w:rPr>
          <w:rFonts w:ascii="Century Gothic" w:hAnsi="Century Gothic" w:cstheme="minorBidi"/>
          <w:b w:val="0"/>
        </w:rPr>
        <w:t xml:space="preserve"> Technický stav budov </w:t>
      </w:r>
      <w:proofErr w:type="spellStart"/>
      <w:r w:rsidRPr="008252F1">
        <w:rPr>
          <w:rFonts w:ascii="Century Gothic" w:hAnsi="Century Gothic" w:cstheme="minorBidi"/>
          <w:b w:val="0"/>
        </w:rPr>
        <w:t>FNsP</w:t>
      </w:r>
      <w:proofErr w:type="spellEnd"/>
      <w:r w:rsidRPr="008252F1">
        <w:rPr>
          <w:rFonts w:ascii="Century Gothic" w:hAnsi="Century Gothic" w:cstheme="minorBidi"/>
          <w:b w:val="0"/>
        </w:rPr>
        <w:t xml:space="preserve"> Žilina</w:t>
      </w:r>
      <w:bookmarkEnd w:id="124"/>
    </w:p>
    <w:tbl>
      <w:tblPr>
        <w:tblW w:w="9922" w:type="dxa"/>
        <w:tblInd w:w="-43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shd w:val="clear" w:color="auto" w:fill="BFBFBF" w:themeFill="background1" w:themeFillShade="BF"/>
        <w:tblLayout w:type="fixed"/>
        <w:tblCellMar>
          <w:left w:w="70" w:type="dxa"/>
          <w:right w:w="70" w:type="dxa"/>
        </w:tblCellMar>
        <w:tblLook w:val="04A0" w:firstRow="1" w:lastRow="0" w:firstColumn="1" w:lastColumn="0" w:noHBand="0" w:noVBand="1"/>
      </w:tblPr>
      <w:tblGrid>
        <w:gridCol w:w="1771"/>
        <w:gridCol w:w="567"/>
        <w:gridCol w:w="567"/>
        <w:gridCol w:w="2908"/>
        <w:gridCol w:w="4109"/>
      </w:tblGrid>
      <w:tr w:rsidR="00CF5780" w:rsidRPr="00173E33" w14:paraId="5EC5F9FB" w14:textId="77777777" w:rsidTr="00CF5780">
        <w:trPr>
          <w:trHeight w:val="1417"/>
        </w:trPr>
        <w:tc>
          <w:tcPr>
            <w:tcW w:w="1771" w:type="dxa"/>
            <w:shd w:val="clear" w:color="auto" w:fill="BFBFBF" w:themeFill="background1" w:themeFillShade="BF"/>
            <w:hideMark/>
          </w:tcPr>
          <w:p w14:paraId="3EF3A0C1" w14:textId="77777777" w:rsidR="00CF5780" w:rsidRPr="00173E33" w:rsidRDefault="00CF5780" w:rsidP="00A62CD9">
            <w:pPr>
              <w:spacing w:line="240" w:lineRule="auto"/>
              <w:rPr>
                <w:rFonts w:ascii="Century Gothic" w:hAnsi="Century Gothic" w:cs="Arial"/>
                <w:b/>
                <w:sz w:val="18"/>
                <w:szCs w:val="18"/>
              </w:rPr>
            </w:pPr>
            <w:r w:rsidRPr="00173E33">
              <w:rPr>
                <w:rFonts w:ascii="Century Gothic" w:hAnsi="Century Gothic" w:cs="Arial"/>
                <w:b/>
                <w:sz w:val="18"/>
                <w:szCs w:val="18"/>
              </w:rPr>
              <w:t>Názov</w:t>
            </w:r>
          </w:p>
        </w:tc>
        <w:tc>
          <w:tcPr>
            <w:tcW w:w="567" w:type="dxa"/>
            <w:shd w:val="clear" w:color="auto" w:fill="BFBFBF" w:themeFill="background1" w:themeFillShade="BF"/>
            <w:textDirection w:val="btLr"/>
            <w:hideMark/>
          </w:tcPr>
          <w:p w14:paraId="236AE3B5" w14:textId="77777777" w:rsidR="00CF5780" w:rsidRPr="00173E33" w:rsidRDefault="00CF5780" w:rsidP="00A62CD9">
            <w:pPr>
              <w:spacing w:line="240" w:lineRule="auto"/>
              <w:jc w:val="center"/>
              <w:rPr>
                <w:rFonts w:ascii="Century Gothic" w:hAnsi="Century Gothic" w:cs="Arial"/>
                <w:b/>
                <w:sz w:val="18"/>
                <w:szCs w:val="18"/>
              </w:rPr>
            </w:pPr>
            <w:r w:rsidRPr="00173E33">
              <w:rPr>
                <w:rFonts w:ascii="Century Gothic" w:hAnsi="Century Gothic" w:cs="Arial"/>
                <w:b/>
                <w:sz w:val="18"/>
                <w:szCs w:val="18"/>
              </w:rPr>
              <w:t>Rok výstavby</w:t>
            </w:r>
          </w:p>
        </w:tc>
        <w:tc>
          <w:tcPr>
            <w:tcW w:w="567" w:type="dxa"/>
            <w:shd w:val="clear" w:color="auto" w:fill="BFBFBF" w:themeFill="background1" w:themeFillShade="BF"/>
            <w:textDirection w:val="btLr"/>
            <w:vAlign w:val="center"/>
            <w:hideMark/>
          </w:tcPr>
          <w:p w14:paraId="56AE5731" w14:textId="77777777" w:rsidR="00CF5780" w:rsidRPr="00173E33" w:rsidRDefault="00CF5780" w:rsidP="00A62CD9">
            <w:pPr>
              <w:spacing w:line="240" w:lineRule="auto"/>
              <w:jc w:val="center"/>
              <w:rPr>
                <w:rFonts w:ascii="Century Gothic" w:hAnsi="Century Gothic" w:cs="Arial"/>
                <w:b/>
                <w:sz w:val="18"/>
                <w:szCs w:val="18"/>
              </w:rPr>
            </w:pPr>
            <w:r w:rsidRPr="00173E33">
              <w:rPr>
                <w:rFonts w:ascii="Century Gothic" w:hAnsi="Century Gothic" w:cs="Arial"/>
                <w:b/>
                <w:sz w:val="18"/>
                <w:szCs w:val="18"/>
              </w:rPr>
              <w:t>Rok nadobudnutia</w:t>
            </w:r>
          </w:p>
        </w:tc>
        <w:tc>
          <w:tcPr>
            <w:tcW w:w="2908" w:type="dxa"/>
            <w:shd w:val="clear" w:color="auto" w:fill="BFBFBF" w:themeFill="background1" w:themeFillShade="BF"/>
            <w:hideMark/>
          </w:tcPr>
          <w:p w14:paraId="7953D4BB" w14:textId="77777777" w:rsidR="00CF5780" w:rsidRPr="00173E33" w:rsidRDefault="00CF5780" w:rsidP="00A62CD9">
            <w:pPr>
              <w:spacing w:line="240" w:lineRule="auto"/>
              <w:rPr>
                <w:rFonts w:ascii="Century Gothic" w:hAnsi="Century Gothic" w:cs="Arial"/>
                <w:b/>
                <w:sz w:val="18"/>
                <w:szCs w:val="18"/>
              </w:rPr>
            </w:pPr>
            <w:r w:rsidRPr="00173E33">
              <w:rPr>
                <w:rFonts w:ascii="Century Gothic" w:hAnsi="Century Gothic" w:cs="Arial"/>
                <w:b/>
                <w:sz w:val="18"/>
                <w:szCs w:val="18"/>
              </w:rPr>
              <w:t>Popis</w:t>
            </w:r>
          </w:p>
        </w:tc>
        <w:tc>
          <w:tcPr>
            <w:tcW w:w="4109" w:type="dxa"/>
            <w:shd w:val="clear" w:color="auto" w:fill="BFBFBF" w:themeFill="background1" w:themeFillShade="BF"/>
            <w:hideMark/>
          </w:tcPr>
          <w:p w14:paraId="2014F349" w14:textId="77777777" w:rsidR="00CF5780" w:rsidRPr="00173E33" w:rsidRDefault="00CF5780" w:rsidP="00A62CD9">
            <w:pPr>
              <w:spacing w:line="240" w:lineRule="auto"/>
              <w:rPr>
                <w:rFonts w:ascii="Century Gothic" w:hAnsi="Century Gothic" w:cs="Arial"/>
                <w:b/>
                <w:sz w:val="18"/>
                <w:szCs w:val="18"/>
              </w:rPr>
            </w:pPr>
            <w:r w:rsidRPr="00173E33">
              <w:rPr>
                <w:rFonts w:ascii="Century Gothic" w:hAnsi="Century Gothic" w:cs="Arial"/>
                <w:b/>
                <w:sz w:val="18"/>
                <w:szCs w:val="18"/>
              </w:rPr>
              <w:t>Technický stav</w:t>
            </w:r>
          </w:p>
        </w:tc>
      </w:tr>
      <w:tr w:rsidR="00CF5780" w:rsidRPr="00173E33" w14:paraId="32139A3E" w14:textId="77777777" w:rsidTr="00CF5780">
        <w:trPr>
          <w:trHeight w:val="204"/>
        </w:trPr>
        <w:tc>
          <w:tcPr>
            <w:tcW w:w="1771" w:type="dxa"/>
            <w:shd w:val="clear" w:color="auto" w:fill="BFBFBF" w:themeFill="background1" w:themeFillShade="BF"/>
            <w:noWrap/>
            <w:hideMark/>
          </w:tcPr>
          <w:p w14:paraId="6C13F071"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PAVILÓN PĽÚCNY</w:t>
            </w:r>
          </w:p>
        </w:tc>
        <w:tc>
          <w:tcPr>
            <w:tcW w:w="567" w:type="dxa"/>
            <w:shd w:val="clear" w:color="auto" w:fill="BFBFBF" w:themeFill="background1" w:themeFillShade="BF"/>
            <w:noWrap/>
            <w:hideMark/>
          </w:tcPr>
          <w:p w14:paraId="53FC0C3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1948</w:t>
            </w:r>
          </w:p>
        </w:tc>
        <w:tc>
          <w:tcPr>
            <w:tcW w:w="567" w:type="dxa"/>
            <w:shd w:val="clear" w:color="auto" w:fill="BFBFBF" w:themeFill="background1" w:themeFillShade="BF"/>
            <w:noWrap/>
            <w:hideMark/>
          </w:tcPr>
          <w:p w14:paraId="076DB336"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1948</w:t>
            </w:r>
          </w:p>
        </w:tc>
        <w:tc>
          <w:tcPr>
            <w:tcW w:w="2908" w:type="dxa"/>
            <w:shd w:val="clear" w:color="auto" w:fill="BFBFBF" w:themeFill="background1" w:themeFillShade="BF"/>
            <w:noWrap/>
            <w:hideMark/>
          </w:tcPr>
          <w:p w14:paraId="1680E38E"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69A67641"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pľúcneho pavilónu je v havarijnom stave. V súčasnej dobe uzavretý. Technický stav nie je vhodný na rekonštrukciu. Do objektu zateká. Objekt vykazuje viaceré statické poškodenia. </w:t>
            </w:r>
          </w:p>
        </w:tc>
      </w:tr>
      <w:tr w:rsidR="00CF5780" w:rsidRPr="00173E33" w14:paraId="537EB64D" w14:textId="77777777" w:rsidTr="00CF5780">
        <w:trPr>
          <w:trHeight w:val="1428"/>
        </w:trPr>
        <w:tc>
          <w:tcPr>
            <w:tcW w:w="1771" w:type="dxa"/>
            <w:shd w:val="clear" w:color="auto" w:fill="BFBFBF" w:themeFill="background1" w:themeFillShade="BF"/>
            <w:noWrap/>
            <w:hideMark/>
          </w:tcPr>
          <w:p w14:paraId="35111551" w14:textId="77777777" w:rsidR="00CF5780" w:rsidRPr="002679C1" w:rsidRDefault="00CF5780" w:rsidP="00CF5780">
            <w:pPr>
              <w:spacing w:line="240" w:lineRule="auto"/>
              <w:jc w:val="left"/>
              <w:rPr>
                <w:rFonts w:ascii="Century Gothic" w:hAnsi="Century Gothic" w:cs="Arial"/>
                <w:b/>
                <w:sz w:val="18"/>
                <w:szCs w:val="18"/>
              </w:rPr>
            </w:pPr>
            <w:r w:rsidRPr="002679C1">
              <w:rPr>
                <w:rFonts w:ascii="Century Gothic" w:hAnsi="Century Gothic" w:cs="Arial"/>
                <w:b/>
                <w:color w:val="FF0000"/>
                <w:sz w:val="18"/>
                <w:szCs w:val="18"/>
              </w:rPr>
              <w:t>PAVILON S ODD.CHIR.UR.</w:t>
            </w:r>
          </w:p>
        </w:tc>
        <w:tc>
          <w:tcPr>
            <w:tcW w:w="567" w:type="dxa"/>
            <w:shd w:val="clear" w:color="auto" w:fill="BFBFBF" w:themeFill="background1" w:themeFillShade="BF"/>
            <w:noWrap/>
            <w:hideMark/>
          </w:tcPr>
          <w:p w14:paraId="6B6B8144"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1931</w:t>
            </w:r>
          </w:p>
        </w:tc>
        <w:tc>
          <w:tcPr>
            <w:tcW w:w="567" w:type="dxa"/>
            <w:shd w:val="clear" w:color="auto" w:fill="BFBFBF" w:themeFill="background1" w:themeFillShade="BF"/>
            <w:noWrap/>
            <w:hideMark/>
          </w:tcPr>
          <w:p w14:paraId="164AFA6D"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1931</w:t>
            </w:r>
          </w:p>
        </w:tc>
        <w:tc>
          <w:tcPr>
            <w:tcW w:w="2908" w:type="dxa"/>
            <w:shd w:val="clear" w:color="auto" w:fill="BFBFBF" w:themeFill="background1" w:themeFillShade="BF"/>
            <w:hideMark/>
          </w:tcPr>
          <w:p w14:paraId="5575F0A7" w14:textId="2577609B"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Zrekonštruovaný objekt s jedným podzemným podlažím a 3-4 NP, celková podlahová plocha cca 4300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s konštrukčnou výškou cca 3,8 m je samostatný tradičný murovaný </w:t>
            </w:r>
            <w:proofErr w:type="spellStart"/>
            <w:r w:rsidRPr="00173E33">
              <w:rPr>
                <w:rFonts w:ascii="Century Gothic" w:hAnsi="Century Gothic" w:cs="Arial"/>
                <w:sz w:val="18"/>
                <w:szCs w:val="18"/>
              </w:rPr>
              <w:t>trojtrakt</w:t>
            </w:r>
            <w:proofErr w:type="spellEnd"/>
            <w:r w:rsidRPr="00173E33">
              <w:rPr>
                <w:rFonts w:ascii="Century Gothic" w:hAnsi="Century Gothic" w:cs="Arial"/>
                <w:sz w:val="18"/>
                <w:szCs w:val="18"/>
              </w:rPr>
              <w:t xml:space="preserve">, budova postavená z tehlového muriva cca 45 cm s novým zateplením cca 8 cm. Strecha šikmá, strop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a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bez zateplenia. Podlaha pôvodná cca</w:t>
            </w:r>
            <w:r>
              <w:rPr>
                <w:rFonts w:ascii="Century Gothic" w:hAnsi="Century Gothic" w:cs="Arial"/>
                <w:sz w:val="18"/>
                <w:szCs w:val="18"/>
              </w:rPr>
              <w:t>.</w:t>
            </w:r>
            <w:r w:rsidRPr="00173E33">
              <w:rPr>
                <w:rFonts w:ascii="Century Gothic" w:hAnsi="Century Gothic" w:cs="Arial"/>
                <w:sz w:val="18"/>
                <w:szCs w:val="18"/>
              </w:rPr>
              <w:t xml:space="preserve"> 40 cm betón s dlažbou. Okná/dvere nové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hideMark/>
          </w:tcPr>
          <w:p w14:paraId="289E1455"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postavený v roku 1933 prešiel v rokoch 2006 až 2009 rozsiahlymi rekonštrukciami a udržiavacími prácami. Technický stav je dobrý. Budova je zateplená s vymenenými výplňami otvorov. V objekte sa nachádzajú operačné sály, ktoré však nespĺňajú súčasnú legislatívu dotýkajúcu sa minimálnych požiadaviek na zdravotnícke zariadenia</w:t>
            </w:r>
          </w:p>
        </w:tc>
      </w:tr>
      <w:tr w:rsidR="00CF5780" w:rsidRPr="00173E33" w14:paraId="59ABECEE" w14:textId="77777777" w:rsidTr="00CF5780">
        <w:trPr>
          <w:trHeight w:val="2652"/>
        </w:trPr>
        <w:tc>
          <w:tcPr>
            <w:tcW w:w="1771" w:type="dxa"/>
            <w:shd w:val="clear" w:color="auto" w:fill="BFBFBF" w:themeFill="background1" w:themeFillShade="BF"/>
            <w:noWrap/>
            <w:hideMark/>
          </w:tcPr>
          <w:p w14:paraId="3F24955E"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DETSKO-KOJEN.PAVILÓN</w:t>
            </w:r>
          </w:p>
        </w:tc>
        <w:tc>
          <w:tcPr>
            <w:tcW w:w="567" w:type="dxa"/>
            <w:shd w:val="clear" w:color="auto" w:fill="BFBFBF" w:themeFill="background1" w:themeFillShade="BF"/>
            <w:noWrap/>
            <w:hideMark/>
          </w:tcPr>
          <w:p w14:paraId="7983187A"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1965</w:t>
            </w:r>
          </w:p>
        </w:tc>
        <w:tc>
          <w:tcPr>
            <w:tcW w:w="567" w:type="dxa"/>
            <w:shd w:val="clear" w:color="auto" w:fill="BFBFBF" w:themeFill="background1" w:themeFillShade="BF"/>
            <w:noWrap/>
            <w:hideMark/>
          </w:tcPr>
          <w:p w14:paraId="354EFEA7"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1965</w:t>
            </w:r>
          </w:p>
        </w:tc>
        <w:tc>
          <w:tcPr>
            <w:tcW w:w="2908" w:type="dxa"/>
            <w:shd w:val="clear" w:color="auto" w:fill="BFBFBF" w:themeFill="background1" w:themeFillShade="BF"/>
            <w:hideMark/>
          </w:tcPr>
          <w:p w14:paraId="328C09BC" w14:textId="67F4C645"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je železobetónovej konštrukcie s tehlovou výmurovkou, zateplený. Stropy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monolitické so sálavým vykurovaním </w:t>
            </w:r>
            <w:proofErr w:type="spellStart"/>
            <w:r w:rsidRPr="00173E33">
              <w:rPr>
                <w:rFonts w:ascii="Century Gothic" w:hAnsi="Century Gothic" w:cs="Arial"/>
                <w:sz w:val="18"/>
                <w:szCs w:val="18"/>
              </w:rPr>
              <w:t>Crital</w:t>
            </w:r>
            <w:proofErr w:type="spellEnd"/>
            <w:r w:rsidRPr="00173E33">
              <w:rPr>
                <w:rFonts w:ascii="Century Gothic" w:hAnsi="Century Gothic" w:cs="Arial"/>
                <w:sz w:val="18"/>
                <w:szCs w:val="18"/>
              </w:rPr>
              <w:t xml:space="preserve"> a závesnou </w:t>
            </w:r>
            <w:proofErr w:type="spellStart"/>
            <w:r w:rsidRPr="00173E33">
              <w:rPr>
                <w:rFonts w:ascii="Century Gothic" w:hAnsi="Century Gothic" w:cs="Arial"/>
                <w:sz w:val="18"/>
                <w:szCs w:val="18"/>
              </w:rPr>
              <w:t>critalovou</w:t>
            </w:r>
            <w:proofErr w:type="spellEnd"/>
            <w:r w:rsidRPr="00173E33">
              <w:rPr>
                <w:rFonts w:ascii="Century Gothic" w:hAnsi="Century Gothic" w:cs="Arial"/>
                <w:sz w:val="18"/>
                <w:szCs w:val="18"/>
              </w:rPr>
              <w:t xml:space="preserve"> doskou, plochá strecha železobetónová, škvarový násyp a krytina. Celková podlahová plocha cca 4000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s konštrukčnou výškou cca 3,4</w:t>
            </w:r>
            <w:r w:rsidR="00A9020B">
              <w:rPr>
                <w:rFonts w:ascii="Century Gothic" w:hAnsi="Century Gothic" w:cs="Arial"/>
                <w:sz w:val="18"/>
                <w:szCs w:val="18"/>
              </w:rPr>
              <w:t xml:space="preserve"> m.</w:t>
            </w:r>
            <w:r w:rsidRPr="00173E33">
              <w:rPr>
                <w:rFonts w:ascii="Century Gothic" w:hAnsi="Century Gothic" w:cs="Arial"/>
                <w:sz w:val="18"/>
                <w:szCs w:val="18"/>
              </w:rPr>
              <w:t xml:space="preserve"> Podlaha pôvodná cca</w:t>
            </w:r>
            <w:r w:rsidR="00A9020B">
              <w:rPr>
                <w:rFonts w:ascii="Century Gothic" w:hAnsi="Century Gothic" w:cs="Arial"/>
                <w:sz w:val="18"/>
                <w:szCs w:val="18"/>
              </w:rPr>
              <w:t>.</w:t>
            </w:r>
            <w:r w:rsidRPr="00173E33">
              <w:rPr>
                <w:rFonts w:ascii="Century Gothic" w:hAnsi="Century Gothic" w:cs="Arial"/>
                <w:sz w:val="18"/>
                <w:szCs w:val="18"/>
              </w:rPr>
              <w:t xml:space="preserve"> 40 cm betón. Okná/dvere plast.</w:t>
            </w:r>
          </w:p>
        </w:tc>
        <w:tc>
          <w:tcPr>
            <w:tcW w:w="4109" w:type="dxa"/>
            <w:shd w:val="clear" w:color="auto" w:fill="BFBFBF" w:themeFill="background1" w:themeFillShade="BF"/>
            <w:hideMark/>
          </w:tcPr>
          <w:p w14:paraId="415E4C8F"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Detsko-</w:t>
            </w:r>
            <w:proofErr w:type="spellStart"/>
            <w:r w:rsidRPr="00173E33">
              <w:rPr>
                <w:rFonts w:ascii="Century Gothic" w:hAnsi="Century Gothic" w:cs="Arial"/>
                <w:sz w:val="18"/>
                <w:szCs w:val="18"/>
              </w:rPr>
              <w:t>kojenecký</w:t>
            </w:r>
            <w:proofErr w:type="spellEnd"/>
            <w:r w:rsidRPr="00173E33">
              <w:rPr>
                <w:rFonts w:ascii="Century Gothic" w:hAnsi="Century Gothic" w:cs="Arial"/>
                <w:sz w:val="18"/>
                <w:szCs w:val="18"/>
              </w:rPr>
              <w:t xml:space="preserve"> pavilón postavený v roku 1965 prešiel v ostatnej dekáde obnovou obvodového plášťa a čiastočne aj interiéru. Dispozične riešený podľa štandardov obdobia výstavby. Budova je po statickej stránke bezpečná. Nepozorujeme žiadne deformity na nosných prvkoch. Vnútorné zariadenie objektu je rovnako obnovené. Odhliadnuc od vykonaných rekonštrukčných a obnovovacích prác je nevyhnutná rekonštrukcia vnútorných inštalácií a rozvodov elektroinštalácie, rozvodov vody a kanalizácie a nutná výmena spôsobu vykurovania. Je použité sálavé vykurovanie so zabetónovanými vykurovacími </w:t>
            </w:r>
            <w:r w:rsidRPr="00173E33">
              <w:rPr>
                <w:rFonts w:ascii="Century Gothic" w:hAnsi="Century Gothic" w:cs="Arial"/>
                <w:sz w:val="18"/>
                <w:szCs w:val="18"/>
              </w:rPr>
              <w:br/>
              <w:t>potrubiami "</w:t>
            </w:r>
            <w:proofErr w:type="spellStart"/>
            <w:r w:rsidRPr="00173E33">
              <w:rPr>
                <w:rFonts w:ascii="Century Gothic" w:hAnsi="Century Gothic" w:cs="Arial"/>
                <w:sz w:val="18"/>
                <w:szCs w:val="18"/>
              </w:rPr>
              <w:t>Crital</w:t>
            </w:r>
            <w:proofErr w:type="spellEnd"/>
            <w:r w:rsidRPr="00173E33">
              <w:rPr>
                <w:rFonts w:ascii="Century Gothic" w:hAnsi="Century Gothic" w:cs="Arial"/>
                <w:sz w:val="18"/>
                <w:szCs w:val="18"/>
              </w:rPr>
              <w:t xml:space="preserve">" v strope jednotlivých podlaží, ktoré vykazuje defekty, nie je možné ho opravovať po sekciách a je nutná jeho výmena za radiátorový vykurovací systém. </w:t>
            </w:r>
          </w:p>
        </w:tc>
      </w:tr>
      <w:tr w:rsidR="00CF5780" w:rsidRPr="00173E33" w14:paraId="0E85F9D2" w14:textId="77777777" w:rsidTr="00CF5780">
        <w:trPr>
          <w:trHeight w:val="1632"/>
        </w:trPr>
        <w:tc>
          <w:tcPr>
            <w:tcW w:w="1771" w:type="dxa"/>
            <w:shd w:val="clear" w:color="auto" w:fill="BFBFBF" w:themeFill="background1" w:themeFillShade="BF"/>
            <w:noWrap/>
            <w:hideMark/>
          </w:tcPr>
          <w:p w14:paraId="33AD3E47"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PAV.S ODD.OČNÝM, čiastočne, ORL</w:t>
            </w:r>
          </w:p>
        </w:tc>
        <w:tc>
          <w:tcPr>
            <w:tcW w:w="567" w:type="dxa"/>
            <w:shd w:val="clear" w:color="auto" w:fill="BFBFBF" w:themeFill="background1" w:themeFillShade="BF"/>
            <w:noWrap/>
            <w:hideMark/>
          </w:tcPr>
          <w:p w14:paraId="183AFF24"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1914</w:t>
            </w:r>
          </w:p>
        </w:tc>
        <w:tc>
          <w:tcPr>
            <w:tcW w:w="567" w:type="dxa"/>
            <w:shd w:val="clear" w:color="auto" w:fill="BFBFBF" w:themeFill="background1" w:themeFillShade="BF"/>
            <w:noWrap/>
            <w:hideMark/>
          </w:tcPr>
          <w:p w14:paraId="2A5AB749"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1914</w:t>
            </w:r>
          </w:p>
        </w:tc>
        <w:tc>
          <w:tcPr>
            <w:tcW w:w="2908" w:type="dxa"/>
            <w:shd w:val="clear" w:color="auto" w:fill="BFBFBF" w:themeFill="background1" w:themeFillShade="BF"/>
            <w:hideMark/>
          </w:tcPr>
          <w:p w14:paraId="75362FA0" w14:textId="343A8BA1"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Trojpodlažný členitý objekt, obvodové murivo z tehál cca</w:t>
            </w:r>
            <w:r w:rsidR="00A9020B">
              <w:rPr>
                <w:rFonts w:ascii="Century Gothic" w:hAnsi="Century Gothic" w:cs="Arial"/>
                <w:sz w:val="18"/>
                <w:szCs w:val="18"/>
              </w:rPr>
              <w:t>.</w:t>
            </w:r>
            <w:r w:rsidRPr="00173E33">
              <w:rPr>
                <w:rFonts w:ascii="Century Gothic" w:hAnsi="Century Gothic" w:cs="Arial"/>
                <w:sz w:val="18"/>
                <w:szCs w:val="18"/>
              </w:rPr>
              <w:t xml:space="preserve"> 45</w:t>
            </w:r>
            <w:r w:rsidR="00A9020B">
              <w:rPr>
                <w:rFonts w:ascii="Century Gothic" w:hAnsi="Century Gothic" w:cs="Arial"/>
                <w:sz w:val="18"/>
                <w:szCs w:val="18"/>
              </w:rPr>
              <w:t xml:space="preserve"> </w:t>
            </w:r>
            <w:r w:rsidRPr="00173E33">
              <w:rPr>
                <w:rFonts w:ascii="Century Gothic" w:hAnsi="Century Gothic" w:cs="Arial"/>
                <w:sz w:val="18"/>
                <w:szCs w:val="18"/>
              </w:rPr>
              <w:t xml:space="preserve">cm, drevený krov, stropy monolitické železobetónové objekt z roku 1913, rekonštruovaný v polovici deväťdesiatych rokov. Objekt celková podlahová plocha cca </w:t>
            </w:r>
            <w:r w:rsidRPr="00173E33">
              <w:rPr>
                <w:rFonts w:ascii="Century Gothic" w:hAnsi="Century Gothic" w:cs="Arial"/>
                <w:sz w:val="18"/>
                <w:szCs w:val="18"/>
              </w:rPr>
              <w:lastRenderedPageBreak/>
              <w:t>3 100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s konštrukčnou výškou cca 3,3 m je samostatná budova, bez zateplenia. Strecha šikmá, strop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Heraklit,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xml:space="preserve">, bez zateplenia. Podlaha pôvodná cca 40 cm betón s dlažbou. Okná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 dvere vstupné presklené.</w:t>
            </w:r>
          </w:p>
        </w:tc>
        <w:tc>
          <w:tcPr>
            <w:tcW w:w="4109" w:type="dxa"/>
            <w:shd w:val="clear" w:color="auto" w:fill="BFBFBF" w:themeFill="background1" w:themeFillShade="BF"/>
            <w:noWrap/>
            <w:hideMark/>
          </w:tcPr>
          <w:p w14:paraId="3ACE1199"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lastRenderedPageBreak/>
              <w:t xml:space="preserve">Pavilón bol postavený v roku 1914. Rokmi prešiel rôznymi rekonštrukciami, modernizáciami a udržiavacími prácami. V objekte sa nachádzajú operačné sály, ktoré pre zabezpečenie minimálnych požiadaviek na zdravotnícke zariadia vyžadujú rekonštrukciu. Rovnako vyžadujú rekonštrukciu aj vnútorné inštalácie, nášľapné </w:t>
            </w:r>
            <w:r w:rsidRPr="00173E33">
              <w:rPr>
                <w:rFonts w:ascii="Century Gothic" w:hAnsi="Century Gothic" w:cs="Arial"/>
                <w:sz w:val="18"/>
                <w:szCs w:val="18"/>
              </w:rPr>
              <w:lastRenderedPageBreak/>
              <w:t xml:space="preserve">vrstvy podláh na niektorých ošetrovacích jednotkách. </w:t>
            </w:r>
          </w:p>
        </w:tc>
      </w:tr>
      <w:tr w:rsidR="00CF5780" w:rsidRPr="00173E33" w14:paraId="1771B1EB" w14:textId="77777777" w:rsidTr="00CF5780">
        <w:trPr>
          <w:trHeight w:val="3468"/>
        </w:trPr>
        <w:tc>
          <w:tcPr>
            <w:tcW w:w="1771" w:type="dxa"/>
            <w:shd w:val="clear" w:color="auto" w:fill="BFBFBF" w:themeFill="background1" w:themeFillShade="BF"/>
            <w:noWrap/>
            <w:hideMark/>
          </w:tcPr>
          <w:p w14:paraId="44CD9B98" w14:textId="77777777" w:rsidR="00CF5780" w:rsidRPr="002679C1" w:rsidRDefault="00CF5780" w:rsidP="00CF5780">
            <w:pPr>
              <w:spacing w:line="240" w:lineRule="auto"/>
              <w:jc w:val="left"/>
              <w:rPr>
                <w:rFonts w:ascii="Century Gothic" w:hAnsi="Century Gothic" w:cs="Arial"/>
                <w:b/>
                <w:sz w:val="18"/>
                <w:szCs w:val="18"/>
              </w:rPr>
            </w:pPr>
            <w:r w:rsidRPr="002679C1">
              <w:rPr>
                <w:rFonts w:ascii="Century Gothic" w:hAnsi="Century Gothic" w:cs="Arial"/>
                <w:b/>
                <w:color w:val="FF0000"/>
                <w:sz w:val="18"/>
                <w:szCs w:val="18"/>
              </w:rPr>
              <w:lastRenderedPageBreak/>
              <w:t>MONOBLOK A SPOL.KOMPL., čiastočne, gynekológia</w:t>
            </w:r>
          </w:p>
        </w:tc>
        <w:tc>
          <w:tcPr>
            <w:tcW w:w="567" w:type="dxa"/>
            <w:shd w:val="clear" w:color="auto" w:fill="BFBFBF" w:themeFill="background1" w:themeFillShade="BF"/>
            <w:noWrap/>
            <w:hideMark/>
          </w:tcPr>
          <w:p w14:paraId="1ED6F9CD"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1977</w:t>
            </w:r>
          </w:p>
        </w:tc>
        <w:tc>
          <w:tcPr>
            <w:tcW w:w="567" w:type="dxa"/>
            <w:shd w:val="clear" w:color="auto" w:fill="BFBFBF" w:themeFill="background1" w:themeFillShade="BF"/>
            <w:noWrap/>
            <w:hideMark/>
          </w:tcPr>
          <w:p w14:paraId="3839F04F"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1977</w:t>
            </w:r>
          </w:p>
        </w:tc>
        <w:tc>
          <w:tcPr>
            <w:tcW w:w="2908" w:type="dxa"/>
            <w:shd w:val="clear" w:color="auto" w:fill="BFBFBF" w:themeFill="background1" w:themeFillShade="BF"/>
            <w:hideMark/>
          </w:tcPr>
          <w:p w14:paraId="21C4E171" w14:textId="22616206"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v pôvodnom stave zo 70-tych rokov 20.storočia je rozdelený do blokov: "A", "B + C", "D"-päťpodlažná budova, "F"-sedempodlažná budova, má suterén, prízemie a I. až IV. poschodie, spojovací kŕčok - suterén, prízemie a I. poschodie "E" je šesťpodlažná budova, nemá suterén ani prízemie a prízemie je nahradené otvorenou konštrukciou. Celková podlahová plocha cca 15 700 m2 s konštrukčnou výškou podlažia 3,5 m je samostatná budova postavená: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skelet (postavený ako </w:t>
            </w:r>
            <w:proofErr w:type="spellStart"/>
            <w:r w:rsidRPr="00173E33">
              <w:rPr>
                <w:rFonts w:ascii="Century Gothic" w:hAnsi="Century Gothic" w:cs="Arial"/>
                <w:sz w:val="18"/>
                <w:szCs w:val="18"/>
              </w:rPr>
              <w:t>trojtrakt</w:t>
            </w:r>
            <w:proofErr w:type="spellEnd"/>
            <w:r w:rsidRPr="00173E33">
              <w:rPr>
                <w:rFonts w:ascii="Century Gothic" w:hAnsi="Century Gothic" w:cs="Arial"/>
                <w:sz w:val="18"/>
                <w:szCs w:val="18"/>
              </w:rPr>
              <w:t>). Spoločná šírka objektu cca</w:t>
            </w:r>
            <w:r w:rsidR="00A9020B">
              <w:rPr>
                <w:rFonts w:ascii="Century Gothic" w:hAnsi="Century Gothic" w:cs="Arial"/>
                <w:sz w:val="18"/>
                <w:szCs w:val="18"/>
              </w:rPr>
              <w:t>.</w:t>
            </w:r>
            <w:r w:rsidRPr="00173E33">
              <w:rPr>
                <w:rFonts w:ascii="Century Gothic" w:hAnsi="Century Gothic" w:cs="Arial"/>
                <w:sz w:val="18"/>
                <w:szCs w:val="18"/>
              </w:rPr>
              <w:t xml:space="preserve"> 13 m a celková dĺžka 43,7+39,9+31,9+39,9+32,9+26,9=215 m. V suteréne a na prízemí je použitý </w:t>
            </w:r>
            <w:proofErr w:type="spellStart"/>
            <w:r w:rsidRPr="00173E33">
              <w:rPr>
                <w:rFonts w:ascii="Century Gothic" w:hAnsi="Century Gothic" w:cs="Arial"/>
                <w:sz w:val="18"/>
                <w:szCs w:val="18"/>
              </w:rPr>
              <w:t>prievlakový</w:t>
            </w:r>
            <w:proofErr w:type="spellEnd"/>
            <w:r w:rsidRPr="00173E33">
              <w:rPr>
                <w:rFonts w:ascii="Century Gothic" w:hAnsi="Century Gothic" w:cs="Arial"/>
                <w:sz w:val="18"/>
                <w:szCs w:val="18"/>
              </w:rPr>
              <w:t xml:space="preserve"> systém. V poschodí, sú steny vymurované tehlovým materiálom hrúbky cca 30 cm, bez zateplenia, mramorové dosky. Strecha rovná, so spádom k strešným zvodom, strešné plynosilikátové dosky, škvarový násyp a asfaltová strešná izolácia v súčasnej dobe vybavená izolačným náterom. Podlaha pôvodná cca</w:t>
            </w:r>
            <w:r w:rsidR="00A9020B">
              <w:rPr>
                <w:rFonts w:ascii="Century Gothic" w:hAnsi="Century Gothic" w:cs="Arial"/>
                <w:sz w:val="18"/>
                <w:szCs w:val="18"/>
              </w:rPr>
              <w:t>.</w:t>
            </w:r>
            <w:r w:rsidRPr="00173E33">
              <w:rPr>
                <w:rFonts w:ascii="Century Gothic" w:hAnsi="Century Gothic" w:cs="Arial"/>
                <w:sz w:val="18"/>
                <w:szCs w:val="18"/>
              </w:rPr>
              <w:t xml:space="preserve"> 40 cm betón s dlažbou. Okná/dvere plast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19095E41" w14:textId="048DC638" w:rsidR="00CF5780" w:rsidRPr="00173E33" w:rsidRDefault="00CF5780" w:rsidP="00A9020B">
            <w:pPr>
              <w:spacing w:line="240" w:lineRule="auto"/>
              <w:rPr>
                <w:rFonts w:ascii="Century Gothic" w:hAnsi="Century Gothic" w:cs="Arial"/>
                <w:sz w:val="18"/>
                <w:szCs w:val="18"/>
              </w:rPr>
            </w:pPr>
            <w:r w:rsidRPr="00173E33">
              <w:rPr>
                <w:rFonts w:ascii="Century Gothic" w:hAnsi="Century Gothic" w:cs="Arial"/>
                <w:sz w:val="18"/>
                <w:szCs w:val="18"/>
              </w:rPr>
              <w:t>Pavilón „</w:t>
            </w:r>
            <w:proofErr w:type="spellStart"/>
            <w:r w:rsidRPr="00173E33">
              <w:rPr>
                <w:rFonts w:ascii="Century Gothic" w:hAnsi="Century Gothic" w:cs="Arial"/>
                <w:sz w:val="18"/>
                <w:szCs w:val="18"/>
              </w:rPr>
              <w:t>Monoblok</w:t>
            </w:r>
            <w:proofErr w:type="spellEnd"/>
            <w:r w:rsidRPr="00173E33">
              <w:rPr>
                <w:rFonts w:ascii="Century Gothic" w:hAnsi="Century Gothic" w:cs="Arial"/>
                <w:sz w:val="18"/>
                <w:szCs w:val="18"/>
              </w:rPr>
              <w:t xml:space="preserve"> a spojené komplementy“ postavený v roku 1977 prešiel v ostatnej dekáde výmenou výplní otvorov obvodového plášťa a čiastočnou obnovou interiéru. Dispozične je riešený podľa štandardov obdobia výstavby, čo nespĺňa štandardy súčasnej doby. Na ošetrovacích jednotkách sú spoločné sociálne zariadenia na chodbách. Niektoré časti </w:t>
            </w:r>
            <w:proofErr w:type="spellStart"/>
            <w:r w:rsidRPr="00173E33">
              <w:rPr>
                <w:rFonts w:ascii="Century Gothic" w:hAnsi="Century Gothic" w:cs="Arial"/>
                <w:sz w:val="18"/>
                <w:szCs w:val="18"/>
              </w:rPr>
              <w:t>monobloku</w:t>
            </w:r>
            <w:proofErr w:type="spellEnd"/>
            <w:r w:rsidRPr="00173E33">
              <w:rPr>
                <w:rFonts w:ascii="Century Gothic" w:hAnsi="Century Gothic" w:cs="Arial"/>
                <w:sz w:val="18"/>
                <w:szCs w:val="18"/>
              </w:rPr>
              <w:t xml:space="preserve"> a spojených komplementov sú v pôvodnom stave. Najmä suterénne priestory. Budova je po statickej stránke bezpečná. Nepozorujeme žiadne deformity na nosných prvkoch. V roku 2019 prebehla v celom objekte modernizácia výťahov, ktorá spočívala v kompletnej výmene technológie výťahov. Vnútorné zariadenie objektu je rovnako obnovené. Odhliadnuc od vykonaných rekonštrukčných a obnovovacích prác je nevyhnutná rekonštrukcia vnútorných inštalácií a rozvodov elektroinštalácie, rozvodov vody a kanalizácie. Nutná je najmä výmena spôsobu vykurovania. Je použité sálavé vykurovanie so zabetónovanými vykurovacími potrubiami "</w:t>
            </w:r>
            <w:proofErr w:type="spellStart"/>
            <w:r w:rsidRPr="00173E33">
              <w:rPr>
                <w:rFonts w:ascii="Century Gothic" w:hAnsi="Century Gothic" w:cs="Arial"/>
                <w:sz w:val="18"/>
                <w:szCs w:val="18"/>
              </w:rPr>
              <w:t>Crital</w:t>
            </w:r>
            <w:proofErr w:type="spellEnd"/>
            <w:r w:rsidRPr="00173E33">
              <w:rPr>
                <w:rFonts w:ascii="Century Gothic" w:hAnsi="Century Gothic" w:cs="Arial"/>
                <w:sz w:val="18"/>
                <w:szCs w:val="18"/>
              </w:rPr>
              <w:t xml:space="preserve">" v strope jednotlivých podlaží, ktoré vykazuje defekty, nie je možné ho opravovať po sekciách a je nutná jeho výmena za radiátorový vykurovací systém. Objekt nie je zateplený, čím vznikajú veľké tepelné straty. Strešný plášť objektov prešiel v období rokov 2015 – 2016 obnovou, ktorá spočívala v montáž novej vrstvy vodorovnej izolácie proti dažďovej a stekajúcej vode. </w:t>
            </w:r>
          </w:p>
        </w:tc>
      </w:tr>
      <w:tr w:rsidR="00CF5780" w:rsidRPr="00173E33" w14:paraId="2437EAE2" w14:textId="77777777" w:rsidTr="00CF5780">
        <w:trPr>
          <w:trHeight w:val="1428"/>
        </w:trPr>
        <w:tc>
          <w:tcPr>
            <w:tcW w:w="1771" w:type="dxa"/>
            <w:shd w:val="clear" w:color="auto" w:fill="BFBFBF" w:themeFill="background1" w:themeFillShade="BF"/>
            <w:noWrap/>
            <w:hideMark/>
          </w:tcPr>
          <w:p w14:paraId="7FC330BA"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RADIOTHERAPIA</w:t>
            </w:r>
          </w:p>
        </w:tc>
        <w:tc>
          <w:tcPr>
            <w:tcW w:w="567" w:type="dxa"/>
            <w:shd w:val="clear" w:color="auto" w:fill="BFBFBF" w:themeFill="background1" w:themeFillShade="BF"/>
            <w:noWrap/>
            <w:hideMark/>
          </w:tcPr>
          <w:p w14:paraId="7E313DC9"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1985</w:t>
            </w:r>
          </w:p>
        </w:tc>
        <w:tc>
          <w:tcPr>
            <w:tcW w:w="567" w:type="dxa"/>
            <w:shd w:val="clear" w:color="auto" w:fill="BFBFBF" w:themeFill="background1" w:themeFillShade="BF"/>
            <w:noWrap/>
            <w:hideMark/>
          </w:tcPr>
          <w:p w14:paraId="421C4FB7"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1985</w:t>
            </w:r>
          </w:p>
        </w:tc>
        <w:tc>
          <w:tcPr>
            <w:tcW w:w="2908" w:type="dxa"/>
            <w:shd w:val="clear" w:color="auto" w:fill="BFBFBF" w:themeFill="background1" w:themeFillShade="BF"/>
            <w:hideMark/>
          </w:tcPr>
          <w:p w14:paraId="532AF785" w14:textId="0F01EF6C"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je členitý, celková podlahová plocha cca 2 000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s konštrukčnou výškou cca 4 m je samostatná budova s 2NP postavená z tehlového muriva cca hr.30 cm s dlaždicovým obkladom, bez zateplenia a nadstavby 3NP so zateplením. Strecha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Heraklit,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bez zateplenia, nadstavba 3NP so zateplením. Podlaha pôvodná cca</w:t>
            </w:r>
            <w:r w:rsidR="00A9020B">
              <w:rPr>
                <w:rFonts w:ascii="Century Gothic" w:hAnsi="Century Gothic" w:cs="Arial"/>
                <w:sz w:val="18"/>
                <w:szCs w:val="18"/>
              </w:rPr>
              <w:t>.</w:t>
            </w:r>
            <w:r w:rsidRPr="00173E33">
              <w:rPr>
                <w:rFonts w:ascii="Century Gothic" w:hAnsi="Century Gothic" w:cs="Arial"/>
                <w:sz w:val="18"/>
                <w:szCs w:val="18"/>
              </w:rPr>
              <w:t xml:space="preserve"> 20 cm betón s dlažbou. Okná/dvere plast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32669391"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 Objekt v rokoch 2019 – 2021 prešiel rozsiahlymi rekonštrukciami, modernizáciami a obnovami. Vymenené boli výplne otvorov na veľkej časti objektu. Realizovaná bola nadstavba objektu z dôvodu rozšírenia poskytovaných služieb. Rovnako prebehla komplexná rekonštrukcia ožarovacieho traktu spojená s výmenou a doplnením technológie lineárnych urýchľovačov a CT simulátora. Naďalej je však potrebná modernizácia jestvujúcich ambulancií a vytvorenie </w:t>
            </w:r>
            <w:proofErr w:type="spellStart"/>
            <w:r w:rsidRPr="00173E33">
              <w:rPr>
                <w:rFonts w:ascii="Century Gothic" w:hAnsi="Century Gothic" w:cs="Arial"/>
                <w:sz w:val="18"/>
                <w:szCs w:val="18"/>
              </w:rPr>
              <w:t>riediarnecytostatík</w:t>
            </w:r>
            <w:proofErr w:type="spellEnd"/>
            <w:r w:rsidRPr="00173E33">
              <w:rPr>
                <w:rFonts w:ascii="Century Gothic" w:hAnsi="Century Gothic" w:cs="Arial"/>
                <w:sz w:val="18"/>
                <w:szCs w:val="18"/>
              </w:rPr>
              <w:t xml:space="preserve"> . Potrebná je aj obnova obvodového plášťa budovy spočívajúcej v jej zateplení. </w:t>
            </w:r>
          </w:p>
        </w:tc>
      </w:tr>
      <w:tr w:rsidR="00CF5780" w:rsidRPr="00173E33" w14:paraId="513B35D9" w14:textId="77777777" w:rsidTr="00CF5780">
        <w:trPr>
          <w:trHeight w:val="1224"/>
        </w:trPr>
        <w:tc>
          <w:tcPr>
            <w:tcW w:w="1771" w:type="dxa"/>
            <w:shd w:val="clear" w:color="auto" w:fill="BFBFBF" w:themeFill="background1" w:themeFillShade="BF"/>
            <w:noWrap/>
            <w:hideMark/>
          </w:tcPr>
          <w:p w14:paraId="103AA557" w14:textId="77777777" w:rsidR="00CF5780" w:rsidRPr="002679C1" w:rsidRDefault="00CF5780" w:rsidP="00CF5780">
            <w:pPr>
              <w:spacing w:line="240" w:lineRule="auto"/>
              <w:jc w:val="left"/>
              <w:rPr>
                <w:rFonts w:ascii="Century Gothic" w:hAnsi="Century Gothic" w:cs="Arial"/>
                <w:b/>
                <w:sz w:val="18"/>
                <w:szCs w:val="18"/>
              </w:rPr>
            </w:pPr>
            <w:r w:rsidRPr="002679C1">
              <w:rPr>
                <w:rFonts w:ascii="Century Gothic" w:hAnsi="Century Gothic" w:cs="Arial"/>
                <w:b/>
                <w:color w:val="FF0000"/>
                <w:sz w:val="18"/>
                <w:szCs w:val="18"/>
              </w:rPr>
              <w:lastRenderedPageBreak/>
              <w:t>PAVILÓN UROLOGICKÝ</w:t>
            </w:r>
          </w:p>
        </w:tc>
        <w:tc>
          <w:tcPr>
            <w:tcW w:w="567" w:type="dxa"/>
            <w:shd w:val="clear" w:color="auto" w:fill="BFBFBF" w:themeFill="background1" w:themeFillShade="BF"/>
            <w:noWrap/>
            <w:hideMark/>
          </w:tcPr>
          <w:p w14:paraId="34E5A7CA"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1988</w:t>
            </w:r>
          </w:p>
        </w:tc>
        <w:tc>
          <w:tcPr>
            <w:tcW w:w="567" w:type="dxa"/>
            <w:shd w:val="clear" w:color="auto" w:fill="BFBFBF" w:themeFill="background1" w:themeFillShade="BF"/>
            <w:noWrap/>
            <w:hideMark/>
          </w:tcPr>
          <w:p w14:paraId="6962B829"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1989</w:t>
            </w:r>
          </w:p>
        </w:tc>
        <w:tc>
          <w:tcPr>
            <w:tcW w:w="2908" w:type="dxa"/>
            <w:shd w:val="clear" w:color="auto" w:fill="BFBFBF" w:themeFill="background1" w:themeFillShade="BF"/>
            <w:hideMark/>
          </w:tcPr>
          <w:p w14:paraId="0B3FFD8D"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v pôvodnom stave, celková podlahová plocha cca 1700 m</w:t>
            </w:r>
            <w:r w:rsidRPr="00A9020B">
              <w:rPr>
                <w:rFonts w:ascii="Century Gothic" w:hAnsi="Century Gothic" w:cs="Arial"/>
                <w:sz w:val="18"/>
                <w:szCs w:val="18"/>
                <w:vertAlign w:val="superscript"/>
              </w:rPr>
              <w:t xml:space="preserve">2 </w:t>
            </w:r>
            <w:r w:rsidRPr="00173E33">
              <w:rPr>
                <w:rFonts w:ascii="Century Gothic" w:hAnsi="Century Gothic" w:cs="Arial"/>
                <w:sz w:val="18"/>
                <w:szCs w:val="18"/>
              </w:rPr>
              <w:t xml:space="preserve">a 3NP s konštrukčnou výškou cca 3,5 m je samostatná budova tehlovej konštrukcie cca hr. 40 cm, keramický obklad fasády bez zateplenia. Strecha rovná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Heraklit,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xml:space="preserve">, bez zateplenia. Podlaha pôvodná cca 30 cm betón s dlažbou. Okná/dvere pôvodné kov a plast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30EEB8FB"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bol postavený v roku 1988. Pôvodný projekt bol vypracovaný ako infekčný pavilón, avšak tento pavilón nikdy tomuto účelu neslúžil. Až do roku 2020, kedy v ňom bol zriadený </w:t>
            </w:r>
            <w:proofErr w:type="spellStart"/>
            <w:r w:rsidRPr="00173E33">
              <w:rPr>
                <w:rFonts w:ascii="Century Gothic" w:hAnsi="Century Gothic" w:cs="Arial"/>
                <w:sz w:val="18"/>
                <w:szCs w:val="18"/>
              </w:rPr>
              <w:t>pandemický</w:t>
            </w:r>
            <w:proofErr w:type="spellEnd"/>
            <w:r w:rsidRPr="00173E33">
              <w:rPr>
                <w:rFonts w:ascii="Century Gothic" w:hAnsi="Century Gothic" w:cs="Arial"/>
                <w:sz w:val="18"/>
                <w:szCs w:val="18"/>
              </w:rPr>
              <w:t xml:space="preserve"> pavilón pre liečbu pacientov s ochorením </w:t>
            </w:r>
            <w:proofErr w:type="spellStart"/>
            <w:r w:rsidRPr="00173E33">
              <w:rPr>
                <w:rFonts w:ascii="Century Gothic" w:hAnsi="Century Gothic" w:cs="Arial"/>
                <w:sz w:val="18"/>
                <w:szCs w:val="18"/>
              </w:rPr>
              <w:t>Covid</w:t>
            </w:r>
            <w:proofErr w:type="spellEnd"/>
            <w:r w:rsidRPr="00173E33">
              <w:rPr>
                <w:rFonts w:ascii="Century Gothic" w:hAnsi="Century Gothic" w:cs="Arial"/>
                <w:sz w:val="18"/>
                <w:szCs w:val="18"/>
              </w:rPr>
              <w:t xml:space="preserve"> 19. V objekte sú vybudované 3 operačné sály ktoré boli modernizované v roku 2021 a JIS, ktorá je modernizovaná tohto roku. Objekt je nezateplený s pôvodnou nezateplenou skladbou strešného plášťa. Väčšina výplní otvorov obvodového plášťa je v pôvodnom stave. Pôvodné okná sú v nevyhovujúcom technickom stave. Statika budovy nevykazuje defekty ani deformity. Ako výplne </w:t>
            </w:r>
            <w:proofErr w:type="spellStart"/>
            <w:r w:rsidRPr="00173E33">
              <w:rPr>
                <w:rFonts w:ascii="Century Gothic" w:hAnsi="Century Gothic" w:cs="Arial"/>
                <w:sz w:val="18"/>
                <w:szCs w:val="18"/>
              </w:rPr>
              <w:t>zábradlovej</w:t>
            </w:r>
            <w:proofErr w:type="spellEnd"/>
            <w:r w:rsidRPr="00173E33">
              <w:rPr>
                <w:rFonts w:ascii="Century Gothic" w:hAnsi="Century Gothic" w:cs="Arial"/>
                <w:sz w:val="18"/>
                <w:szCs w:val="18"/>
              </w:rPr>
              <w:t xml:space="preserve"> konštrukcie balkónov sú použité azbestové dosky </w:t>
            </w:r>
          </w:p>
        </w:tc>
      </w:tr>
      <w:tr w:rsidR="00CF5780" w:rsidRPr="00173E33" w14:paraId="15B46BF0" w14:textId="77777777" w:rsidTr="00CF5780">
        <w:trPr>
          <w:trHeight w:val="1836"/>
        </w:trPr>
        <w:tc>
          <w:tcPr>
            <w:tcW w:w="1771" w:type="dxa"/>
            <w:shd w:val="clear" w:color="auto" w:fill="BFBFBF" w:themeFill="background1" w:themeFillShade="BF"/>
            <w:noWrap/>
            <w:hideMark/>
          </w:tcPr>
          <w:p w14:paraId="678D964E"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LIEČEBŇA DLHOD.CHORÝCH</w:t>
            </w:r>
          </w:p>
        </w:tc>
        <w:tc>
          <w:tcPr>
            <w:tcW w:w="567" w:type="dxa"/>
            <w:shd w:val="clear" w:color="auto" w:fill="BFBFBF" w:themeFill="background1" w:themeFillShade="BF"/>
            <w:noWrap/>
            <w:hideMark/>
          </w:tcPr>
          <w:p w14:paraId="3DCC0B53"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1990</w:t>
            </w:r>
          </w:p>
        </w:tc>
        <w:tc>
          <w:tcPr>
            <w:tcW w:w="567" w:type="dxa"/>
            <w:shd w:val="clear" w:color="auto" w:fill="BFBFBF" w:themeFill="background1" w:themeFillShade="BF"/>
            <w:noWrap/>
            <w:hideMark/>
          </w:tcPr>
          <w:p w14:paraId="57DB3296"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1991</w:t>
            </w:r>
          </w:p>
        </w:tc>
        <w:tc>
          <w:tcPr>
            <w:tcW w:w="2908" w:type="dxa"/>
            <w:shd w:val="clear" w:color="auto" w:fill="BFBFBF" w:themeFill="background1" w:themeFillShade="BF"/>
            <w:hideMark/>
          </w:tcPr>
          <w:p w14:paraId="0F30909E"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z časti A </w:t>
            </w:r>
            <w:proofErr w:type="spellStart"/>
            <w:r w:rsidRPr="00173E33">
              <w:rPr>
                <w:rFonts w:ascii="Century Gothic" w:hAnsi="Century Gothic" w:cs="Arial"/>
                <w:sz w:val="18"/>
                <w:szCs w:val="18"/>
              </w:rPr>
              <w:t>a</w:t>
            </w:r>
            <w:proofErr w:type="spellEnd"/>
            <w:r w:rsidRPr="00173E33">
              <w:rPr>
                <w:rFonts w:ascii="Century Gothic" w:hAnsi="Century Gothic" w:cs="Arial"/>
                <w:sz w:val="18"/>
                <w:szCs w:val="18"/>
              </w:rPr>
              <w:t xml:space="preserve"> B v pôvodnom stave, celková podlahová plocha cca 7000 m2 a 4NP s konštrukčnou výškou cca 3,5 m je samostatná budova ako </w:t>
            </w:r>
            <w:proofErr w:type="spellStart"/>
            <w:r w:rsidRPr="00173E33">
              <w:rPr>
                <w:rFonts w:ascii="Century Gothic" w:hAnsi="Century Gothic" w:cs="Arial"/>
                <w:sz w:val="18"/>
                <w:szCs w:val="18"/>
              </w:rPr>
              <w:t>trojtrakt</w:t>
            </w:r>
            <w:proofErr w:type="spellEnd"/>
            <w:r w:rsidRPr="00173E33">
              <w:rPr>
                <w:rFonts w:ascii="Century Gothic" w:hAnsi="Century Gothic" w:cs="Arial"/>
                <w:sz w:val="18"/>
                <w:szCs w:val="18"/>
              </w:rPr>
              <w:t xml:space="preserve"> z montovanej konštrukcie revidovaný </w:t>
            </w:r>
            <w:proofErr w:type="spellStart"/>
            <w:r w:rsidRPr="00173E33">
              <w:rPr>
                <w:rFonts w:ascii="Century Gothic" w:hAnsi="Century Gothic" w:cs="Arial"/>
                <w:sz w:val="18"/>
                <w:szCs w:val="18"/>
              </w:rPr>
              <w:t>Priemstav</w:t>
            </w:r>
            <w:proofErr w:type="spellEnd"/>
            <w:r w:rsidRPr="00173E33">
              <w:rPr>
                <w:rFonts w:ascii="Century Gothic" w:hAnsi="Century Gothic" w:cs="Arial"/>
                <w:sz w:val="18"/>
                <w:szCs w:val="18"/>
              </w:rPr>
              <w:t xml:space="preserve">, keramické vrstvené panely NKV a tehly cca hr. 35-40 cm, keramický obklad fasády bez zateplenia. Strecha rovná dvojplášťová pórobetónové panely „PAS“, vo vzduchovej medzere je čadič, bez zateplenia. Podlaha pôvodná cca 30 cm betón, izolácia </w:t>
            </w:r>
            <w:proofErr w:type="spellStart"/>
            <w:r w:rsidRPr="00173E33">
              <w:rPr>
                <w:rFonts w:ascii="Century Gothic" w:hAnsi="Century Gothic" w:cs="Arial"/>
                <w:sz w:val="18"/>
                <w:szCs w:val="18"/>
              </w:rPr>
              <w:t>izomín</w:t>
            </w:r>
            <w:proofErr w:type="spellEnd"/>
            <w:r w:rsidRPr="00173E33">
              <w:rPr>
                <w:rFonts w:ascii="Century Gothic" w:hAnsi="Century Gothic" w:cs="Arial"/>
                <w:sz w:val="18"/>
                <w:szCs w:val="18"/>
              </w:rPr>
              <w:t xml:space="preserve"> a pórobetónové dosky ID s dlažbou. Okná/dvere pôvodné kov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5528B4FF"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postavený v roku 1990 prešiel za ostatnú dekádu rôznymi čiastočnými obnovami a rekonštrukciami. Budova je nezateplená s pôvodným nezatepleným strešným plášťom. Okná sú na približne polovici objektu vymenené za plastové. Zvyšok okien je v pôvodnom stave vyžadujúce výmenu. Statika objektu v </w:t>
            </w:r>
            <w:proofErr w:type="spellStart"/>
            <w:r w:rsidRPr="00173E33">
              <w:rPr>
                <w:rFonts w:ascii="Century Gothic" w:hAnsi="Century Gothic" w:cs="Arial"/>
                <w:sz w:val="18"/>
                <w:szCs w:val="18"/>
              </w:rPr>
              <w:t>čsti</w:t>
            </w:r>
            <w:proofErr w:type="spellEnd"/>
            <w:r w:rsidRPr="00173E33">
              <w:rPr>
                <w:rFonts w:ascii="Century Gothic" w:hAnsi="Century Gothic" w:cs="Arial"/>
                <w:sz w:val="18"/>
                <w:szCs w:val="18"/>
              </w:rPr>
              <w:t xml:space="preserve"> objektu „B“ vykazuje drobné defekty, ktoré však neznamenajú ohrozenie bezpečnosti. Podlahové krytiny na približne polovičnej výmere pôdorysnej plochy je v pôvodnom stave a vyžaduje si bezodkladnú výmenu. Rozvody vody a kúrenia sú v primeranom, možno povedať v dobrom stave. Je potrebná rekonštrukcia elektroinštalácie. </w:t>
            </w:r>
          </w:p>
        </w:tc>
      </w:tr>
      <w:tr w:rsidR="00CF5780" w:rsidRPr="00173E33" w14:paraId="553CD66C" w14:textId="77777777" w:rsidTr="00CF5780">
        <w:trPr>
          <w:trHeight w:val="1428"/>
        </w:trPr>
        <w:tc>
          <w:tcPr>
            <w:tcW w:w="1771" w:type="dxa"/>
            <w:shd w:val="clear" w:color="auto" w:fill="BFBFBF" w:themeFill="background1" w:themeFillShade="BF"/>
            <w:noWrap/>
            <w:hideMark/>
          </w:tcPr>
          <w:p w14:paraId="459D8CBC" w14:textId="77777777" w:rsidR="00CF5780" w:rsidRPr="002679C1" w:rsidRDefault="00CF5780" w:rsidP="00CF5780">
            <w:pPr>
              <w:spacing w:line="240" w:lineRule="auto"/>
              <w:jc w:val="left"/>
              <w:rPr>
                <w:rFonts w:ascii="Century Gothic" w:hAnsi="Century Gothic" w:cs="Arial"/>
                <w:b/>
                <w:sz w:val="18"/>
                <w:szCs w:val="18"/>
              </w:rPr>
            </w:pPr>
            <w:r w:rsidRPr="002679C1">
              <w:rPr>
                <w:rFonts w:ascii="Century Gothic" w:hAnsi="Century Gothic" w:cs="Arial"/>
                <w:b/>
                <w:color w:val="FF0000"/>
                <w:sz w:val="18"/>
                <w:szCs w:val="18"/>
              </w:rPr>
              <w:t>BUDOVA URGENT.PRÍJMU A OAIM</w:t>
            </w:r>
          </w:p>
        </w:tc>
        <w:tc>
          <w:tcPr>
            <w:tcW w:w="567" w:type="dxa"/>
            <w:shd w:val="clear" w:color="auto" w:fill="BFBFBF" w:themeFill="background1" w:themeFillShade="BF"/>
            <w:noWrap/>
            <w:hideMark/>
          </w:tcPr>
          <w:p w14:paraId="482CEB21"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2011</w:t>
            </w:r>
          </w:p>
        </w:tc>
        <w:tc>
          <w:tcPr>
            <w:tcW w:w="567" w:type="dxa"/>
            <w:shd w:val="clear" w:color="auto" w:fill="BFBFBF" w:themeFill="background1" w:themeFillShade="BF"/>
            <w:noWrap/>
            <w:hideMark/>
          </w:tcPr>
          <w:p w14:paraId="7E451ADD"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2011</w:t>
            </w:r>
          </w:p>
        </w:tc>
        <w:tc>
          <w:tcPr>
            <w:tcW w:w="2908" w:type="dxa"/>
            <w:shd w:val="clear" w:color="auto" w:fill="BFBFBF" w:themeFill="background1" w:themeFillShade="BF"/>
            <w:hideMark/>
          </w:tcPr>
          <w:p w14:paraId="3C24943C" w14:textId="2BEB2769"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je nový z roku 2014, celková podlahová plocha 550 m2 a konštrukčnou výškou 3,9 m je samostatná budova železobetónový skelet s keramickou výmurovkou </w:t>
            </w:r>
            <w:proofErr w:type="spellStart"/>
            <w:r w:rsidRPr="00173E33">
              <w:rPr>
                <w:rFonts w:ascii="Century Gothic" w:hAnsi="Century Gothic" w:cs="Arial"/>
                <w:sz w:val="18"/>
                <w:szCs w:val="18"/>
              </w:rPr>
              <w:t>Porotherm</w:t>
            </w:r>
            <w:proofErr w:type="spellEnd"/>
            <w:r w:rsidRPr="00173E33">
              <w:rPr>
                <w:rFonts w:ascii="Century Gothic" w:hAnsi="Century Gothic" w:cs="Arial"/>
                <w:sz w:val="18"/>
                <w:szCs w:val="18"/>
              </w:rPr>
              <w:t xml:space="preserve"> hr. 44 cm so zateplením/vetraný </w:t>
            </w:r>
            <w:proofErr w:type="spellStart"/>
            <w:r w:rsidRPr="00173E33">
              <w:rPr>
                <w:rFonts w:ascii="Century Gothic" w:hAnsi="Century Gothic" w:cs="Arial"/>
                <w:sz w:val="18"/>
                <w:szCs w:val="18"/>
              </w:rPr>
              <w:t>dvojplášť</w:t>
            </w:r>
            <w:proofErr w:type="spellEnd"/>
            <w:r w:rsidRPr="00173E33">
              <w:rPr>
                <w:rFonts w:ascii="Century Gothic" w:hAnsi="Century Gothic" w:cs="Arial"/>
                <w:sz w:val="18"/>
                <w:szCs w:val="18"/>
              </w:rPr>
              <w:t xml:space="preserve">. Strecha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zelená strecha, so zateplením</w:t>
            </w:r>
            <w:r w:rsidR="00A9020B">
              <w:rPr>
                <w:rFonts w:ascii="Century Gothic" w:hAnsi="Century Gothic" w:cs="Arial"/>
                <w:sz w:val="18"/>
                <w:szCs w:val="18"/>
              </w:rPr>
              <w:t xml:space="preserve"> XPS, EPS 250-</w:t>
            </w:r>
            <w:r w:rsidRPr="00173E33">
              <w:rPr>
                <w:rFonts w:ascii="Century Gothic" w:hAnsi="Century Gothic" w:cs="Arial"/>
                <w:sz w:val="18"/>
                <w:szCs w:val="18"/>
              </w:rPr>
              <w:t xml:space="preserve">300 mm. Podlaha 30 cm betón so zateplením EPS 55-80 mm. Okná/dvere Al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625796B0"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 Novovybudovaný objekt, technicky bez </w:t>
            </w:r>
            <w:proofErr w:type="spellStart"/>
            <w:r w:rsidRPr="00173E33">
              <w:rPr>
                <w:rFonts w:ascii="Century Gothic" w:hAnsi="Century Gothic" w:cs="Arial"/>
                <w:sz w:val="18"/>
                <w:szCs w:val="18"/>
              </w:rPr>
              <w:t>závad</w:t>
            </w:r>
            <w:proofErr w:type="spellEnd"/>
          </w:p>
        </w:tc>
      </w:tr>
      <w:tr w:rsidR="00CF5780" w:rsidRPr="00173E33" w14:paraId="069CC0DC" w14:textId="77777777" w:rsidTr="00CF5780">
        <w:trPr>
          <w:trHeight w:val="204"/>
        </w:trPr>
        <w:tc>
          <w:tcPr>
            <w:tcW w:w="1771" w:type="dxa"/>
            <w:shd w:val="clear" w:color="auto" w:fill="BFBFBF" w:themeFill="background1" w:themeFillShade="BF"/>
            <w:noWrap/>
            <w:hideMark/>
          </w:tcPr>
          <w:p w14:paraId="19FACA13"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BUDOVA DETSKEJ POLIKLIN.</w:t>
            </w:r>
          </w:p>
        </w:tc>
        <w:tc>
          <w:tcPr>
            <w:tcW w:w="567" w:type="dxa"/>
            <w:shd w:val="clear" w:color="auto" w:fill="BFBFBF" w:themeFill="background1" w:themeFillShade="BF"/>
            <w:noWrap/>
            <w:hideMark/>
          </w:tcPr>
          <w:p w14:paraId="4526F067"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1961</w:t>
            </w:r>
          </w:p>
        </w:tc>
        <w:tc>
          <w:tcPr>
            <w:tcW w:w="567" w:type="dxa"/>
            <w:shd w:val="clear" w:color="auto" w:fill="BFBFBF" w:themeFill="background1" w:themeFillShade="BF"/>
            <w:noWrap/>
            <w:hideMark/>
          </w:tcPr>
          <w:p w14:paraId="01E16D6C"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1961</w:t>
            </w:r>
          </w:p>
        </w:tc>
        <w:tc>
          <w:tcPr>
            <w:tcW w:w="2908" w:type="dxa"/>
            <w:shd w:val="clear" w:color="auto" w:fill="BFBFBF" w:themeFill="background1" w:themeFillShade="BF"/>
            <w:noWrap/>
            <w:hideMark/>
          </w:tcPr>
          <w:p w14:paraId="402F7F15"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792B20F8"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bol postavený v roku 1961 a prešiel v ostatnej dekáde rekonštrukciou výplní otvorov a čiastočne aj interiéru. Dispozične riešený podľa štandardov obdobia výstavby. Budova je po statickej stránke bezpečná. Nepozorujeme žiadne deformity na nosných prvkoch. Vnútorné zariadenie objektu je rovnako obnovené. Objekt je nezateplený. Na objekte je nové </w:t>
            </w:r>
            <w:proofErr w:type="spellStart"/>
            <w:r w:rsidRPr="00173E33">
              <w:rPr>
                <w:rFonts w:ascii="Century Gothic" w:hAnsi="Century Gothic" w:cs="Arial"/>
                <w:sz w:val="18"/>
                <w:szCs w:val="18"/>
              </w:rPr>
              <w:t>prestrešenie</w:t>
            </w:r>
            <w:proofErr w:type="spellEnd"/>
            <w:r w:rsidRPr="00173E33">
              <w:rPr>
                <w:rFonts w:ascii="Century Gothic" w:hAnsi="Century Gothic" w:cs="Arial"/>
                <w:sz w:val="18"/>
                <w:szCs w:val="18"/>
              </w:rPr>
              <w:t xml:space="preserve"> sedlovou strechou. Nevyhnutná je kompletná rekonštrukcia vnútorných priestorov.  Je nevyhnutná rekonštrukcia vnútorných inštalácií a rozvodov elektroinštalácie, rozvodov vody a kanalizácie a nutná výmena </w:t>
            </w:r>
            <w:r w:rsidRPr="00173E33">
              <w:rPr>
                <w:rFonts w:ascii="Century Gothic" w:hAnsi="Century Gothic" w:cs="Arial"/>
                <w:sz w:val="18"/>
                <w:szCs w:val="18"/>
              </w:rPr>
              <w:lastRenderedPageBreak/>
              <w:t xml:space="preserve">spôsobu vykurovania. Je použité sálavé vykurovanie so zabetónovanými vykurovacími </w:t>
            </w:r>
            <w:r w:rsidRPr="00173E33">
              <w:rPr>
                <w:rFonts w:ascii="Century Gothic" w:hAnsi="Century Gothic" w:cs="Arial"/>
                <w:sz w:val="18"/>
                <w:szCs w:val="18"/>
              </w:rPr>
              <w:br/>
              <w:t>potrubiami "</w:t>
            </w:r>
            <w:proofErr w:type="spellStart"/>
            <w:r w:rsidRPr="00173E33">
              <w:rPr>
                <w:rFonts w:ascii="Century Gothic" w:hAnsi="Century Gothic" w:cs="Arial"/>
                <w:sz w:val="18"/>
                <w:szCs w:val="18"/>
              </w:rPr>
              <w:t>Crital</w:t>
            </w:r>
            <w:proofErr w:type="spellEnd"/>
            <w:r w:rsidRPr="00173E33">
              <w:rPr>
                <w:rFonts w:ascii="Century Gothic" w:hAnsi="Century Gothic" w:cs="Arial"/>
                <w:sz w:val="18"/>
                <w:szCs w:val="18"/>
              </w:rPr>
              <w:t>" v strope jednotlivých podlaží, ktoré vykazuje defekty, nie je možné ho opravovať po sekciách a je nutná jeho výmena za radiátorový vykurovací systém.</w:t>
            </w:r>
          </w:p>
        </w:tc>
      </w:tr>
      <w:tr w:rsidR="00CF5780" w:rsidRPr="00173E33" w14:paraId="0172A328" w14:textId="77777777" w:rsidTr="00CF5780">
        <w:trPr>
          <w:trHeight w:val="2244"/>
        </w:trPr>
        <w:tc>
          <w:tcPr>
            <w:tcW w:w="1771" w:type="dxa"/>
            <w:shd w:val="clear" w:color="auto" w:fill="BFBFBF" w:themeFill="background1" w:themeFillShade="BF"/>
            <w:noWrap/>
            <w:hideMark/>
          </w:tcPr>
          <w:p w14:paraId="469F67A7"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lastRenderedPageBreak/>
              <w:t>BUDOVA POLIKLINIKY</w:t>
            </w:r>
          </w:p>
        </w:tc>
        <w:tc>
          <w:tcPr>
            <w:tcW w:w="567" w:type="dxa"/>
            <w:shd w:val="clear" w:color="auto" w:fill="BFBFBF" w:themeFill="background1" w:themeFillShade="BF"/>
            <w:noWrap/>
            <w:hideMark/>
          </w:tcPr>
          <w:p w14:paraId="6C584031"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1975</w:t>
            </w:r>
          </w:p>
        </w:tc>
        <w:tc>
          <w:tcPr>
            <w:tcW w:w="567" w:type="dxa"/>
            <w:shd w:val="clear" w:color="auto" w:fill="BFBFBF" w:themeFill="background1" w:themeFillShade="BF"/>
            <w:noWrap/>
            <w:hideMark/>
          </w:tcPr>
          <w:p w14:paraId="10A37F6E"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1975</w:t>
            </w:r>
          </w:p>
        </w:tc>
        <w:tc>
          <w:tcPr>
            <w:tcW w:w="2908" w:type="dxa"/>
            <w:shd w:val="clear" w:color="auto" w:fill="BFBFBF" w:themeFill="background1" w:themeFillShade="BF"/>
            <w:hideMark/>
          </w:tcPr>
          <w:p w14:paraId="6B5C5A87"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celková podlahová plocha cca 7600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s konštrukčnou výškou cca 4 m, je samostatná budova so vstupnou halou a 7 NP postavená ako železobetónový skelet. V suteréne a na prízemí je použitý </w:t>
            </w:r>
            <w:proofErr w:type="spellStart"/>
            <w:r w:rsidRPr="00173E33">
              <w:rPr>
                <w:rFonts w:ascii="Century Gothic" w:hAnsi="Century Gothic" w:cs="Arial"/>
                <w:sz w:val="18"/>
                <w:szCs w:val="18"/>
              </w:rPr>
              <w:t>prievlakový</w:t>
            </w:r>
            <w:proofErr w:type="spellEnd"/>
            <w:r w:rsidRPr="00173E33">
              <w:rPr>
                <w:rFonts w:ascii="Century Gothic" w:hAnsi="Century Gothic" w:cs="Arial"/>
                <w:sz w:val="18"/>
                <w:szCs w:val="18"/>
              </w:rPr>
              <w:t xml:space="preserve"> systém, steny vymurované tehlovým materiál hrúbky cca 30 cm, fasáda kamenné/mramorové dosky. Strecha rovná, so spádom k strešným zvodom, </w:t>
            </w:r>
            <w:proofErr w:type="spellStart"/>
            <w:r w:rsidRPr="00173E33">
              <w:rPr>
                <w:rFonts w:ascii="Century Gothic" w:hAnsi="Century Gothic" w:cs="Arial"/>
                <w:sz w:val="18"/>
                <w:szCs w:val="18"/>
              </w:rPr>
              <w:t>atika</w:t>
            </w:r>
            <w:proofErr w:type="spellEnd"/>
            <w:r w:rsidRPr="00173E33">
              <w:rPr>
                <w:rFonts w:ascii="Century Gothic" w:hAnsi="Century Gothic" w:cs="Arial"/>
                <w:sz w:val="18"/>
                <w:szCs w:val="18"/>
              </w:rPr>
              <w:t xml:space="preserve"> oplechovaná. Strešné plynosilikátové dosky, škvarové násyp a asfaltová strešná krytina. Podlaha pôvodná cca 40 cm betón s dlažbou. Okná/dvere plast, celosklenená fasáda s oceľovým rámom bez prerušeného tepelného mostu</w:t>
            </w:r>
          </w:p>
        </w:tc>
        <w:tc>
          <w:tcPr>
            <w:tcW w:w="4109" w:type="dxa"/>
            <w:shd w:val="clear" w:color="auto" w:fill="BFBFBF" w:themeFill="background1" w:themeFillShade="BF"/>
            <w:noWrap/>
            <w:hideMark/>
          </w:tcPr>
          <w:p w14:paraId="5109D664" w14:textId="44095749" w:rsidR="00CF5780" w:rsidRPr="00173E33" w:rsidRDefault="00CF5780" w:rsidP="00A9020B">
            <w:pPr>
              <w:spacing w:line="240" w:lineRule="auto"/>
              <w:rPr>
                <w:rFonts w:ascii="Century Gothic" w:hAnsi="Century Gothic" w:cs="Arial"/>
                <w:sz w:val="18"/>
                <w:szCs w:val="18"/>
              </w:rPr>
            </w:pPr>
            <w:r w:rsidRPr="00173E33">
              <w:rPr>
                <w:rFonts w:ascii="Century Gothic" w:hAnsi="Century Gothic" w:cs="Arial"/>
                <w:sz w:val="18"/>
                <w:szCs w:val="18"/>
              </w:rPr>
              <w:t>Na objekte polikliniky ktorá bola postavená v roku 1975 boli v roku 2020 vymenené oká za plastové. Avšak kvôli vysokým nákladom, ktoré boli v prieskume trhu stanovené vo výške takmer 400</w:t>
            </w:r>
            <w:r w:rsidR="00A9020B">
              <w:rPr>
                <w:rFonts w:ascii="Century Gothic" w:hAnsi="Century Gothic" w:cs="Arial"/>
                <w:sz w:val="18"/>
                <w:szCs w:val="18"/>
              </w:rPr>
              <w:t xml:space="preserve"> </w:t>
            </w:r>
            <w:r w:rsidRPr="00173E33">
              <w:rPr>
                <w:rFonts w:ascii="Century Gothic" w:hAnsi="Century Gothic" w:cs="Arial"/>
                <w:sz w:val="18"/>
                <w:szCs w:val="18"/>
              </w:rPr>
              <w:t xml:space="preserve">000 </w:t>
            </w:r>
            <w:r w:rsidR="00A9020B">
              <w:rPr>
                <w:rFonts w:ascii="Century Gothic" w:hAnsi="Century Gothic" w:cs="Arial"/>
                <w:sz w:val="18"/>
                <w:szCs w:val="18"/>
              </w:rPr>
              <w:t>E</w:t>
            </w:r>
            <w:r w:rsidRPr="00173E33">
              <w:rPr>
                <w:rFonts w:ascii="Century Gothic" w:hAnsi="Century Gothic" w:cs="Arial"/>
                <w:sz w:val="18"/>
                <w:szCs w:val="18"/>
              </w:rPr>
              <w:t>ur, neboli vymenené celosklenené časti fasády bez prerušenia tepelného mosta s oceľovým rámom. Tieto časti fasády tvoria takmer 1/3 celkovej plochy fasády objektu. Skutočnosť, že objekt je nezateplený, má pôvodnú skladbu strechy  a v kombinácii s </w:t>
            </w:r>
            <w:proofErr w:type="spellStart"/>
            <w:r w:rsidRPr="00173E33">
              <w:rPr>
                <w:rFonts w:ascii="Century Gothic" w:hAnsi="Century Gothic" w:cs="Arial"/>
                <w:sz w:val="18"/>
                <w:szCs w:val="18"/>
              </w:rPr>
              <w:t>celopresklennou</w:t>
            </w:r>
            <w:proofErr w:type="spellEnd"/>
            <w:r w:rsidRPr="00173E33">
              <w:rPr>
                <w:rFonts w:ascii="Century Gothic" w:hAnsi="Century Gothic" w:cs="Arial"/>
                <w:sz w:val="18"/>
                <w:szCs w:val="18"/>
              </w:rPr>
              <w:t xml:space="preserve"> časťou fasády, predstavuje vo veľkej miere zvýšené náklady na vykurovanie a udržanie klimatických podmienok v interiéri objektu. Budova je po statickej stránke bezpečná. Nepozorujeme žiadne deformity na nosných prvkoch. Vnútorné zariadenie objektu je čiastočne obnovené. Odhliadnuc od vykonaných rekonštrukčných a obnovovacích prác je nevyhnutná rekonštrukcia vnútorných inštalácií a rozvodov elektroinštalácie, rozvodov vody a kanalizácie. Nutná je výmena spôsobu vykurovania. Je použité sálavé vykurovanie so zabetónovanými vykurovacími potrubiami "</w:t>
            </w:r>
            <w:proofErr w:type="spellStart"/>
            <w:r w:rsidRPr="00173E33">
              <w:rPr>
                <w:rFonts w:ascii="Century Gothic" w:hAnsi="Century Gothic" w:cs="Arial"/>
                <w:sz w:val="18"/>
                <w:szCs w:val="18"/>
              </w:rPr>
              <w:t>Crital</w:t>
            </w:r>
            <w:proofErr w:type="spellEnd"/>
            <w:r w:rsidRPr="00173E33">
              <w:rPr>
                <w:rFonts w:ascii="Century Gothic" w:hAnsi="Century Gothic" w:cs="Arial"/>
                <w:sz w:val="18"/>
                <w:szCs w:val="18"/>
              </w:rPr>
              <w:t>" v strope jednotlivých podlaží, ktoré vykazuje defekty, nie je možné ho opravovať po sekciách a je nutná jeho výmena za radiátorový vykurovací systém. Je nevyhnutná rekonštrukcia sociálnych zariadení, ktoré sú vo veľkej miere v pôvodnom stave. V prípade rekonštrukcie objektu vyžadujúcej si stavebné konanie bude nutné prepracovať objekt po stránke požiarnej bezpečnosti.</w:t>
            </w:r>
          </w:p>
        </w:tc>
      </w:tr>
      <w:tr w:rsidR="00CF5780" w:rsidRPr="00173E33" w14:paraId="0935A66D" w14:textId="77777777" w:rsidTr="00CF5780">
        <w:trPr>
          <w:trHeight w:val="1224"/>
        </w:trPr>
        <w:tc>
          <w:tcPr>
            <w:tcW w:w="1771" w:type="dxa"/>
            <w:shd w:val="clear" w:color="auto" w:fill="BFBFBF" w:themeFill="background1" w:themeFillShade="BF"/>
            <w:noWrap/>
            <w:hideMark/>
          </w:tcPr>
          <w:p w14:paraId="25E9ED6E"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BUDOVA-NTS, krvná banka</w:t>
            </w:r>
          </w:p>
        </w:tc>
        <w:tc>
          <w:tcPr>
            <w:tcW w:w="567" w:type="dxa"/>
            <w:shd w:val="clear" w:color="auto" w:fill="BFBFBF" w:themeFill="background1" w:themeFillShade="BF"/>
            <w:noWrap/>
            <w:hideMark/>
          </w:tcPr>
          <w:p w14:paraId="1A465BC6"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1955</w:t>
            </w:r>
          </w:p>
        </w:tc>
        <w:tc>
          <w:tcPr>
            <w:tcW w:w="567" w:type="dxa"/>
            <w:shd w:val="clear" w:color="auto" w:fill="BFBFBF" w:themeFill="background1" w:themeFillShade="BF"/>
            <w:noWrap/>
            <w:hideMark/>
          </w:tcPr>
          <w:p w14:paraId="183B6C7F"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1955</w:t>
            </w:r>
          </w:p>
        </w:tc>
        <w:tc>
          <w:tcPr>
            <w:tcW w:w="2908" w:type="dxa"/>
            <w:shd w:val="clear" w:color="auto" w:fill="BFBFBF" w:themeFill="background1" w:themeFillShade="BF"/>
            <w:hideMark/>
          </w:tcPr>
          <w:p w14:paraId="3ABE10C0" w14:textId="2B63A7C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v pôvodnom stave, celková podlahová plocha cca 1000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s konštrukčnou výškou cca 3,5 m je samostatná budova tehlovej konštrukcie cca hr. 40 cm bez zateplenia. Strecha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Heraklit,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bez zateplenia. Podlaha pôvodná cca</w:t>
            </w:r>
            <w:r w:rsidR="00A9020B">
              <w:rPr>
                <w:rFonts w:ascii="Century Gothic" w:hAnsi="Century Gothic" w:cs="Arial"/>
                <w:sz w:val="18"/>
                <w:szCs w:val="18"/>
              </w:rPr>
              <w:t>.</w:t>
            </w:r>
            <w:r w:rsidRPr="00173E33">
              <w:rPr>
                <w:rFonts w:ascii="Century Gothic" w:hAnsi="Century Gothic" w:cs="Arial"/>
                <w:sz w:val="18"/>
                <w:szCs w:val="18"/>
              </w:rPr>
              <w:t xml:space="preserve"> 30 cm betón s dlažbou. Okná/dvere pôvodné kov a plast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28957852"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postavený v roku 1955 je v pôvodnom stave. Na objekte boli vykonávané iba nutné udržiavacie práce. Okná sú pôvodné drevené. Povrchové úpravy stien a podláh sú vo väčšine objektu pôvodné. Objekt je nezateplený s pôvodnou strešnou krytinou v havarijnom stave. V havarijnom stave sú aj rozvody vody, kanalizácie a elektroinštalácie. V prípade potreby aktívneho užívania celého objektu je nevyhnutná jej rekonštrukcia.   </w:t>
            </w:r>
          </w:p>
        </w:tc>
      </w:tr>
      <w:tr w:rsidR="00CF5780" w:rsidRPr="00173E33" w14:paraId="5F802925" w14:textId="77777777" w:rsidTr="00CF5780">
        <w:trPr>
          <w:trHeight w:val="1428"/>
        </w:trPr>
        <w:tc>
          <w:tcPr>
            <w:tcW w:w="1771" w:type="dxa"/>
            <w:shd w:val="clear" w:color="auto" w:fill="BFBFBF" w:themeFill="background1" w:themeFillShade="BF"/>
            <w:noWrap/>
            <w:hideMark/>
          </w:tcPr>
          <w:p w14:paraId="6A3E65C2" w14:textId="77777777" w:rsidR="00CF5780" w:rsidRPr="002679C1" w:rsidRDefault="00CF5780" w:rsidP="00CF5780">
            <w:pPr>
              <w:spacing w:line="240" w:lineRule="auto"/>
              <w:jc w:val="left"/>
              <w:rPr>
                <w:rFonts w:ascii="Century Gothic" w:hAnsi="Century Gothic" w:cs="Arial"/>
                <w:b/>
                <w:sz w:val="18"/>
                <w:szCs w:val="18"/>
              </w:rPr>
            </w:pPr>
            <w:r w:rsidRPr="002679C1">
              <w:rPr>
                <w:rFonts w:ascii="Century Gothic" w:hAnsi="Century Gothic" w:cs="Arial"/>
                <w:b/>
                <w:color w:val="FF0000"/>
                <w:sz w:val="18"/>
                <w:szCs w:val="18"/>
              </w:rPr>
              <w:t>BUDOVA PATOLÓGIE</w:t>
            </w:r>
          </w:p>
        </w:tc>
        <w:tc>
          <w:tcPr>
            <w:tcW w:w="567" w:type="dxa"/>
            <w:shd w:val="clear" w:color="auto" w:fill="BFBFBF" w:themeFill="background1" w:themeFillShade="BF"/>
            <w:noWrap/>
            <w:hideMark/>
          </w:tcPr>
          <w:p w14:paraId="76D2AC39"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1981</w:t>
            </w:r>
          </w:p>
        </w:tc>
        <w:tc>
          <w:tcPr>
            <w:tcW w:w="567" w:type="dxa"/>
            <w:shd w:val="clear" w:color="auto" w:fill="BFBFBF" w:themeFill="background1" w:themeFillShade="BF"/>
            <w:noWrap/>
            <w:hideMark/>
          </w:tcPr>
          <w:p w14:paraId="0B26045E"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1981</w:t>
            </w:r>
          </w:p>
        </w:tc>
        <w:tc>
          <w:tcPr>
            <w:tcW w:w="2908" w:type="dxa"/>
            <w:shd w:val="clear" w:color="auto" w:fill="BFBFBF" w:themeFill="background1" w:themeFillShade="BF"/>
            <w:hideMark/>
          </w:tcPr>
          <w:p w14:paraId="4C822ECA" w14:textId="780B958F"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v pôvodnom stave, celková podlahová plocha cca 2000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a 3NP s konštrukčnou výškou cca</w:t>
            </w:r>
            <w:r w:rsidR="00A9020B">
              <w:rPr>
                <w:rFonts w:ascii="Century Gothic" w:hAnsi="Century Gothic" w:cs="Arial"/>
                <w:sz w:val="18"/>
                <w:szCs w:val="18"/>
              </w:rPr>
              <w:t>.</w:t>
            </w:r>
            <w:r w:rsidRPr="00173E33">
              <w:rPr>
                <w:rFonts w:ascii="Century Gothic" w:hAnsi="Century Gothic" w:cs="Arial"/>
                <w:sz w:val="18"/>
                <w:szCs w:val="18"/>
              </w:rPr>
              <w:t xml:space="preserve"> 3,5 m je samostatná budova tehlovej konštrukcie cca hr. 40 cm, keramický obklad fasády bez zateplenia. Strecha rovná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Heraklit,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xml:space="preserve">, </w:t>
            </w:r>
            <w:r w:rsidRPr="00173E33">
              <w:rPr>
                <w:rFonts w:ascii="Century Gothic" w:hAnsi="Century Gothic" w:cs="Arial"/>
                <w:sz w:val="18"/>
                <w:szCs w:val="18"/>
              </w:rPr>
              <w:lastRenderedPageBreak/>
              <w:t>bez zateplenia. Podlaha pôvodná cca</w:t>
            </w:r>
            <w:r w:rsidR="00A9020B">
              <w:rPr>
                <w:rFonts w:ascii="Century Gothic" w:hAnsi="Century Gothic" w:cs="Arial"/>
                <w:sz w:val="18"/>
                <w:szCs w:val="18"/>
              </w:rPr>
              <w:t>.</w:t>
            </w:r>
            <w:r w:rsidRPr="00173E33">
              <w:rPr>
                <w:rFonts w:ascii="Century Gothic" w:hAnsi="Century Gothic" w:cs="Arial"/>
                <w:sz w:val="18"/>
                <w:szCs w:val="18"/>
              </w:rPr>
              <w:t xml:space="preserve"> 30 cm betón s dlažbou. Okná/dvere pôvodné kov a 1NP plast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3949CE67"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lastRenderedPageBreak/>
              <w:t xml:space="preserve">Objekt postavený v roku 1981 prešiel za ostatnú dekádu rôznymi čiastočnými obnovami a rekonštrukciami. Budova je nezateplená nezatepleným strešným plášťom. Okná sú na približne polovici objektu vymenené za plastové. Zvyšok okien je v pôvodnom stave vyžadujúce výmenu. Statika objektu nevykazuje žiadne defekty. Podlahové krytiny na približne polovičnej </w:t>
            </w:r>
            <w:r w:rsidRPr="00173E33">
              <w:rPr>
                <w:rFonts w:ascii="Century Gothic" w:hAnsi="Century Gothic" w:cs="Arial"/>
                <w:sz w:val="18"/>
                <w:szCs w:val="18"/>
              </w:rPr>
              <w:lastRenderedPageBreak/>
              <w:t xml:space="preserve">výmere pôdorysnej plochy je v pôvodnom stave a vyžaduje si bezodkladnú výmenu. Rozvody inštalácií sú v primeranom stave. </w:t>
            </w:r>
          </w:p>
        </w:tc>
      </w:tr>
      <w:tr w:rsidR="00CF5780" w:rsidRPr="00173E33" w14:paraId="64B8CA14" w14:textId="77777777" w:rsidTr="00CF5780">
        <w:trPr>
          <w:trHeight w:val="204"/>
        </w:trPr>
        <w:tc>
          <w:tcPr>
            <w:tcW w:w="1771" w:type="dxa"/>
            <w:shd w:val="clear" w:color="auto" w:fill="BFBFBF" w:themeFill="background1" w:themeFillShade="BF"/>
            <w:noWrap/>
            <w:hideMark/>
          </w:tcPr>
          <w:p w14:paraId="52B76794"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lastRenderedPageBreak/>
              <w:t>HOSPOD.STAV.-STOL.DIELŇA</w:t>
            </w:r>
          </w:p>
        </w:tc>
        <w:tc>
          <w:tcPr>
            <w:tcW w:w="567" w:type="dxa"/>
            <w:shd w:val="clear" w:color="auto" w:fill="BFBFBF" w:themeFill="background1" w:themeFillShade="BF"/>
            <w:noWrap/>
            <w:hideMark/>
          </w:tcPr>
          <w:p w14:paraId="610D6B43"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1937</w:t>
            </w:r>
          </w:p>
        </w:tc>
        <w:tc>
          <w:tcPr>
            <w:tcW w:w="567" w:type="dxa"/>
            <w:shd w:val="clear" w:color="auto" w:fill="BFBFBF" w:themeFill="background1" w:themeFillShade="BF"/>
            <w:noWrap/>
            <w:hideMark/>
          </w:tcPr>
          <w:p w14:paraId="5AD8C2A7"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1937</w:t>
            </w:r>
          </w:p>
        </w:tc>
        <w:tc>
          <w:tcPr>
            <w:tcW w:w="2908" w:type="dxa"/>
            <w:shd w:val="clear" w:color="auto" w:fill="BFBFBF" w:themeFill="background1" w:themeFillShade="BF"/>
            <w:noWrap/>
            <w:hideMark/>
          </w:tcPr>
          <w:p w14:paraId="48B06E4A"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3383DCC2"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z roku 1937 je v súčasnosti využívaný ako garáž pre manipulačnú a záhradnú techniku. Objekt je nezateplený s pôvodnými oknami. V roku 2021 prebehla rekonštrukcia strešného plášťa o oprava prvkov krovu. Inštalácie v objekte sú pôvodné. Technický stav je adekvátny k spôsobu využívania.  </w:t>
            </w:r>
          </w:p>
        </w:tc>
      </w:tr>
      <w:tr w:rsidR="00CF5780" w:rsidRPr="00173E33" w14:paraId="46505ACF" w14:textId="77777777" w:rsidTr="00CF5780">
        <w:trPr>
          <w:trHeight w:val="204"/>
        </w:trPr>
        <w:tc>
          <w:tcPr>
            <w:tcW w:w="1771" w:type="dxa"/>
            <w:shd w:val="clear" w:color="auto" w:fill="BFBFBF" w:themeFill="background1" w:themeFillShade="BF"/>
            <w:noWrap/>
            <w:hideMark/>
          </w:tcPr>
          <w:p w14:paraId="202D45AC"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 xml:space="preserve">BUDOVA </w:t>
            </w:r>
            <w:proofErr w:type="spellStart"/>
            <w:r w:rsidRPr="00173E33">
              <w:rPr>
                <w:rFonts w:ascii="Century Gothic" w:hAnsi="Century Gothic" w:cs="Arial"/>
                <w:sz w:val="18"/>
                <w:szCs w:val="18"/>
              </w:rPr>
              <w:t>VšZP</w:t>
            </w:r>
            <w:proofErr w:type="spellEnd"/>
            <w:r w:rsidRPr="00173E33">
              <w:rPr>
                <w:rFonts w:ascii="Century Gothic" w:hAnsi="Century Gothic" w:cs="Arial"/>
                <w:sz w:val="18"/>
                <w:szCs w:val="18"/>
              </w:rPr>
              <w:t xml:space="preserve"> DOLNY KUBIN</w:t>
            </w:r>
          </w:p>
        </w:tc>
        <w:tc>
          <w:tcPr>
            <w:tcW w:w="567" w:type="dxa"/>
            <w:shd w:val="clear" w:color="auto" w:fill="BFBFBF" w:themeFill="background1" w:themeFillShade="BF"/>
            <w:noWrap/>
            <w:hideMark/>
          </w:tcPr>
          <w:p w14:paraId="03D69A40"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0</w:t>
            </w:r>
          </w:p>
        </w:tc>
        <w:tc>
          <w:tcPr>
            <w:tcW w:w="567" w:type="dxa"/>
            <w:shd w:val="clear" w:color="auto" w:fill="BFBFBF" w:themeFill="background1" w:themeFillShade="BF"/>
            <w:noWrap/>
            <w:hideMark/>
          </w:tcPr>
          <w:p w14:paraId="5AE836A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2006</w:t>
            </w:r>
          </w:p>
        </w:tc>
        <w:tc>
          <w:tcPr>
            <w:tcW w:w="2908" w:type="dxa"/>
            <w:shd w:val="clear" w:color="auto" w:fill="BFBFBF" w:themeFill="background1" w:themeFillShade="BF"/>
            <w:noWrap/>
            <w:hideMark/>
          </w:tcPr>
          <w:p w14:paraId="1985A7B8"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37800BC5"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je vo veľmi dobrom technickom stave. Objekt je zateplený, okná sú plastové. Objekt má samostatné plynové kúrenie. Inštalácie a zariadenie je vo vyhovujúcom stave schopnom prevádzky. </w:t>
            </w:r>
          </w:p>
        </w:tc>
      </w:tr>
      <w:tr w:rsidR="00CF5780" w:rsidRPr="00173E33" w14:paraId="2E84B8FD" w14:textId="77777777" w:rsidTr="00CF5780">
        <w:trPr>
          <w:trHeight w:val="204"/>
        </w:trPr>
        <w:tc>
          <w:tcPr>
            <w:tcW w:w="1771" w:type="dxa"/>
            <w:shd w:val="clear" w:color="auto" w:fill="BFBFBF" w:themeFill="background1" w:themeFillShade="BF"/>
            <w:noWrap/>
            <w:hideMark/>
          </w:tcPr>
          <w:p w14:paraId="13B893AA"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GARÁŽ</w:t>
            </w:r>
          </w:p>
        </w:tc>
        <w:tc>
          <w:tcPr>
            <w:tcW w:w="567" w:type="dxa"/>
            <w:shd w:val="clear" w:color="auto" w:fill="BFBFBF" w:themeFill="background1" w:themeFillShade="BF"/>
            <w:noWrap/>
            <w:hideMark/>
          </w:tcPr>
          <w:p w14:paraId="2B0599C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2002</w:t>
            </w:r>
          </w:p>
        </w:tc>
        <w:tc>
          <w:tcPr>
            <w:tcW w:w="567" w:type="dxa"/>
            <w:shd w:val="clear" w:color="auto" w:fill="BFBFBF" w:themeFill="background1" w:themeFillShade="BF"/>
            <w:noWrap/>
            <w:hideMark/>
          </w:tcPr>
          <w:p w14:paraId="10E949E7"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2006</w:t>
            </w:r>
          </w:p>
        </w:tc>
        <w:tc>
          <w:tcPr>
            <w:tcW w:w="2908" w:type="dxa"/>
            <w:shd w:val="clear" w:color="auto" w:fill="BFBFBF" w:themeFill="background1" w:themeFillShade="BF"/>
            <w:noWrap/>
            <w:hideMark/>
          </w:tcPr>
          <w:p w14:paraId="60C4D7E4"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7A9B2FC6"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 Technický stav je adekvátny k spôsobu využívania. Samostatne stojaci objekt pri budove VŠZP Dolný Kubín. V súčasnej dobe nevyužívaný. </w:t>
            </w:r>
          </w:p>
        </w:tc>
      </w:tr>
      <w:tr w:rsidR="00CF5780" w:rsidRPr="00173E33" w14:paraId="5285C88C" w14:textId="77777777" w:rsidTr="00CF5780">
        <w:trPr>
          <w:trHeight w:val="204"/>
        </w:trPr>
        <w:tc>
          <w:tcPr>
            <w:tcW w:w="1771" w:type="dxa"/>
            <w:shd w:val="clear" w:color="auto" w:fill="BFBFBF" w:themeFill="background1" w:themeFillShade="BF"/>
            <w:noWrap/>
            <w:hideMark/>
          </w:tcPr>
          <w:p w14:paraId="34B997B4"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BUDOVA LZS</w:t>
            </w:r>
          </w:p>
        </w:tc>
        <w:tc>
          <w:tcPr>
            <w:tcW w:w="567" w:type="dxa"/>
            <w:shd w:val="clear" w:color="auto" w:fill="BFBFBF" w:themeFill="background1" w:themeFillShade="BF"/>
            <w:noWrap/>
            <w:hideMark/>
          </w:tcPr>
          <w:p w14:paraId="4EFDAD6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1968</w:t>
            </w:r>
          </w:p>
        </w:tc>
        <w:tc>
          <w:tcPr>
            <w:tcW w:w="567" w:type="dxa"/>
            <w:shd w:val="clear" w:color="auto" w:fill="BFBFBF" w:themeFill="background1" w:themeFillShade="BF"/>
            <w:noWrap/>
            <w:hideMark/>
          </w:tcPr>
          <w:p w14:paraId="74F24086"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1968</w:t>
            </w:r>
          </w:p>
        </w:tc>
        <w:tc>
          <w:tcPr>
            <w:tcW w:w="2908" w:type="dxa"/>
            <w:shd w:val="clear" w:color="auto" w:fill="BFBFBF" w:themeFill="background1" w:themeFillShade="BF"/>
            <w:noWrap/>
            <w:hideMark/>
          </w:tcPr>
          <w:p w14:paraId="0CA25B67"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4B9948AC"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 Objekt LZS bol pôvodne využívaný ako vrátnica do areálu FNSP ZA. Po zmene riešenia dopravnej situácie a vybudovaní nového vjazdu bol objekt využívaný ako budova LZS. V súčasnej dobe je objekt nevyužívaný. Objekt je v pôvodnom stave. Technický stav je primeraný svojmu veku a vykonávaným udržiavacím prácam. </w:t>
            </w:r>
          </w:p>
        </w:tc>
      </w:tr>
      <w:tr w:rsidR="00CF5780" w:rsidRPr="00173E33" w14:paraId="16045448" w14:textId="77777777" w:rsidTr="00CF5780">
        <w:trPr>
          <w:trHeight w:val="204"/>
        </w:trPr>
        <w:tc>
          <w:tcPr>
            <w:tcW w:w="1771" w:type="dxa"/>
            <w:shd w:val="clear" w:color="auto" w:fill="BFBFBF" w:themeFill="background1" w:themeFillShade="BF"/>
            <w:noWrap/>
            <w:hideMark/>
          </w:tcPr>
          <w:p w14:paraId="716B896F"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VSTUPNÁ VRÁTNICA</w:t>
            </w:r>
          </w:p>
        </w:tc>
        <w:tc>
          <w:tcPr>
            <w:tcW w:w="567" w:type="dxa"/>
            <w:shd w:val="clear" w:color="auto" w:fill="BFBFBF" w:themeFill="background1" w:themeFillShade="BF"/>
            <w:noWrap/>
            <w:hideMark/>
          </w:tcPr>
          <w:p w14:paraId="45845AB7"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1976</w:t>
            </w:r>
          </w:p>
        </w:tc>
        <w:tc>
          <w:tcPr>
            <w:tcW w:w="567" w:type="dxa"/>
            <w:shd w:val="clear" w:color="auto" w:fill="BFBFBF" w:themeFill="background1" w:themeFillShade="BF"/>
            <w:noWrap/>
            <w:hideMark/>
          </w:tcPr>
          <w:p w14:paraId="0198EDD5"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1976</w:t>
            </w:r>
          </w:p>
        </w:tc>
        <w:tc>
          <w:tcPr>
            <w:tcW w:w="2908" w:type="dxa"/>
            <w:shd w:val="clear" w:color="auto" w:fill="BFBFBF" w:themeFill="background1" w:themeFillShade="BF"/>
            <w:noWrap/>
            <w:hideMark/>
          </w:tcPr>
          <w:p w14:paraId="62E8C591"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 Objekt v pôvodnom stave, celková podlahová plocha cca 500 m2 s konštrukčnou výškou cca 3,5 m je samostatná budova tehlovej konštrukcie, keramický obklad fasády bez zateplenia. Strecha rovná,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Podlaha pôvodná cca 30 cm betón s dlažbou. Okná/dvere pôvodné kov a čiastočne plast s </w:t>
            </w:r>
            <w:proofErr w:type="spellStart"/>
            <w:r w:rsidRPr="00173E33">
              <w:rPr>
                <w:rFonts w:ascii="Century Gothic" w:hAnsi="Century Gothic" w:cs="Arial"/>
                <w:sz w:val="18"/>
                <w:szCs w:val="18"/>
              </w:rPr>
              <w:t>dvojsklom</w:t>
            </w:r>
            <w:proofErr w:type="spellEnd"/>
            <w:r w:rsidRPr="00173E33">
              <w:rPr>
                <w:rFonts w:ascii="Century Gothic" w:hAnsi="Century Gothic" w:cs="Arial"/>
                <w:sz w:val="18"/>
                <w:szCs w:val="18"/>
              </w:rPr>
              <w:t>.</w:t>
            </w:r>
          </w:p>
        </w:tc>
        <w:tc>
          <w:tcPr>
            <w:tcW w:w="4109" w:type="dxa"/>
            <w:shd w:val="clear" w:color="auto" w:fill="BFBFBF" w:themeFill="background1" w:themeFillShade="BF"/>
            <w:noWrap/>
            <w:hideMark/>
          </w:tcPr>
          <w:p w14:paraId="16F02691"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 Objekt z roku 1976 slúži ako vstupná vrátnica pre peších. Súčasťou objektu je oddelenie OAISS a telefónna ústredňa. V roku 2018 sa uskutočnila rekonštrukcia strešného plášťa vrátane tepelnej izolácie plášťa. Objekt je čiastočne zrekonštruovaný. Staticky stabilný bez viditeľných defektov na nosnej konštrukcii. Rozvody vody a kanalizácie sú v primeranom stave. Vnútorné vybavenie primerané veku a spôsobu využívania. </w:t>
            </w:r>
          </w:p>
        </w:tc>
      </w:tr>
      <w:tr w:rsidR="00CF5780" w:rsidRPr="00173E33" w14:paraId="677949CA" w14:textId="77777777" w:rsidTr="00CF5780">
        <w:trPr>
          <w:trHeight w:val="1224"/>
        </w:trPr>
        <w:tc>
          <w:tcPr>
            <w:tcW w:w="1771" w:type="dxa"/>
            <w:shd w:val="clear" w:color="auto" w:fill="BFBFBF" w:themeFill="background1" w:themeFillShade="BF"/>
            <w:noWrap/>
            <w:hideMark/>
          </w:tcPr>
          <w:p w14:paraId="3F220C32"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ÚSTAVNÁ KUCHYŇA</w:t>
            </w:r>
          </w:p>
        </w:tc>
        <w:tc>
          <w:tcPr>
            <w:tcW w:w="567" w:type="dxa"/>
            <w:shd w:val="clear" w:color="auto" w:fill="BFBFBF" w:themeFill="background1" w:themeFillShade="BF"/>
            <w:noWrap/>
            <w:hideMark/>
          </w:tcPr>
          <w:p w14:paraId="183AC34B"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1959</w:t>
            </w:r>
          </w:p>
        </w:tc>
        <w:tc>
          <w:tcPr>
            <w:tcW w:w="567" w:type="dxa"/>
            <w:shd w:val="clear" w:color="auto" w:fill="BFBFBF" w:themeFill="background1" w:themeFillShade="BF"/>
            <w:noWrap/>
            <w:hideMark/>
          </w:tcPr>
          <w:p w14:paraId="2162C1A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1960</w:t>
            </w:r>
          </w:p>
        </w:tc>
        <w:tc>
          <w:tcPr>
            <w:tcW w:w="2908" w:type="dxa"/>
            <w:shd w:val="clear" w:color="auto" w:fill="BFBFBF" w:themeFill="background1" w:themeFillShade="BF"/>
            <w:hideMark/>
          </w:tcPr>
          <w:p w14:paraId="64AC005A" w14:textId="08EAF2CB"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Objekt v pôvodnom stave, celková podlahová plocha cca 1000 m</w:t>
            </w:r>
            <w:r w:rsidRPr="00A9020B">
              <w:rPr>
                <w:rFonts w:ascii="Century Gothic" w:hAnsi="Century Gothic" w:cs="Arial"/>
                <w:sz w:val="18"/>
                <w:szCs w:val="18"/>
                <w:vertAlign w:val="superscript"/>
              </w:rPr>
              <w:t>2</w:t>
            </w:r>
            <w:r w:rsidRPr="00173E33">
              <w:rPr>
                <w:rFonts w:ascii="Century Gothic" w:hAnsi="Century Gothic" w:cs="Arial"/>
                <w:sz w:val="18"/>
                <w:szCs w:val="18"/>
              </w:rPr>
              <w:t xml:space="preserve"> a 1-3NP s konštrukčnou výškou cca</w:t>
            </w:r>
            <w:r w:rsidR="00A9020B">
              <w:rPr>
                <w:rFonts w:ascii="Century Gothic" w:hAnsi="Century Gothic" w:cs="Arial"/>
                <w:sz w:val="18"/>
                <w:szCs w:val="18"/>
              </w:rPr>
              <w:t>.</w:t>
            </w:r>
            <w:r w:rsidRPr="00173E33">
              <w:rPr>
                <w:rFonts w:ascii="Century Gothic" w:hAnsi="Century Gothic" w:cs="Arial"/>
                <w:sz w:val="18"/>
                <w:szCs w:val="18"/>
              </w:rPr>
              <w:t xml:space="preserve"> 3,5 m je samostatná budova tehlovej konštrukcie cca hr. 40 cm, keramický obklad fasády bez zateplenia. Strecha rovná </w:t>
            </w:r>
            <w:proofErr w:type="spellStart"/>
            <w:r w:rsidRPr="00173E33">
              <w:rPr>
                <w:rFonts w:ascii="Century Gothic" w:hAnsi="Century Gothic" w:cs="Arial"/>
                <w:sz w:val="18"/>
                <w:szCs w:val="18"/>
              </w:rPr>
              <w:t>žb</w:t>
            </w:r>
            <w:proofErr w:type="spellEnd"/>
            <w:r w:rsidRPr="00173E33">
              <w:rPr>
                <w:rFonts w:ascii="Century Gothic" w:hAnsi="Century Gothic" w:cs="Arial"/>
                <w:sz w:val="18"/>
                <w:szCs w:val="18"/>
              </w:rPr>
              <w:t xml:space="preserve"> panely, Heraklit, </w:t>
            </w:r>
            <w:proofErr w:type="spellStart"/>
            <w:r w:rsidRPr="00173E33">
              <w:rPr>
                <w:rFonts w:ascii="Century Gothic" w:hAnsi="Century Gothic" w:cs="Arial"/>
                <w:sz w:val="18"/>
                <w:szCs w:val="18"/>
              </w:rPr>
              <w:t>škvárobetón</w:t>
            </w:r>
            <w:proofErr w:type="spellEnd"/>
            <w:r w:rsidRPr="00173E33">
              <w:rPr>
                <w:rFonts w:ascii="Century Gothic" w:hAnsi="Century Gothic" w:cs="Arial"/>
                <w:sz w:val="18"/>
                <w:szCs w:val="18"/>
              </w:rPr>
              <w:t xml:space="preserve">, bez zateplenia. Podlaha pôvodná cca 30 cm betón s dlažbou. Okná/dvere pôvodné kov a plast s </w:t>
            </w:r>
            <w:proofErr w:type="spellStart"/>
            <w:r w:rsidRPr="00173E33">
              <w:rPr>
                <w:rFonts w:ascii="Century Gothic" w:hAnsi="Century Gothic" w:cs="Arial"/>
                <w:sz w:val="18"/>
                <w:szCs w:val="18"/>
              </w:rPr>
              <w:t>dvojsklom</w:t>
            </w:r>
            <w:proofErr w:type="spellEnd"/>
          </w:p>
        </w:tc>
        <w:tc>
          <w:tcPr>
            <w:tcW w:w="4109" w:type="dxa"/>
            <w:shd w:val="clear" w:color="auto" w:fill="BFBFBF" w:themeFill="background1" w:themeFillShade="BF"/>
            <w:noWrap/>
            <w:hideMark/>
          </w:tcPr>
          <w:p w14:paraId="359670FC"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ústavnej kuchyne je </w:t>
            </w:r>
            <w:bookmarkStart w:id="125" w:name="_Hlk92965576"/>
            <w:r w:rsidRPr="00173E33">
              <w:rPr>
                <w:rFonts w:ascii="Century Gothic" w:hAnsi="Century Gothic" w:cs="Arial"/>
                <w:sz w:val="18"/>
                <w:szCs w:val="18"/>
              </w:rPr>
              <w:t>v dobrom technickom stave primeranom k veku budovy, spôsobu využívania a jej údržbe. Objekt je nezateplený s pôvodnou strešnou krytinou. Nášľapné vrstvy najmä v suterénnej časti vykazujú drobné defekty. Elektroinštalácia, rozvody vody a kanalizácia sú v primeranom stave</w:t>
            </w:r>
            <w:bookmarkEnd w:id="125"/>
            <w:r w:rsidRPr="00173E33">
              <w:rPr>
                <w:rFonts w:ascii="Century Gothic" w:hAnsi="Century Gothic" w:cs="Arial"/>
                <w:sz w:val="18"/>
                <w:szCs w:val="18"/>
              </w:rPr>
              <w:t xml:space="preserve">. Vzduchotechnika je podpriemernej výkonnosti. Je potrebné zateplenie objektu a výmena výplní otvorov. Pre zabezpečenie vhodných mikroklimatických podmienok pre prácu je potrebná rekonštrukcia vzduchotechnických zariadení.  Objekt po statickej stránke nevykazuje vady. </w:t>
            </w:r>
          </w:p>
        </w:tc>
      </w:tr>
      <w:tr w:rsidR="00CF5780" w:rsidRPr="00173E33" w14:paraId="5A19DF5E" w14:textId="77777777" w:rsidTr="00CF5780">
        <w:trPr>
          <w:trHeight w:val="204"/>
        </w:trPr>
        <w:tc>
          <w:tcPr>
            <w:tcW w:w="1771" w:type="dxa"/>
            <w:shd w:val="clear" w:color="auto" w:fill="BFBFBF" w:themeFill="background1" w:themeFillShade="BF"/>
            <w:noWrap/>
            <w:hideMark/>
          </w:tcPr>
          <w:p w14:paraId="3310A6D8"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SOCIÁLNE A UBYT. ZARIADENIE</w:t>
            </w:r>
          </w:p>
        </w:tc>
        <w:tc>
          <w:tcPr>
            <w:tcW w:w="567" w:type="dxa"/>
            <w:shd w:val="clear" w:color="auto" w:fill="BFBFBF" w:themeFill="background1" w:themeFillShade="BF"/>
            <w:noWrap/>
            <w:hideMark/>
          </w:tcPr>
          <w:p w14:paraId="20DD8BDB"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2002</w:t>
            </w:r>
          </w:p>
        </w:tc>
        <w:tc>
          <w:tcPr>
            <w:tcW w:w="567" w:type="dxa"/>
            <w:shd w:val="clear" w:color="auto" w:fill="BFBFBF" w:themeFill="background1" w:themeFillShade="BF"/>
            <w:noWrap/>
            <w:hideMark/>
          </w:tcPr>
          <w:p w14:paraId="6E4B0CCC"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2010</w:t>
            </w:r>
          </w:p>
        </w:tc>
        <w:tc>
          <w:tcPr>
            <w:tcW w:w="2908" w:type="dxa"/>
            <w:shd w:val="clear" w:color="auto" w:fill="BFBFBF" w:themeFill="background1" w:themeFillShade="BF"/>
            <w:noWrap/>
            <w:hideMark/>
          </w:tcPr>
          <w:p w14:paraId="5036EFCF"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669AC239"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Sociálne a ubytovacie zariadenie je samostatne stojaci objekt s vlastným elektrickým vykurovaním, čističkou odpadových vôd napojenou na recipient. Objekt postavený v roku 2002 je technicky v dobrom stave. Vnútorná inštalácia objektu j </w:t>
            </w:r>
            <w:r w:rsidRPr="00173E33">
              <w:rPr>
                <w:rFonts w:ascii="Century Gothic" w:hAnsi="Century Gothic" w:cs="Arial"/>
                <w:sz w:val="18"/>
                <w:szCs w:val="18"/>
              </w:rPr>
              <w:lastRenderedPageBreak/>
              <w:t xml:space="preserve">e vo vyhovujúcom stave primeranom veku objektu. </w:t>
            </w:r>
          </w:p>
        </w:tc>
      </w:tr>
      <w:tr w:rsidR="00CF5780" w:rsidRPr="00173E33" w14:paraId="75D1855B" w14:textId="77777777" w:rsidTr="00CF5780">
        <w:trPr>
          <w:trHeight w:val="204"/>
        </w:trPr>
        <w:tc>
          <w:tcPr>
            <w:tcW w:w="1771" w:type="dxa"/>
            <w:shd w:val="clear" w:color="auto" w:fill="BFBFBF" w:themeFill="background1" w:themeFillShade="BF"/>
            <w:noWrap/>
            <w:hideMark/>
          </w:tcPr>
          <w:p w14:paraId="2D9B111C"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lastRenderedPageBreak/>
              <w:t>BUD.KOTOLNE</w:t>
            </w:r>
          </w:p>
        </w:tc>
        <w:tc>
          <w:tcPr>
            <w:tcW w:w="567" w:type="dxa"/>
            <w:shd w:val="clear" w:color="auto" w:fill="BFBFBF" w:themeFill="background1" w:themeFillShade="BF"/>
            <w:noWrap/>
            <w:hideMark/>
          </w:tcPr>
          <w:p w14:paraId="30EC319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1931</w:t>
            </w:r>
          </w:p>
        </w:tc>
        <w:tc>
          <w:tcPr>
            <w:tcW w:w="567" w:type="dxa"/>
            <w:shd w:val="clear" w:color="auto" w:fill="BFBFBF" w:themeFill="background1" w:themeFillShade="BF"/>
            <w:noWrap/>
            <w:hideMark/>
          </w:tcPr>
          <w:p w14:paraId="70376690"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1955</w:t>
            </w:r>
          </w:p>
        </w:tc>
        <w:tc>
          <w:tcPr>
            <w:tcW w:w="2908" w:type="dxa"/>
            <w:shd w:val="clear" w:color="auto" w:fill="BFBFBF" w:themeFill="background1" w:themeFillShade="BF"/>
            <w:noWrap/>
            <w:hideMark/>
          </w:tcPr>
          <w:p w14:paraId="1866940E"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324AACBC"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Murovaný objekt postavený v roku 1931 v adekvátnom technickom stave primeranom k veku budovy, spôsobu využívania a jej údržbe. Objekt je nezateplený s pôvodnou strešnou krytinou. Nášľapné vrstvy podláh vykazujú drobné defekty. Elektroinštalácia, rozvody vody a kanalizácia sú v primeranom stave</w:t>
            </w:r>
          </w:p>
        </w:tc>
      </w:tr>
      <w:tr w:rsidR="00CF5780" w:rsidRPr="00173E33" w14:paraId="58C2481B" w14:textId="77777777" w:rsidTr="00CF5780">
        <w:trPr>
          <w:trHeight w:val="204"/>
        </w:trPr>
        <w:tc>
          <w:tcPr>
            <w:tcW w:w="1771" w:type="dxa"/>
            <w:shd w:val="clear" w:color="auto" w:fill="BFBFBF" w:themeFill="background1" w:themeFillShade="BF"/>
            <w:noWrap/>
            <w:hideMark/>
          </w:tcPr>
          <w:p w14:paraId="01F5E4D4"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TRAFOSTANICA K SLOB.</w:t>
            </w:r>
          </w:p>
        </w:tc>
        <w:tc>
          <w:tcPr>
            <w:tcW w:w="567" w:type="dxa"/>
            <w:shd w:val="clear" w:color="auto" w:fill="BFBFBF" w:themeFill="background1" w:themeFillShade="BF"/>
            <w:noWrap/>
            <w:hideMark/>
          </w:tcPr>
          <w:p w14:paraId="51585ABA"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1978</w:t>
            </w:r>
          </w:p>
        </w:tc>
        <w:tc>
          <w:tcPr>
            <w:tcW w:w="567" w:type="dxa"/>
            <w:shd w:val="clear" w:color="auto" w:fill="BFBFBF" w:themeFill="background1" w:themeFillShade="BF"/>
            <w:noWrap/>
            <w:hideMark/>
          </w:tcPr>
          <w:p w14:paraId="459D76E0"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1978</w:t>
            </w:r>
          </w:p>
        </w:tc>
        <w:tc>
          <w:tcPr>
            <w:tcW w:w="2908" w:type="dxa"/>
            <w:shd w:val="clear" w:color="auto" w:fill="BFBFBF" w:themeFill="background1" w:themeFillShade="BF"/>
            <w:noWrap/>
            <w:hideMark/>
          </w:tcPr>
          <w:p w14:paraId="44E65008"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529928E2"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r>
      <w:tr w:rsidR="00CF5780" w:rsidRPr="00173E33" w14:paraId="56C9E79E" w14:textId="77777777" w:rsidTr="00CF5780">
        <w:trPr>
          <w:trHeight w:val="204"/>
        </w:trPr>
        <w:tc>
          <w:tcPr>
            <w:tcW w:w="1771" w:type="dxa"/>
            <w:shd w:val="clear" w:color="auto" w:fill="BFBFBF" w:themeFill="background1" w:themeFillShade="BF"/>
            <w:noWrap/>
            <w:hideMark/>
          </w:tcPr>
          <w:p w14:paraId="30552421"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TRAFOSTANICA T 1</w:t>
            </w:r>
          </w:p>
        </w:tc>
        <w:tc>
          <w:tcPr>
            <w:tcW w:w="567" w:type="dxa"/>
            <w:shd w:val="clear" w:color="auto" w:fill="BFBFBF" w:themeFill="background1" w:themeFillShade="BF"/>
            <w:noWrap/>
            <w:hideMark/>
          </w:tcPr>
          <w:p w14:paraId="4D57C42E"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1984</w:t>
            </w:r>
          </w:p>
        </w:tc>
        <w:tc>
          <w:tcPr>
            <w:tcW w:w="567" w:type="dxa"/>
            <w:shd w:val="clear" w:color="auto" w:fill="BFBFBF" w:themeFill="background1" w:themeFillShade="BF"/>
            <w:noWrap/>
            <w:hideMark/>
          </w:tcPr>
          <w:p w14:paraId="3B0DE969"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1984</w:t>
            </w:r>
          </w:p>
        </w:tc>
        <w:tc>
          <w:tcPr>
            <w:tcW w:w="2908" w:type="dxa"/>
            <w:shd w:val="clear" w:color="auto" w:fill="BFBFBF" w:themeFill="background1" w:themeFillShade="BF"/>
            <w:noWrap/>
            <w:hideMark/>
          </w:tcPr>
          <w:p w14:paraId="1FC02CAD"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2A7E9FEC"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r>
      <w:tr w:rsidR="00CF5780" w:rsidRPr="00173E33" w14:paraId="5E4A5348" w14:textId="77777777" w:rsidTr="00CF5780">
        <w:trPr>
          <w:trHeight w:val="204"/>
        </w:trPr>
        <w:tc>
          <w:tcPr>
            <w:tcW w:w="1771" w:type="dxa"/>
            <w:shd w:val="clear" w:color="auto" w:fill="BFBFBF" w:themeFill="background1" w:themeFillShade="BF"/>
            <w:noWrap/>
            <w:hideMark/>
          </w:tcPr>
          <w:p w14:paraId="1AC76BCC"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TRAFOSTANICA T 2</w:t>
            </w:r>
          </w:p>
        </w:tc>
        <w:tc>
          <w:tcPr>
            <w:tcW w:w="567" w:type="dxa"/>
            <w:shd w:val="clear" w:color="auto" w:fill="BFBFBF" w:themeFill="background1" w:themeFillShade="BF"/>
            <w:noWrap/>
            <w:hideMark/>
          </w:tcPr>
          <w:p w14:paraId="6F7F2AF4"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1985</w:t>
            </w:r>
          </w:p>
        </w:tc>
        <w:tc>
          <w:tcPr>
            <w:tcW w:w="567" w:type="dxa"/>
            <w:shd w:val="clear" w:color="auto" w:fill="BFBFBF" w:themeFill="background1" w:themeFillShade="BF"/>
            <w:noWrap/>
            <w:hideMark/>
          </w:tcPr>
          <w:p w14:paraId="7C9FB52B"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1985</w:t>
            </w:r>
          </w:p>
        </w:tc>
        <w:tc>
          <w:tcPr>
            <w:tcW w:w="2908" w:type="dxa"/>
            <w:shd w:val="clear" w:color="auto" w:fill="BFBFBF" w:themeFill="background1" w:themeFillShade="BF"/>
            <w:noWrap/>
            <w:hideMark/>
          </w:tcPr>
          <w:p w14:paraId="15F62D6E"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2039A3B6"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r>
      <w:tr w:rsidR="00CF5780" w:rsidRPr="00173E33" w14:paraId="220CCE9B" w14:textId="77777777" w:rsidTr="00CF5780">
        <w:trPr>
          <w:trHeight w:val="204"/>
        </w:trPr>
        <w:tc>
          <w:tcPr>
            <w:tcW w:w="1771" w:type="dxa"/>
            <w:shd w:val="clear" w:color="auto" w:fill="BFBFBF" w:themeFill="background1" w:themeFillShade="BF"/>
            <w:noWrap/>
            <w:hideMark/>
          </w:tcPr>
          <w:p w14:paraId="6469ED03"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TRAFOSTANICA SCHEIDT NZ 173/283</w:t>
            </w:r>
          </w:p>
        </w:tc>
        <w:tc>
          <w:tcPr>
            <w:tcW w:w="567" w:type="dxa"/>
            <w:shd w:val="clear" w:color="auto" w:fill="BFBFBF" w:themeFill="background1" w:themeFillShade="BF"/>
            <w:noWrap/>
            <w:hideMark/>
          </w:tcPr>
          <w:p w14:paraId="4EB66F98"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2019</w:t>
            </w:r>
          </w:p>
        </w:tc>
        <w:tc>
          <w:tcPr>
            <w:tcW w:w="567" w:type="dxa"/>
            <w:shd w:val="clear" w:color="auto" w:fill="BFBFBF" w:themeFill="background1" w:themeFillShade="BF"/>
            <w:noWrap/>
            <w:hideMark/>
          </w:tcPr>
          <w:p w14:paraId="47E3FC73"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2019</w:t>
            </w:r>
          </w:p>
        </w:tc>
        <w:tc>
          <w:tcPr>
            <w:tcW w:w="2908" w:type="dxa"/>
            <w:shd w:val="clear" w:color="auto" w:fill="BFBFBF" w:themeFill="background1" w:themeFillShade="BF"/>
            <w:noWrap/>
            <w:hideMark/>
          </w:tcPr>
          <w:p w14:paraId="1058A6A4"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33FD9368"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r>
      <w:tr w:rsidR="00CF5780" w:rsidRPr="00173E33" w14:paraId="3063EBA2" w14:textId="77777777" w:rsidTr="00CF5780">
        <w:trPr>
          <w:trHeight w:val="204"/>
        </w:trPr>
        <w:tc>
          <w:tcPr>
            <w:tcW w:w="1771" w:type="dxa"/>
            <w:shd w:val="clear" w:color="auto" w:fill="BFBFBF" w:themeFill="background1" w:themeFillShade="BF"/>
            <w:noWrap/>
            <w:hideMark/>
          </w:tcPr>
          <w:p w14:paraId="605ED145"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BUDOVA REGUL. STANICE</w:t>
            </w:r>
          </w:p>
        </w:tc>
        <w:tc>
          <w:tcPr>
            <w:tcW w:w="567" w:type="dxa"/>
            <w:shd w:val="clear" w:color="auto" w:fill="BFBFBF" w:themeFill="background1" w:themeFillShade="BF"/>
            <w:noWrap/>
            <w:hideMark/>
          </w:tcPr>
          <w:p w14:paraId="308F306A"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1959</w:t>
            </w:r>
          </w:p>
        </w:tc>
        <w:tc>
          <w:tcPr>
            <w:tcW w:w="567" w:type="dxa"/>
            <w:shd w:val="clear" w:color="auto" w:fill="BFBFBF" w:themeFill="background1" w:themeFillShade="BF"/>
            <w:noWrap/>
            <w:hideMark/>
          </w:tcPr>
          <w:p w14:paraId="00411F04"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1966</w:t>
            </w:r>
          </w:p>
        </w:tc>
        <w:tc>
          <w:tcPr>
            <w:tcW w:w="2908" w:type="dxa"/>
            <w:shd w:val="clear" w:color="auto" w:fill="BFBFBF" w:themeFill="background1" w:themeFillShade="BF"/>
            <w:noWrap/>
            <w:hideMark/>
          </w:tcPr>
          <w:p w14:paraId="5D4F7B06"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4D2F7337"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Budova regulačnej stanice postavená v roku 1959 je jednopodlažná murovaná stavba s plochou strechou. Stavba je nezateplená s vlastným zdrojom tepla pre udržiavanie vhodných teplotných podmienok na chod technológie. Stavba slúži ako regulačná stanica plynu z VTL na NTL </w:t>
            </w:r>
            <w:proofErr w:type="spellStart"/>
            <w:r w:rsidRPr="00173E33">
              <w:rPr>
                <w:rFonts w:ascii="Century Gothic" w:hAnsi="Century Gothic" w:cs="Arial"/>
                <w:sz w:val="18"/>
                <w:szCs w:val="18"/>
              </w:rPr>
              <w:t>vnútroareálový</w:t>
            </w:r>
            <w:proofErr w:type="spellEnd"/>
            <w:r w:rsidRPr="00173E33">
              <w:rPr>
                <w:rFonts w:ascii="Century Gothic" w:hAnsi="Century Gothic" w:cs="Arial"/>
                <w:sz w:val="18"/>
                <w:szCs w:val="18"/>
              </w:rPr>
              <w:t xml:space="preserve"> rozvod zemného plynu. Stavba nevykazuje statickú degradáciu. Je pravidelne kontrolovaná revíznym technikom a je spôsobilá na prevádzku regulačnej stanice plynu. </w:t>
            </w:r>
          </w:p>
        </w:tc>
      </w:tr>
      <w:tr w:rsidR="00CF5780" w:rsidRPr="00173E33" w14:paraId="5C94D0AA" w14:textId="77777777" w:rsidTr="00CF5780">
        <w:trPr>
          <w:trHeight w:val="204"/>
        </w:trPr>
        <w:tc>
          <w:tcPr>
            <w:tcW w:w="1771" w:type="dxa"/>
            <w:shd w:val="clear" w:color="auto" w:fill="BFBFBF" w:themeFill="background1" w:themeFillShade="BF"/>
            <w:noWrap/>
            <w:hideMark/>
          </w:tcPr>
          <w:p w14:paraId="045379DA"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SKLENIK</w:t>
            </w:r>
          </w:p>
        </w:tc>
        <w:tc>
          <w:tcPr>
            <w:tcW w:w="567" w:type="dxa"/>
            <w:shd w:val="clear" w:color="auto" w:fill="BFBFBF" w:themeFill="background1" w:themeFillShade="BF"/>
            <w:noWrap/>
            <w:hideMark/>
          </w:tcPr>
          <w:p w14:paraId="11764510"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1984</w:t>
            </w:r>
          </w:p>
        </w:tc>
        <w:tc>
          <w:tcPr>
            <w:tcW w:w="567" w:type="dxa"/>
            <w:shd w:val="clear" w:color="auto" w:fill="BFBFBF" w:themeFill="background1" w:themeFillShade="BF"/>
            <w:noWrap/>
            <w:hideMark/>
          </w:tcPr>
          <w:p w14:paraId="01443861"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1984</w:t>
            </w:r>
          </w:p>
        </w:tc>
        <w:tc>
          <w:tcPr>
            <w:tcW w:w="2908" w:type="dxa"/>
            <w:shd w:val="clear" w:color="auto" w:fill="BFBFBF" w:themeFill="background1" w:themeFillShade="BF"/>
            <w:noWrap/>
            <w:hideMark/>
          </w:tcPr>
          <w:p w14:paraId="3133923E"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227E266C"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Budova skleníka je jednopodlažná budova. Jej konštrukčný systém je oceľový skelet s murovanými obvodovými múrmi a sklenenými výplňami. Objekt je nevyužívaný a v havarijnom stave. </w:t>
            </w:r>
          </w:p>
        </w:tc>
      </w:tr>
      <w:tr w:rsidR="00CF5780" w:rsidRPr="00173E33" w14:paraId="5C232178" w14:textId="77777777" w:rsidTr="00CF5780">
        <w:trPr>
          <w:trHeight w:val="204"/>
        </w:trPr>
        <w:tc>
          <w:tcPr>
            <w:tcW w:w="1771" w:type="dxa"/>
            <w:shd w:val="clear" w:color="auto" w:fill="BFBFBF" w:themeFill="background1" w:themeFillShade="BF"/>
            <w:noWrap/>
            <w:hideMark/>
          </w:tcPr>
          <w:p w14:paraId="541600A1"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ADMIN.BUD.-UPRAV.VODY</w:t>
            </w:r>
          </w:p>
        </w:tc>
        <w:tc>
          <w:tcPr>
            <w:tcW w:w="567" w:type="dxa"/>
            <w:shd w:val="clear" w:color="auto" w:fill="BFBFBF" w:themeFill="background1" w:themeFillShade="BF"/>
            <w:noWrap/>
            <w:hideMark/>
          </w:tcPr>
          <w:p w14:paraId="6B23142D"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1954</w:t>
            </w:r>
          </w:p>
        </w:tc>
        <w:tc>
          <w:tcPr>
            <w:tcW w:w="567" w:type="dxa"/>
            <w:shd w:val="clear" w:color="auto" w:fill="BFBFBF" w:themeFill="background1" w:themeFillShade="BF"/>
            <w:noWrap/>
            <w:hideMark/>
          </w:tcPr>
          <w:p w14:paraId="3BC9ED92"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1954</w:t>
            </w:r>
          </w:p>
        </w:tc>
        <w:tc>
          <w:tcPr>
            <w:tcW w:w="2908" w:type="dxa"/>
            <w:shd w:val="clear" w:color="auto" w:fill="BFBFBF" w:themeFill="background1" w:themeFillShade="BF"/>
            <w:noWrap/>
            <w:hideMark/>
          </w:tcPr>
          <w:p w14:paraId="4CABD12E"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7684B510"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w:t>
            </w:r>
            <w:proofErr w:type="spellStart"/>
            <w:r w:rsidRPr="00173E33">
              <w:rPr>
                <w:rFonts w:ascii="Century Gothic" w:hAnsi="Century Gothic" w:cs="Arial"/>
                <w:sz w:val="18"/>
                <w:szCs w:val="18"/>
              </w:rPr>
              <w:t>úpravovne</w:t>
            </w:r>
            <w:proofErr w:type="spellEnd"/>
            <w:r w:rsidRPr="00173E33">
              <w:rPr>
                <w:rFonts w:ascii="Century Gothic" w:hAnsi="Century Gothic" w:cs="Arial"/>
                <w:sz w:val="18"/>
                <w:szCs w:val="18"/>
              </w:rPr>
              <w:t xml:space="preserve"> vody je dvojpodlažná murovaná budova s železobetónovými stropnými doskami. v dobrom technickom stave primeranom k veku budovy, spôsobu využívania a jej údržbe. Objekt je nezateplený s pôvodnou strešnou krytinou a pôvodnými oknami. </w:t>
            </w:r>
          </w:p>
        </w:tc>
      </w:tr>
      <w:tr w:rsidR="00CF5780" w:rsidRPr="00173E33" w14:paraId="52B918E0" w14:textId="77777777" w:rsidTr="00CF5780">
        <w:trPr>
          <w:trHeight w:val="204"/>
        </w:trPr>
        <w:tc>
          <w:tcPr>
            <w:tcW w:w="1771" w:type="dxa"/>
            <w:shd w:val="clear" w:color="auto" w:fill="BFBFBF" w:themeFill="background1" w:themeFillShade="BF"/>
            <w:noWrap/>
            <w:hideMark/>
          </w:tcPr>
          <w:p w14:paraId="4AC7DFC5"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SKLAD PLYNOV A HORĽAV.</w:t>
            </w:r>
          </w:p>
        </w:tc>
        <w:tc>
          <w:tcPr>
            <w:tcW w:w="567" w:type="dxa"/>
            <w:shd w:val="clear" w:color="auto" w:fill="BFBFBF" w:themeFill="background1" w:themeFillShade="BF"/>
            <w:noWrap/>
            <w:hideMark/>
          </w:tcPr>
          <w:p w14:paraId="70E066F9"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1981</w:t>
            </w:r>
          </w:p>
        </w:tc>
        <w:tc>
          <w:tcPr>
            <w:tcW w:w="567" w:type="dxa"/>
            <w:shd w:val="clear" w:color="auto" w:fill="BFBFBF" w:themeFill="background1" w:themeFillShade="BF"/>
            <w:noWrap/>
            <w:hideMark/>
          </w:tcPr>
          <w:p w14:paraId="6BDB5990"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1981</w:t>
            </w:r>
          </w:p>
        </w:tc>
        <w:tc>
          <w:tcPr>
            <w:tcW w:w="2908" w:type="dxa"/>
            <w:shd w:val="clear" w:color="auto" w:fill="BFBFBF" w:themeFill="background1" w:themeFillShade="BF"/>
            <w:noWrap/>
            <w:hideMark/>
          </w:tcPr>
          <w:p w14:paraId="5907D3EF"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1C5A63F3"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z roku 1981 slúži ako sklad medicinálnych plynov a dielňa údržby FNSP Žilina. Objekt je nezateplený s pôvodnými oknami a pôvodným strešným plášťom. Staticky nevykazuje defekty ani deformity. Objekt je v primeranom stave k veku a spôsobu údržby. </w:t>
            </w:r>
          </w:p>
        </w:tc>
      </w:tr>
      <w:tr w:rsidR="00CF5780" w:rsidRPr="00173E33" w14:paraId="267D2797" w14:textId="77777777" w:rsidTr="00CF5780">
        <w:trPr>
          <w:trHeight w:val="204"/>
        </w:trPr>
        <w:tc>
          <w:tcPr>
            <w:tcW w:w="1771" w:type="dxa"/>
            <w:shd w:val="clear" w:color="auto" w:fill="BFBFBF" w:themeFill="background1" w:themeFillShade="BF"/>
            <w:noWrap/>
            <w:hideMark/>
          </w:tcPr>
          <w:p w14:paraId="21FC1AAD"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OCELOVÝ SKLAD DORD</w:t>
            </w:r>
          </w:p>
        </w:tc>
        <w:tc>
          <w:tcPr>
            <w:tcW w:w="567" w:type="dxa"/>
            <w:shd w:val="clear" w:color="auto" w:fill="BFBFBF" w:themeFill="background1" w:themeFillShade="BF"/>
            <w:noWrap/>
            <w:hideMark/>
          </w:tcPr>
          <w:p w14:paraId="5F981565"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1988</w:t>
            </w:r>
          </w:p>
        </w:tc>
        <w:tc>
          <w:tcPr>
            <w:tcW w:w="567" w:type="dxa"/>
            <w:shd w:val="clear" w:color="auto" w:fill="BFBFBF" w:themeFill="background1" w:themeFillShade="BF"/>
            <w:noWrap/>
            <w:hideMark/>
          </w:tcPr>
          <w:p w14:paraId="6879A685"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1988</w:t>
            </w:r>
          </w:p>
        </w:tc>
        <w:tc>
          <w:tcPr>
            <w:tcW w:w="2908" w:type="dxa"/>
            <w:shd w:val="clear" w:color="auto" w:fill="BFBFBF" w:themeFill="background1" w:themeFillShade="BF"/>
            <w:noWrap/>
            <w:hideMark/>
          </w:tcPr>
          <w:p w14:paraId="1DF62C90"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0818478A"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Sklad je oceľová hala vybudovaná v roku 1988. Nosnú konštrukciu tvoria oceľové nosníky a priehradový strešný systém. Opláštenie objektu je z PZ trapézového plechu. Objekt je nevykurovaný</w:t>
            </w:r>
          </w:p>
        </w:tc>
      </w:tr>
      <w:tr w:rsidR="00CF5780" w:rsidRPr="00173E33" w14:paraId="572F4305" w14:textId="77777777" w:rsidTr="00CF5780">
        <w:trPr>
          <w:trHeight w:val="204"/>
        </w:trPr>
        <w:tc>
          <w:tcPr>
            <w:tcW w:w="1771" w:type="dxa"/>
            <w:shd w:val="clear" w:color="auto" w:fill="BFBFBF" w:themeFill="background1" w:themeFillShade="BF"/>
            <w:noWrap/>
            <w:hideMark/>
          </w:tcPr>
          <w:p w14:paraId="2A649703" w14:textId="77777777" w:rsidR="00CF5780" w:rsidRPr="00173E33" w:rsidRDefault="00CF5780" w:rsidP="00CF5780">
            <w:pPr>
              <w:spacing w:line="240" w:lineRule="auto"/>
              <w:jc w:val="left"/>
              <w:rPr>
                <w:rFonts w:ascii="Century Gothic" w:hAnsi="Century Gothic" w:cs="Arial"/>
                <w:sz w:val="18"/>
                <w:szCs w:val="18"/>
              </w:rPr>
            </w:pPr>
            <w:r w:rsidRPr="00173E33">
              <w:rPr>
                <w:rFonts w:ascii="Century Gothic" w:hAnsi="Century Gothic" w:cs="Arial"/>
                <w:sz w:val="18"/>
                <w:szCs w:val="18"/>
              </w:rPr>
              <w:t>SKLAD CPLDZ</w:t>
            </w:r>
          </w:p>
        </w:tc>
        <w:tc>
          <w:tcPr>
            <w:tcW w:w="567" w:type="dxa"/>
            <w:shd w:val="clear" w:color="auto" w:fill="BFBFBF" w:themeFill="background1" w:themeFillShade="BF"/>
            <w:noWrap/>
            <w:hideMark/>
          </w:tcPr>
          <w:p w14:paraId="700208AE"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2002</w:t>
            </w:r>
          </w:p>
        </w:tc>
        <w:tc>
          <w:tcPr>
            <w:tcW w:w="567" w:type="dxa"/>
            <w:shd w:val="clear" w:color="auto" w:fill="BFBFBF" w:themeFill="background1" w:themeFillShade="BF"/>
            <w:noWrap/>
            <w:hideMark/>
          </w:tcPr>
          <w:p w14:paraId="1913FD10" w14:textId="77777777" w:rsidR="00CF5780" w:rsidRPr="00173E33" w:rsidRDefault="00CF5780" w:rsidP="00A62CD9">
            <w:pPr>
              <w:spacing w:line="240" w:lineRule="auto"/>
              <w:rPr>
                <w:rFonts w:ascii="Century Gothic" w:hAnsi="Century Gothic" w:cs="Arial"/>
                <w:sz w:val="18"/>
                <w:szCs w:val="18"/>
              </w:rPr>
            </w:pPr>
            <w:r w:rsidRPr="00173E33">
              <w:rPr>
                <w:rFonts w:ascii="Century Gothic" w:hAnsi="Century Gothic" w:cs="Arial"/>
                <w:sz w:val="18"/>
                <w:szCs w:val="18"/>
              </w:rPr>
              <w:t>2010</w:t>
            </w:r>
          </w:p>
        </w:tc>
        <w:tc>
          <w:tcPr>
            <w:tcW w:w="2908" w:type="dxa"/>
            <w:shd w:val="clear" w:color="auto" w:fill="BFBFBF" w:themeFill="background1" w:themeFillShade="BF"/>
            <w:noWrap/>
            <w:hideMark/>
          </w:tcPr>
          <w:p w14:paraId="2EE02069"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w:t>
            </w:r>
          </w:p>
        </w:tc>
        <w:tc>
          <w:tcPr>
            <w:tcW w:w="4109" w:type="dxa"/>
            <w:shd w:val="clear" w:color="auto" w:fill="BFBFBF" w:themeFill="background1" w:themeFillShade="BF"/>
            <w:noWrap/>
            <w:hideMark/>
          </w:tcPr>
          <w:p w14:paraId="67482E90" w14:textId="77777777" w:rsidR="00CF5780" w:rsidRPr="00173E33" w:rsidRDefault="00CF5780" w:rsidP="00CF5780">
            <w:pPr>
              <w:spacing w:line="240" w:lineRule="auto"/>
              <w:rPr>
                <w:rFonts w:ascii="Century Gothic" w:hAnsi="Century Gothic" w:cs="Arial"/>
                <w:sz w:val="18"/>
                <w:szCs w:val="18"/>
              </w:rPr>
            </w:pPr>
            <w:r w:rsidRPr="00173E33">
              <w:rPr>
                <w:rFonts w:ascii="Century Gothic" w:hAnsi="Century Gothic" w:cs="Arial"/>
                <w:sz w:val="18"/>
                <w:szCs w:val="18"/>
              </w:rPr>
              <w:t xml:space="preserve">Objekt je murovaná hala slúžiaca ako skladový priestor. Objekt je nezateplený a nevykurovaný. Technický stav j dobrý, primeraný veku a spôsobu údržby. </w:t>
            </w:r>
          </w:p>
        </w:tc>
      </w:tr>
    </w:tbl>
    <w:p w14:paraId="6B5FBBD4" w14:textId="3CE680B9" w:rsidR="008252F1" w:rsidRDefault="008252F1" w:rsidP="008252F1">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Zdroj: Fakultná nemocnica s poliklinikou Žilina</w:t>
      </w:r>
    </w:p>
    <w:p w14:paraId="52AB2835" w14:textId="77777777" w:rsidR="001E50DB" w:rsidRDefault="001E50DB">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20761406" w14:textId="4193803B" w:rsidR="007B7154" w:rsidRPr="00FE1699"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26" w:name="_Toc145219959"/>
      <w:r w:rsidRPr="00FE1699">
        <w:rPr>
          <w:rFonts w:ascii="Century Gothic" w:hAnsi="Century Gothic" w:cs="Calibri Light"/>
          <w:b w:val="0"/>
          <w:bCs w:val="0"/>
          <w:sz w:val="32"/>
          <w:szCs w:val="32"/>
          <w:lang w:eastAsia="en-US"/>
        </w:rPr>
        <w:lastRenderedPageBreak/>
        <w:t>Katalóg nedostatkov areálu z pohľadu modernej zdravotnej starostlivosti</w:t>
      </w:r>
      <w:bookmarkEnd w:id="126"/>
    </w:p>
    <w:p w14:paraId="6CEAEE10" w14:textId="77777777" w:rsidR="007B7154" w:rsidRPr="00A81EE9" w:rsidRDefault="007B7154" w:rsidP="007B7154">
      <w:pPr>
        <w:spacing w:line="240" w:lineRule="auto"/>
        <w:rPr>
          <w:rFonts w:ascii="Century Gothic" w:hAnsi="Century Gothic"/>
          <w:b/>
        </w:rPr>
      </w:pPr>
    </w:p>
    <w:p w14:paraId="0BBBCB62" w14:textId="77777777" w:rsidR="007B7154" w:rsidRPr="009A475E" w:rsidRDefault="007B7154" w:rsidP="009C43E6">
      <w:pPr>
        <w:spacing w:line="240" w:lineRule="auto"/>
        <w:rPr>
          <w:rFonts w:ascii="Century Gothic" w:hAnsi="Century Gothic" w:cstheme="minorHAnsi"/>
          <w:sz w:val="22"/>
          <w:szCs w:val="22"/>
        </w:rPr>
      </w:pPr>
      <w:r w:rsidRPr="009A475E">
        <w:rPr>
          <w:rFonts w:ascii="Century Gothic" w:hAnsi="Century Gothic" w:cstheme="minorHAnsi"/>
          <w:sz w:val="22"/>
          <w:szCs w:val="22"/>
        </w:rPr>
        <w:t xml:space="preserve">Manažment urgentného pacienta a operovaného pacienta je najdrahší zdravotnícky proces. Vzhľadom na to, správne umiestnenie a kvalita priestorov z oblasti operačnej starostlivosti, intenzívnej a resuscitačnej liečby môže významne prispieť k výsledkom zdravotnej starostlivosti, znížiť personálne a v neposlednej miere aj ekonomické nároky na tento typ zdravotnej starostlivosti. Samostatnou témou je starostlivosť o rodičku a novorodenca s predpokladom </w:t>
      </w:r>
      <w:proofErr w:type="spellStart"/>
      <w:r w:rsidRPr="009A475E">
        <w:rPr>
          <w:rFonts w:ascii="Century Gothic" w:hAnsi="Century Gothic" w:cstheme="minorHAnsi"/>
          <w:sz w:val="22"/>
          <w:szCs w:val="22"/>
        </w:rPr>
        <w:t>perinatálnych</w:t>
      </w:r>
      <w:proofErr w:type="spellEnd"/>
      <w:r w:rsidRPr="009A475E">
        <w:rPr>
          <w:rFonts w:ascii="Century Gothic" w:hAnsi="Century Gothic" w:cstheme="minorHAnsi"/>
          <w:sz w:val="22"/>
          <w:szCs w:val="22"/>
        </w:rPr>
        <w:t xml:space="preserve"> komplikácií.</w:t>
      </w:r>
    </w:p>
    <w:p w14:paraId="3E7633E9" w14:textId="77777777" w:rsidR="007B7154" w:rsidRPr="009A475E" w:rsidRDefault="007B7154" w:rsidP="009C43E6">
      <w:pPr>
        <w:spacing w:line="240" w:lineRule="auto"/>
        <w:rPr>
          <w:rFonts w:ascii="Century Gothic" w:hAnsi="Century Gothic" w:cstheme="minorHAnsi"/>
          <w:sz w:val="22"/>
          <w:szCs w:val="22"/>
        </w:rPr>
      </w:pPr>
    </w:p>
    <w:p w14:paraId="57B24C28" w14:textId="77777777" w:rsidR="007B7154" w:rsidRPr="009A475E" w:rsidRDefault="007B7154" w:rsidP="009C43E6">
      <w:pPr>
        <w:spacing w:line="240" w:lineRule="auto"/>
        <w:rPr>
          <w:rFonts w:ascii="Century Gothic" w:hAnsi="Century Gothic" w:cstheme="minorHAnsi"/>
          <w:sz w:val="22"/>
          <w:szCs w:val="22"/>
        </w:rPr>
      </w:pPr>
      <w:r w:rsidRPr="009A475E">
        <w:rPr>
          <w:rFonts w:ascii="Century Gothic" w:hAnsi="Century Gothic" w:cstheme="minorHAnsi"/>
          <w:sz w:val="22"/>
          <w:szCs w:val="22"/>
        </w:rPr>
        <w:t>Nedostatky preto rezultujú práve z tohto uhla pohľadu:</w:t>
      </w:r>
    </w:p>
    <w:p w14:paraId="6E20848D" w14:textId="77777777" w:rsidR="007B7154" w:rsidRPr="009A475E" w:rsidRDefault="007B7154"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 xml:space="preserve">technické –  morálne a fyzické opotrebovanie budov, nedostatočná obnova zdravotníckej techniky a </w:t>
      </w:r>
      <w:proofErr w:type="spellStart"/>
      <w:r w:rsidRPr="009A475E">
        <w:rPr>
          <w:rFonts w:ascii="Century Gothic" w:hAnsi="Century Gothic" w:cs="Arial"/>
          <w:sz w:val="22"/>
          <w:szCs w:val="22"/>
        </w:rPr>
        <w:t>zastaralá</w:t>
      </w:r>
      <w:proofErr w:type="spellEnd"/>
      <w:r w:rsidRPr="009A475E">
        <w:rPr>
          <w:rFonts w:ascii="Century Gothic" w:hAnsi="Century Gothic" w:cs="Arial"/>
          <w:sz w:val="22"/>
          <w:szCs w:val="22"/>
        </w:rPr>
        <w:t xml:space="preserve"> nemocničná Infraštruktúra (</w:t>
      </w:r>
      <w:proofErr w:type="spellStart"/>
      <w:r w:rsidRPr="009A475E">
        <w:rPr>
          <w:rFonts w:ascii="Century Gothic" w:hAnsi="Century Gothic" w:cs="Arial"/>
          <w:sz w:val="22"/>
          <w:szCs w:val="22"/>
        </w:rPr>
        <w:t>vysokostratové</w:t>
      </w:r>
      <w:proofErr w:type="spellEnd"/>
      <w:r w:rsidRPr="009A475E">
        <w:rPr>
          <w:rFonts w:ascii="Century Gothic" w:hAnsi="Century Gothic" w:cs="Arial"/>
          <w:sz w:val="22"/>
          <w:szCs w:val="22"/>
        </w:rPr>
        <w:t xml:space="preserve"> tepelné rozvody elektriny,  rozvody vody a kanalizácie),    </w:t>
      </w:r>
    </w:p>
    <w:p w14:paraId="708A163F" w14:textId="6159B23B" w:rsidR="007B7154" w:rsidRPr="009A475E" w:rsidRDefault="007B7154"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medicínske - chýbajúca koncepcia rozvoja medicínskej služby v podmienkach celého zdravotníckeho systému - typickým negatívnym príkladom bolo zrušenie akútnych lôžok bez akejkoľvek  náhrady u iných poskytovateľov  (oddelenie pľúcne, infekčné, kožné, cievne a </w:t>
      </w:r>
      <w:proofErr w:type="spellStart"/>
      <w:r w:rsidRPr="009A475E">
        <w:rPr>
          <w:rFonts w:ascii="Century Gothic" w:hAnsi="Century Gothic" w:cs="Arial"/>
          <w:sz w:val="22"/>
          <w:szCs w:val="22"/>
        </w:rPr>
        <w:t>arytmií</w:t>
      </w:r>
      <w:proofErr w:type="spellEnd"/>
      <w:r w:rsidRPr="009A475E">
        <w:rPr>
          <w:rFonts w:ascii="Century Gothic" w:hAnsi="Century Gothic" w:cs="Arial"/>
          <w:sz w:val="22"/>
          <w:szCs w:val="22"/>
        </w:rPr>
        <w:t xml:space="preserve"> srdca), absencia záväzných jednotných liečebno-terapeutických postupov pre väčšinu odborností, v dôsledku čoho nie je možné štandardizovať a racionalizovať  liečbu, (vysoké náklady na lieky, </w:t>
      </w:r>
      <w:proofErr w:type="spellStart"/>
      <w:r w:rsidRPr="009A475E">
        <w:rPr>
          <w:rFonts w:ascii="Century Gothic" w:hAnsi="Century Gothic" w:cs="Arial"/>
          <w:sz w:val="22"/>
          <w:szCs w:val="22"/>
        </w:rPr>
        <w:t>SVaLZové</w:t>
      </w:r>
      <w:proofErr w:type="spellEnd"/>
      <w:r w:rsidRPr="009A475E">
        <w:rPr>
          <w:rFonts w:ascii="Century Gothic" w:hAnsi="Century Gothic" w:cs="Arial"/>
          <w:sz w:val="22"/>
          <w:szCs w:val="22"/>
        </w:rPr>
        <w:t xml:space="preserve"> vyšetrenia, predlžovanie hospitalizácií a pod.),</w:t>
      </w:r>
    </w:p>
    <w:p w14:paraId="7C8466FE" w14:textId="5EB247F1" w:rsidR="007B7154" w:rsidRPr="009A475E" w:rsidRDefault="00AB0567"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 xml:space="preserve">organizačné - </w:t>
      </w:r>
      <w:r w:rsidR="007B7154" w:rsidRPr="009A475E">
        <w:rPr>
          <w:rFonts w:ascii="Century Gothic" w:hAnsi="Century Gothic" w:cs="Arial"/>
          <w:sz w:val="22"/>
          <w:szCs w:val="22"/>
        </w:rPr>
        <w:t xml:space="preserve">časté zmeny vo vedení ministerstva zdravotníctva a z toho vyplývajúca absencia dlhodobej koncepcie rozvoja zdravotnej starostlivosti na Slovensku, </w:t>
      </w:r>
    </w:p>
    <w:p w14:paraId="22716E05" w14:textId="00ECD883" w:rsidR="00563C8F" w:rsidRDefault="007B7154"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finančné - nedostatočná výška úhrad za poskytnutú neodkladnú zdravotnú starostlivosť  najmä  pri zabezpečovaní na čisto akútnych oddeleniach, typickým príkladom je úrazová chirurgia, vnútorné lekárstvo, urgentný príjem a</w:t>
      </w:r>
      <w:r w:rsidR="007756C0">
        <w:rPr>
          <w:rFonts w:ascii="Century Gothic" w:hAnsi="Century Gothic" w:cs="Arial"/>
          <w:sz w:val="22"/>
          <w:szCs w:val="22"/>
        </w:rPr>
        <w:t> veľa ďalších akútnych oddelení,</w:t>
      </w:r>
      <w:r w:rsidRPr="009A475E">
        <w:rPr>
          <w:rFonts w:ascii="Century Gothic" w:hAnsi="Century Gothic" w:cs="Arial"/>
          <w:sz w:val="22"/>
          <w:szCs w:val="22"/>
        </w:rPr>
        <w:t xml:space="preserve"> </w:t>
      </w:r>
    </w:p>
    <w:p w14:paraId="7E702511" w14:textId="4E7C1C89" w:rsidR="007B7154" w:rsidRPr="009A475E" w:rsidRDefault="002A5925"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p</w:t>
      </w:r>
      <w:r w:rsidR="007B7154" w:rsidRPr="009A475E">
        <w:rPr>
          <w:rFonts w:ascii="Century Gothic" w:hAnsi="Century Gothic" w:cs="Arial"/>
          <w:sz w:val="22"/>
          <w:szCs w:val="22"/>
        </w:rPr>
        <w:t xml:space="preserve">ovolenie exekúcií na majetok dlžníka </w:t>
      </w:r>
      <w:r w:rsidR="00563C8F">
        <w:rPr>
          <w:rFonts w:ascii="Century Gothic" w:hAnsi="Century Gothic" w:cs="Arial"/>
          <w:sz w:val="22"/>
          <w:szCs w:val="22"/>
        </w:rPr>
        <w:t xml:space="preserve">nielen </w:t>
      </w:r>
      <w:r w:rsidR="007B7154" w:rsidRPr="009A475E">
        <w:rPr>
          <w:rFonts w:ascii="Century Gothic" w:hAnsi="Century Gothic" w:cs="Arial"/>
          <w:sz w:val="22"/>
          <w:szCs w:val="22"/>
        </w:rPr>
        <w:t xml:space="preserve">z podnikateľskej činnosti bude mať negatívny dopad na </w:t>
      </w:r>
      <w:proofErr w:type="spellStart"/>
      <w:r w:rsidR="007B7154" w:rsidRPr="009A475E">
        <w:rPr>
          <w:rFonts w:ascii="Century Gothic" w:hAnsi="Century Gothic" w:cs="Arial"/>
          <w:sz w:val="22"/>
          <w:szCs w:val="22"/>
        </w:rPr>
        <w:t>cashovú</w:t>
      </w:r>
      <w:proofErr w:type="spellEnd"/>
      <w:r w:rsidR="007B7154" w:rsidRPr="009A475E">
        <w:rPr>
          <w:rFonts w:ascii="Century Gothic" w:hAnsi="Century Gothic" w:cs="Arial"/>
          <w:sz w:val="22"/>
          <w:szCs w:val="22"/>
        </w:rPr>
        <w:t xml:space="preserve"> pozíciu  v dôsledku zmeny v legislatíve, pričom najväčšie hrozby budú od veriteľov, ktorí sa čisto z obchodných dôvodov odmietli zúčastniť procesu oddlžovania</w:t>
      </w:r>
      <w:r w:rsidR="00563C8F">
        <w:rPr>
          <w:rFonts w:ascii="Century Gothic" w:hAnsi="Century Gothic" w:cs="Arial"/>
          <w:sz w:val="22"/>
          <w:szCs w:val="22"/>
        </w:rPr>
        <w:t xml:space="preserve"> a budú permanentne odčerpávať disponibilné zdroje a v čase predražovať správu dlhu </w:t>
      </w:r>
      <w:proofErr w:type="spellStart"/>
      <w:r w:rsidR="00563C8F">
        <w:rPr>
          <w:rFonts w:ascii="Century Gothic" w:hAnsi="Century Gothic" w:cs="Arial"/>
          <w:sz w:val="22"/>
          <w:szCs w:val="22"/>
        </w:rPr>
        <w:t>FNsP</w:t>
      </w:r>
      <w:proofErr w:type="spellEnd"/>
      <w:r w:rsidR="005D5AEE">
        <w:rPr>
          <w:rFonts w:ascii="Century Gothic" w:hAnsi="Century Gothic" w:cs="Arial"/>
          <w:sz w:val="22"/>
          <w:szCs w:val="22"/>
        </w:rPr>
        <w:t xml:space="preserve"> Žilina</w:t>
      </w:r>
      <w:r w:rsidR="00563C8F">
        <w:rPr>
          <w:rFonts w:ascii="Century Gothic" w:hAnsi="Century Gothic" w:cs="Arial"/>
          <w:sz w:val="22"/>
          <w:szCs w:val="22"/>
        </w:rPr>
        <w:t xml:space="preserve"> a </w:t>
      </w:r>
      <w:r w:rsidR="0024496D">
        <w:rPr>
          <w:rFonts w:ascii="Century Gothic" w:hAnsi="Century Gothic" w:cs="Arial"/>
          <w:sz w:val="22"/>
          <w:szCs w:val="22"/>
        </w:rPr>
        <w:t>znemožňovať</w:t>
      </w:r>
      <w:r w:rsidR="00563C8F">
        <w:rPr>
          <w:rFonts w:ascii="Century Gothic" w:hAnsi="Century Gothic" w:cs="Arial"/>
          <w:sz w:val="22"/>
          <w:szCs w:val="22"/>
        </w:rPr>
        <w:t xml:space="preserve"> akékoľvek plánovanie CASH FLOW nemocnice</w:t>
      </w:r>
      <w:r w:rsidR="007B7154" w:rsidRPr="009A475E">
        <w:rPr>
          <w:rFonts w:ascii="Century Gothic" w:hAnsi="Century Gothic" w:cs="Arial"/>
          <w:sz w:val="22"/>
          <w:szCs w:val="22"/>
        </w:rPr>
        <w:t xml:space="preserve">, </w:t>
      </w:r>
    </w:p>
    <w:p w14:paraId="2F4AF4B0" w14:textId="77777777" w:rsidR="007B7154" w:rsidRPr="009A475E" w:rsidRDefault="007B7154"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personálne - kritický nedostatok lekárov absolventov a kvalifikovaných lekárov so špecializáciou, vrátane odborného stredného zdravotníckeho personálu s aspektom  budúceho negatívneho výhľadu (absencia štátnych programov  na navýšenie počtu absolventov lekárskych fakúlt a stredného zdravotníckeho personálu vo vybraných najviac chýbajúcich odbornostiach, absencia štátnej podpory chýbajúcich lekárskych odbornosti a pod.),</w:t>
      </w:r>
    </w:p>
    <w:p w14:paraId="6999D2FC" w14:textId="77777777" w:rsidR="007B7154" w:rsidRPr="009A475E" w:rsidRDefault="007B7154"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 xml:space="preserve">kolabujúca a neúplná ambulantná sieť všeobecných lekárov a špecialistov – preťažovanie nemocníc ľahkými pacientami, alebo odloženými,  ktorí prichádzajú do nemocníc neskoro s mnohými  pridruženými diagnózami, ktoré neboli riešené v primárnom sektore ZS  najmä v dôsledku  jeho nepokrytia v odľahlých regiónoch špecialistami a obvodnými lekármi, </w:t>
      </w:r>
    </w:p>
    <w:p w14:paraId="4D3FFF96" w14:textId="77777777" w:rsidR="007B7154" w:rsidRPr="009A475E" w:rsidRDefault="007B7154" w:rsidP="009C43E6">
      <w:pPr>
        <w:pStyle w:val="Odsekzoznamu"/>
        <w:numPr>
          <w:ilvl w:val="0"/>
          <w:numId w:val="39"/>
        </w:num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iné - nezachytenie trendu rozvoja  civilizačných ochorení najmä pacientov z kardiovaskulárnym zlyhaním,   onkologických nálezov, neurologických postihnutí, psychiatrických a dermatovenerologických ochorení.</w:t>
      </w:r>
    </w:p>
    <w:p w14:paraId="2B3D08DE" w14:textId="77777777" w:rsidR="007B7154" w:rsidRPr="009A475E" w:rsidRDefault="007B7154" w:rsidP="009C43E6">
      <w:pPr>
        <w:pStyle w:val="Odsekzoznamu"/>
        <w:autoSpaceDE w:val="0"/>
        <w:autoSpaceDN w:val="0"/>
        <w:adjustRightInd w:val="0"/>
        <w:spacing w:line="240" w:lineRule="auto"/>
        <w:rPr>
          <w:rFonts w:ascii="Century Gothic" w:hAnsi="Century Gothic" w:cs="Arial"/>
          <w:sz w:val="22"/>
          <w:szCs w:val="22"/>
        </w:rPr>
      </w:pPr>
    </w:p>
    <w:p w14:paraId="5F89EB49" w14:textId="77777777" w:rsidR="007B7154" w:rsidRPr="009A475E" w:rsidRDefault="007B7154" w:rsidP="009C43E6">
      <w:pPr>
        <w:autoSpaceDE w:val="0"/>
        <w:autoSpaceDN w:val="0"/>
        <w:adjustRightInd w:val="0"/>
        <w:spacing w:line="240" w:lineRule="auto"/>
        <w:rPr>
          <w:rFonts w:ascii="Century Gothic" w:hAnsi="Century Gothic" w:cs="Arial"/>
          <w:sz w:val="22"/>
          <w:szCs w:val="22"/>
        </w:rPr>
      </w:pPr>
      <w:r w:rsidRPr="009A475E">
        <w:rPr>
          <w:rFonts w:ascii="Century Gothic" w:hAnsi="Century Gothic" w:cs="Arial"/>
          <w:sz w:val="22"/>
          <w:szCs w:val="22"/>
        </w:rPr>
        <w:t xml:space="preserve">Medzi ďalšie nedostatky môžeme zaradiť: </w:t>
      </w:r>
    </w:p>
    <w:p w14:paraId="49144A07" w14:textId="77777777" w:rsidR="007B7154" w:rsidRPr="009A475E" w:rsidRDefault="007B7154" w:rsidP="007756C0">
      <w:pPr>
        <w:pStyle w:val="Odsekzoznamu"/>
        <w:numPr>
          <w:ilvl w:val="0"/>
          <w:numId w:val="39"/>
        </w:numPr>
        <w:autoSpaceDE w:val="0"/>
        <w:autoSpaceDN w:val="0"/>
        <w:adjustRightInd w:val="0"/>
        <w:spacing w:line="240" w:lineRule="auto"/>
        <w:ind w:left="714" w:hanging="357"/>
        <w:rPr>
          <w:rFonts w:ascii="Century Gothic" w:hAnsi="Century Gothic" w:cs="Arial"/>
          <w:sz w:val="22"/>
          <w:szCs w:val="22"/>
        </w:rPr>
      </w:pPr>
      <w:r w:rsidRPr="009A475E">
        <w:rPr>
          <w:rFonts w:ascii="Century Gothic" w:hAnsi="Century Gothic" w:cs="Arial"/>
          <w:sz w:val="22"/>
          <w:szCs w:val="22"/>
        </w:rPr>
        <w:lastRenderedPageBreak/>
        <w:t>veľká vzdialenosť medzi pristávacou plochou leteckej záchrannej služby a OAIM, resp. urgentným príjmom,</w:t>
      </w:r>
    </w:p>
    <w:p w14:paraId="34111BC2" w14:textId="7134736F" w:rsidR="006D51F4" w:rsidRPr="00A96674" w:rsidRDefault="006D51F4" w:rsidP="007756C0">
      <w:pPr>
        <w:pStyle w:val="Odsekzoznamu"/>
        <w:numPr>
          <w:ilvl w:val="0"/>
          <w:numId w:val="39"/>
        </w:numPr>
        <w:spacing w:line="240" w:lineRule="auto"/>
        <w:ind w:left="714" w:hanging="357"/>
        <w:rPr>
          <w:rFonts w:ascii="Century Gothic" w:hAnsi="Century Gothic"/>
          <w:sz w:val="22"/>
          <w:szCs w:val="22"/>
        </w:rPr>
      </w:pPr>
      <w:r>
        <w:rPr>
          <w:rFonts w:ascii="Century Gothic" w:hAnsi="Century Gothic"/>
          <w:sz w:val="22"/>
          <w:szCs w:val="22"/>
        </w:rPr>
        <w:t>p</w:t>
      </w:r>
      <w:r w:rsidRPr="00A96674">
        <w:rPr>
          <w:rFonts w:ascii="Century Gothic" w:hAnsi="Century Gothic"/>
          <w:sz w:val="22"/>
          <w:szCs w:val="22"/>
        </w:rPr>
        <w:t xml:space="preserve">riestorovo vzdialené a zložité prepojenie urgentného príjmu s ťažkou diagnostickou </w:t>
      </w:r>
      <w:r w:rsidR="007756C0">
        <w:rPr>
          <w:rFonts w:ascii="Century Gothic" w:hAnsi="Century Gothic"/>
          <w:sz w:val="22"/>
          <w:szCs w:val="22"/>
        </w:rPr>
        <w:t>technikou (RTG, CT, MR a pod.),</w:t>
      </w:r>
    </w:p>
    <w:p w14:paraId="0F62AEA8" w14:textId="2C86D8C2" w:rsidR="006D51F4" w:rsidRPr="00A96674" w:rsidRDefault="006D51F4" w:rsidP="007756C0">
      <w:pPr>
        <w:pStyle w:val="Odsekzoznamu"/>
        <w:numPr>
          <w:ilvl w:val="0"/>
          <w:numId w:val="39"/>
        </w:numPr>
        <w:spacing w:line="240" w:lineRule="auto"/>
        <w:ind w:left="714" w:hanging="357"/>
        <w:rPr>
          <w:rFonts w:ascii="Century Gothic" w:hAnsi="Century Gothic"/>
          <w:sz w:val="22"/>
          <w:szCs w:val="22"/>
        </w:rPr>
      </w:pPr>
      <w:r>
        <w:rPr>
          <w:rFonts w:ascii="Century Gothic" w:hAnsi="Century Gothic"/>
          <w:sz w:val="22"/>
          <w:szCs w:val="22"/>
        </w:rPr>
        <w:t>n</w:t>
      </w:r>
      <w:r w:rsidRPr="00A96674">
        <w:rPr>
          <w:rFonts w:ascii="Century Gothic" w:hAnsi="Century Gothic"/>
          <w:sz w:val="22"/>
          <w:szCs w:val="22"/>
        </w:rPr>
        <w:t>eexistuje prepojenie medzi oddelením OAIM a os</w:t>
      </w:r>
      <w:r w:rsidR="007756C0">
        <w:rPr>
          <w:rFonts w:ascii="Century Gothic" w:hAnsi="Century Gothic"/>
          <w:sz w:val="22"/>
          <w:szCs w:val="22"/>
        </w:rPr>
        <w:t>tatnými intenzívnymi jednotkami,</w:t>
      </w:r>
    </w:p>
    <w:p w14:paraId="57D32574" w14:textId="03E6C17C" w:rsidR="006D51F4" w:rsidRPr="00A96674" w:rsidRDefault="006D51F4" w:rsidP="007756C0">
      <w:pPr>
        <w:pStyle w:val="Odsekzoznamu"/>
        <w:numPr>
          <w:ilvl w:val="0"/>
          <w:numId w:val="39"/>
        </w:numPr>
        <w:spacing w:line="240" w:lineRule="auto"/>
        <w:ind w:left="714" w:hanging="357"/>
        <w:rPr>
          <w:rFonts w:ascii="Century Gothic" w:hAnsi="Century Gothic"/>
          <w:sz w:val="22"/>
          <w:szCs w:val="22"/>
        </w:rPr>
      </w:pPr>
      <w:r>
        <w:rPr>
          <w:rFonts w:ascii="Century Gothic" w:hAnsi="Century Gothic"/>
          <w:sz w:val="22"/>
          <w:szCs w:val="22"/>
        </w:rPr>
        <w:t>n</w:t>
      </w:r>
      <w:r w:rsidRPr="00A96674">
        <w:rPr>
          <w:rFonts w:ascii="Century Gothic" w:hAnsi="Century Gothic"/>
          <w:sz w:val="22"/>
          <w:szCs w:val="22"/>
        </w:rPr>
        <w:t>ie je prepojenie operačných sál a </w:t>
      </w:r>
      <w:proofErr w:type="spellStart"/>
      <w:r w:rsidRPr="00A96674">
        <w:rPr>
          <w:rFonts w:ascii="Century Gothic" w:hAnsi="Century Gothic"/>
          <w:sz w:val="22"/>
          <w:szCs w:val="22"/>
        </w:rPr>
        <w:t>expek</w:t>
      </w:r>
      <w:r w:rsidR="007756C0">
        <w:rPr>
          <w:rFonts w:ascii="Century Gothic" w:hAnsi="Century Gothic"/>
          <w:sz w:val="22"/>
          <w:szCs w:val="22"/>
        </w:rPr>
        <w:t>tačných</w:t>
      </w:r>
      <w:proofErr w:type="spellEnd"/>
      <w:r w:rsidR="007756C0">
        <w:rPr>
          <w:rFonts w:ascii="Century Gothic" w:hAnsi="Century Gothic"/>
          <w:sz w:val="22"/>
          <w:szCs w:val="22"/>
        </w:rPr>
        <w:t xml:space="preserve">- </w:t>
      </w:r>
      <w:proofErr w:type="spellStart"/>
      <w:r w:rsidR="007756C0">
        <w:rPr>
          <w:rFonts w:ascii="Century Gothic" w:hAnsi="Century Gothic"/>
          <w:sz w:val="22"/>
          <w:szCs w:val="22"/>
        </w:rPr>
        <w:t>dospávacích</w:t>
      </w:r>
      <w:proofErr w:type="spellEnd"/>
      <w:r w:rsidR="007756C0">
        <w:rPr>
          <w:rFonts w:ascii="Century Gothic" w:hAnsi="Century Gothic"/>
          <w:sz w:val="22"/>
          <w:szCs w:val="22"/>
        </w:rPr>
        <w:t xml:space="preserve"> miestností,</w:t>
      </w:r>
    </w:p>
    <w:p w14:paraId="5A50C119" w14:textId="4D00BD52" w:rsidR="006D51F4" w:rsidRPr="00A96674" w:rsidRDefault="006D51F4" w:rsidP="007756C0">
      <w:pPr>
        <w:pStyle w:val="Odsekzoznamu"/>
        <w:numPr>
          <w:ilvl w:val="0"/>
          <w:numId w:val="39"/>
        </w:numPr>
        <w:spacing w:line="240" w:lineRule="auto"/>
        <w:ind w:left="714" w:hanging="357"/>
        <w:rPr>
          <w:rFonts w:ascii="Century Gothic" w:hAnsi="Century Gothic"/>
          <w:sz w:val="22"/>
          <w:szCs w:val="22"/>
        </w:rPr>
      </w:pPr>
      <w:r>
        <w:rPr>
          <w:rFonts w:ascii="Century Gothic" w:hAnsi="Century Gothic"/>
          <w:sz w:val="22"/>
          <w:szCs w:val="22"/>
        </w:rPr>
        <w:t>n</w:t>
      </w:r>
      <w:r w:rsidRPr="00A96674">
        <w:rPr>
          <w:rFonts w:ascii="Century Gothic" w:hAnsi="Century Gothic"/>
          <w:sz w:val="22"/>
          <w:szCs w:val="22"/>
        </w:rPr>
        <w:t>ie je dostatočná vzdialenosť – prepojenie operačných sál resuscitačných odborov medzi sebou, tzn. neexistuje relevantne vybavená operačná sála s možnosťou následnej operačnej starostlivosti</w:t>
      </w:r>
      <w:r w:rsidR="007756C0">
        <w:rPr>
          <w:rFonts w:ascii="Century Gothic" w:hAnsi="Century Gothic"/>
          <w:sz w:val="22"/>
          <w:szCs w:val="22"/>
        </w:rPr>
        <w:t xml:space="preserve"> hlava-hrudník-brucho-končatiny,</w:t>
      </w:r>
    </w:p>
    <w:p w14:paraId="670CB818" w14:textId="382E5F16" w:rsidR="006D51F4" w:rsidRPr="00A96674" w:rsidRDefault="006D51F4" w:rsidP="007756C0">
      <w:pPr>
        <w:pStyle w:val="Odsekzoznamu"/>
        <w:numPr>
          <w:ilvl w:val="0"/>
          <w:numId w:val="39"/>
        </w:numPr>
        <w:spacing w:line="240" w:lineRule="auto"/>
        <w:ind w:left="714" w:hanging="357"/>
        <w:rPr>
          <w:rFonts w:ascii="Century Gothic" w:hAnsi="Century Gothic"/>
          <w:sz w:val="22"/>
          <w:szCs w:val="22"/>
        </w:rPr>
      </w:pPr>
      <w:r>
        <w:rPr>
          <w:rFonts w:ascii="Century Gothic" w:hAnsi="Century Gothic"/>
          <w:sz w:val="22"/>
          <w:szCs w:val="22"/>
        </w:rPr>
        <w:t>n</w:t>
      </w:r>
      <w:r w:rsidRPr="00A96674">
        <w:rPr>
          <w:rFonts w:ascii="Century Gothic" w:hAnsi="Century Gothic"/>
          <w:sz w:val="22"/>
          <w:szCs w:val="22"/>
        </w:rPr>
        <w:t>eadekvátne reťazenie priestorov fyziologického pôrodu, sekčnej sály a resuscitačnej starostlivosti pre patologického novorodenca.</w:t>
      </w:r>
    </w:p>
    <w:p w14:paraId="507A6F80" w14:textId="2C327F42" w:rsidR="00563C8F" w:rsidRDefault="00563C8F" w:rsidP="009C43E6">
      <w:pPr>
        <w:autoSpaceDE w:val="0"/>
        <w:autoSpaceDN w:val="0"/>
        <w:adjustRightInd w:val="0"/>
        <w:spacing w:line="240" w:lineRule="auto"/>
        <w:rPr>
          <w:rFonts w:ascii="Century Gothic" w:hAnsi="Century Gothic" w:cs="Arial"/>
          <w:b/>
          <w:sz w:val="22"/>
          <w:szCs w:val="22"/>
        </w:rPr>
      </w:pPr>
    </w:p>
    <w:p w14:paraId="5B9CD61F" w14:textId="77777777" w:rsidR="00630FF6" w:rsidRPr="0050590A" w:rsidRDefault="00630FF6" w:rsidP="0050590A">
      <w:pPr>
        <w:spacing w:line="240" w:lineRule="auto"/>
        <w:rPr>
          <w:rFonts w:ascii="Century Gothic" w:hAnsi="Century Gothic"/>
          <w:sz w:val="22"/>
          <w:szCs w:val="22"/>
        </w:rPr>
      </w:pPr>
      <w:r w:rsidRPr="0050590A">
        <w:rPr>
          <w:rFonts w:ascii="Century Gothic" w:hAnsi="Century Gothic"/>
          <w:sz w:val="22"/>
          <w:szCs w:val="22"/>
        </w:rPr>
        <w:t>Súčasný</w:t>
      </w:r>
      <w:r w:rsidRPr="0050590A">
        <w:rPr>
          <w:rFonts w:ascii="Century Gothic" w:hAnsi="Century Gothic"/>
          <w:i/>
          <w:iCs/>
          <w:sz w:val="22"/>
          <w:szCs w:val="22"/>
        </w:rPr>
        <w:t xml:space="preserve"> </w:t>
      </w:r>
      <w:r w:rsidRPr="0050590A">
        <w:rPr>
          <w:rFonts w:ascii="Century Gothic" w:hAnsi="Century Gothic"/>
          <w:sz w:val="22"/>
          <w:szCs w:val="22"/>
        </w:rPr>
        <w:t>urgentný príjem II. typu – budova je investícia z roku 2011 s nedostatočným priestorovým zázemím. Celková podlahová plocha predstavuje  550 m</w:t>
      </w:r>
      <w:r w:rsidRPr="0050590A">
        <w:rPr>
          <w:rFonts w:ascii="Century Gothic" w:hAnsi="Century Gothic"/>
          <w:sz w:val="22"/>
          <w:szCs w:val="22"/>
          <w:vertAlign w:val="superscript"/>
        </w:rPr>
        <w:t>2</w:t>
      </w:r>
      <w:r w:rsidRPr="0050590A">
        <w:rPr>
          <w:rFonts w:ascii="Century Gothic" w:hAnsi="Century Gothic"/>
          <w:sz w:val="22"/>
          <w:szCs w:val="22"/>
        </w:rPr>
        <w:t xml:space="preserve"> s konštrukčnou výškou 3,9 m. V priestoroch vyčlenených pre ambulancie sa z priestorových dôvodov nachádzajú iba 3 oddelenia (ide o vnútorné lekárstvo -  2 ambulancie, chirurgická ambulancia  a ambulancia úrazovej chirurgie). </w:t>
      </w:r>
    </w:p>
    <w:p w14:paraId="2ACF5D65" w14:textId="77777777" w:rsidR="00630FF6" w:rsidRPr="0050590A" w:rsidRDefault="00630FF6" w:rsidP="0050590A">
      <w:pPr>
        <w:spacing w:line="240" w:lineRule="auto"/>
        <w:rPr>
          <w:rFonts w:ascii="Century Gothic" w:hAnsi="Century Gothic"/>
          <w:sz w:val="22"/>
          <w:szCs w:val="22"/>
        </w:rPr>
      </w:pPr>
      <w:r w:rsidRPr="0050590A">
        <w:rPr>
          <w:rFonts w:ascii="Century Gothic" w:hAnsi="Century Gothic"/>
          <w:sz w:val="22"/>
          <w:szCs w:val="22"/>
        </w:rPr>
        <w:t xml:space="preserve">Na týchto troch ambulanciách je ročne ošetrených 33-tis. pacientov, čo je z pohľadu priestorových kapacít absolútne nedostatočné priestorové vybavenie. Nedostatočný je  počet </w:t>
      </w:r>
      <w:proofErr w:type="spellStart"/>
      <w:r w:rsidRPr="0050590A">
        <w:rPr>
          <w:rFonts w:ascii="Century Gothic" w:hAnsi="Century Gothic"/>
          <w:sz w:val="22"/>
          <w:szCs w:val="22"/>
        </w:rPr>
        <w:t>expektačných</w:t>
      </w:r>
      <w:proofErr w:type="spellEnd"/>
      <w:r w:rsidRPr="0050590A">
        <w:rPr>
          <w:rFonts w:ascii="Century Gothic" w:hAnsi="Century Gothic"/>
          <w:sz w:val="22"/>
          <w:szCs w:val="22"/>
        </w:rPr>
        <w:t xml:space="preserve"> lôžok na spádovú oblasť, ktorá predstavuje cca 220-tis. obyvateľov.  </w:t>
      </w:r>
    </w:p>
    <w:p w14:paraId="703EC860" w14:textId="77777777" w:rsidR="00630FF6" w:rsidRPr="0050590A" w:rsidRDefault="00630FF6" w:rsidP="0050590A">
      <w:pPr>
        <w:spacing w:line="240" w:lineRule="auto"/>
        <w:rPr>
          <w:rFonts w:ascii="Century Gothic" w:hAnsi="Century Gothic"/>
          <w:sz w:val="22"/>
          <w:szCs w:val="22"/>
        </w:rPr>
      </w:pPr>
      <w:r w:rsidRPr="0050590A">
        <w:rPr>
          <w:rFonts w:ascii="Century Gothic" w:hAnsi="Century Gothic"/>
          <w:sz w:val="22"/>
          <w:szCs w:val="22"/>
        </w:rPr>
        <w:t xml:space="preserve">Ostatné ambulancie ÚPS sú z priestorových dôvodov, ako aj z dôvodov, že nemocnica je pavilónového typu,  umiestnené  pri jednotlivých oddeleniach v jednotlivých pavilónoch, čo je v najmä v prípade neurologickej ambulancie ÚPS medicínsky a logisticky problém pri efektívnej </w:t>
      </w:r>
      <w:proofErr w:type="spellStart"/>
      <w:r w:rsidRPr="0050590A">
        <w:rPr>
          <w:rFonts w:ascii="Century Gothic" w:hAnsi="Century Gothic"/>
          <w:sz w:val="22"/>
          <w:szCs w:val="22"/>
        </w:rPr>
        <w:t>observácii</w:t>
      </w:r>
      <w:proofErr w:type="spellEnd"/>
      <w:r w:rsidRPr="0050590A">
        <w:rPr>
          <w:rFonts w:ascii="Century Gothic" w:hAnsi="Century Gothic"/>
          <w:sz w:val="22"/>
          <w:szCs w:val="22"/>
        </w:rPr>
        <w:t xml:space="preserve"> a diagnostike pacientov v akútnom stave.</w:t>
      </w:r>
    </w:p>
    <w:p w14:paraId="3399FF2A" w14:textId="77777777" w:rsidR="00630FF6" w:rsidRPr="0050590A" w:rsidRDefault="00630FF6" w:rsidP="0050590A">
      <w:pPr>
        <w:spacing w:line="240" w:lineRule="auto"/>
        <w:rPr>
          <w:rFonts w:ascii="Century Gothic" w:hAnsi="Century Gothic"/>
          <w:sz w:val="22"/>
          <w:szCs w:val="22"/>
        </w:rPr>
      </w:pPr>
      <w:r w:rsidRPr="0050590A">
        <w:rPr>
          <w:rFonts w:ascii="Century Gothic" w:hAnsi="Century Gothic"/>
          <w:sz w:val="22"/>
          <w:szCs w:val="22"/>
        </w:rPr>
        <w:t>Chýbajúca intervenčná kardiológia a neurológia pre rýchlu pomoc pri srdcových zlyhaniach a mozgových príhodách predstavujú nevyhnutnú súčasť celkovej  efektívnej  a racionálnej  liečby, čo sa najmä do budúcnosti javí ako nevyhnutný predpoklad riadneho a medicínsky správneho poskytovania ZS (dodržanie nepísaného pravidla zlatej hodinky – pri srdcovo-cievnych zlyhaniach a pod.).</w:t>
      </w:r>
    </w:p>
    <w:p w14:paraId="35DEC480" w14:textId="77777777" w:rsidR="00630FF6" w:rsidRPr="0050590A" w:rsidRDefault="00630FF6" w:rsidP="0050590A">
      <w:pPr>
        <w:spacing w:line="240" w:lineRule="auto"/>
        <w:rPr>
          <w:rFonts w:ascii="Century Gothic" w:hAnsi="Century Gothic"/>
          <w:sz w:val="22"/>
          <w:szCs w:val="22"/>
        </w:rPr>
      </w:pPr>
      <w:proofErr w:type="spellStart"/>
      <w:r w:rsidRPr="0050590A">
        <w:rPr>
          <w:rFonts w:ascii="Century Gothic" w:hAnsi="Century Gothic"/>
          <w:sz w:val="22"/>
          <w:szCs w:val="22"/>
        </w:rPr>
        <w:t>Heliport</w:t>
      </w:r>
      <w:proofErr w:type="spellEnd"/>
      <w:r w:rsidRPr="0050590A">
        <w:rPr>
          <w:rFonts w:ascii="Century Gothic" w:hAnsi="Century Gothic"/>
          <w:sz w:val="22"/>
          <w:szCs w:val="22"/>
        </w:rPr>
        <w:t xml:space="preserve"> nespĺňa požiadavky na </w:t>
      </w:r>
      <w:proofErr w:type="spellStart"/>
      <w:r w:rsidRPr="0050590A">
        <w:rPr>
          <w:rFonts w:ascii="Century Gothic" w:hAnsi="Century Gothic"/>
          <w:sz w:val="22"/>
          <w:szCs w:val="22"/>
        </w:rPr>
        <w:t>heliporty</w:t>
      </w:r>
      <w:proofErr w:type="spellEnd"/>
      <w:r w:rsidRPr="0050590A">
        <w:rPr>
          <w:rFonts w:ascii="Century Gothic" w:hAnsi="Century Gothic"/>
          <w:sz w:val="22"/>
          <w:szCs w:val="22"/>
        </w:rPr>
        <w:t xml:space="preserve"> hlavne z pohľadu jeho prepojenia s urgentným príjmom. Z pohľadu priestorovej dispozície ide o 570 m vzdialenosť medzi uvedenými objektami, čo je v rozpore s požiadavkami na umiestnenie </w:t>
      </w:r>
      <w:proofErr w:type="spellStart"/>
      <w:r w:rsidRPr="0050590A">
        <w:rPr>
          <w:rFonts w:ascii="Century Gothic" w:hAnsi="Century Gothic"/>
          <w:sz w:val="22"/>
          <w:szCs w:val="22"/>
        </w:rPr>
        <w:t>heliportu</w:t>
      </w:r>
      <w:proofErr w:type="spellEnd"/>
      <w:r w:rsidRPr="0050590A">
        <w:rPr>
          <w:rFonts w:ascii="Century Gothic" w:hAnsi="Century Gothic"/>
          <w:sz w:val="22"/>
          <w:szCs w:val="22"/>
        </w:rPr>
        <w:t>.</w:t>
      </w:r>
    </w:p>
    <w:p w14:paraId="2848D641" w14:textId="1DEEBAD3" w:rsidR="00630FF6" w:rsidRDefault="00630FF6" w:rsidP="009C43E6">
      <w:pPr>
        <w:autoSpaceDE w:val="0"/>
        <w:autoSpaceDN w:val="0"/>
        <w:adjustRightInd w:val="0"/>
        <w:spacing w:line="240" w:lineRule="auto"/>
        <w:rPr>
          <w:rFonts w:ascii="Century Gothic" w:hAnsi="Century Gothic" w:cs="Arial"/>
          <w:b/>
          <w:sz w:val="22"/>
          <w:szCs w:val="22"/>
        </w:rPr>
      </w:pPr>
    </w:p>
    <w:p w14:paraId="01780B17" w14:textId="6B34B2DB" w:rsidR="009812F1" w:rsidRDefault="007756C0" w:rsidP="009C43E6">
      <w:p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Výstavba nového P</w:t>
      </w:r>
      <w:r w:rsidR="00563C8F">
        <w:rPr>
          <w:rFonts w:ascii="Century Gothic" w:hAnsi="Century Gothic" w:cs="Arial"/>
          <w:sz w:val="22"/>
          <w:szCs w:val="22"/>
        </w:rPr>
        <w:t xml:space="preserve">avilónu urgentnej medicíny vyrieši, alebo minimálne zásadným spôsobom vylepší všetky uvedené negatívne a neefektívne nastavené aspekty a procesy poskytovania ZS v rámci </w:t>
      </w:r>
      <w:proofErr w:type="spellStart"/>
      <w:r w:rsidR="00563C8F">
        <w:rPr>
          <w:rFonts w:ascii="Century Gothic" w:hAnsi="Century Gothic" w:cs="Arial"/>
          <w:sz w:val="22"/>
          <w:szCs w:val="22"/>
        </w:rPr>
        <w:t>FNsP</w:t>
      </w:r>
      <w:proofErr w:type="spellEnd"/>
      <w:r w:rsidR="00FE1699">
        <w:rPr>
          <w:rFonts w:ascii="Century Gothic" w:hAnsi="Century Gothic" w:cs="Arial"/>
          <w:sz w:val="22"/>
          <w:szCs w:val="22"/>
        </w:rPr>
        <w:t xml:space="preserve"> Žilina</w:t>
      </w:r>
      <w:r w:rsidR="00563C8F">
        <w:rPr>
          <w:rFonts w:ascii="Century Gothic" w:hAnsi="Century Gothic" w:cs="Arial"/>
          <w:sz w:val="22"/>
          <w:szCs w:val="22"/>
        </w:rPr>
        <w:t xml:space="preserve">. Ako bolo spomínané jedná sa predovšetkým a akútnu urgentnú medicínu poskytovanú v rámci </w:t>
      </w:r>
      <w:proofErr w:type="spellStart"/>
      <w:r w:rsidR="00563C8F">
        <w:rPr>
          <w:rFonts w:ascii="Century Gothic" w:hAnsi="Century Gothic" w:cs="Arial"/>
          <w:sz w:val="22"/>
          <w:szCs w:val="22"/>
        </w:rPr>
        <w:t>FNsP</w:t>
      </w:r>
      <w:proofErr w:type="spellEnd"/>
      <w:r w:rsidR="00FE1699">
        <w:rPr>
          <w:rFonts w:ascii="Century Gothic" w:hAnsi="Century Gothic" w:cs="Arial"/>
          <w:sz w:val="22"/>
          <w:szCs w:val="22"/>
        </w:rPr>
        <w:t xml:space="preserve"> Žilina</w:t>
      </w:r>
      <w:r w:rsidR="00563C8F">
        <w:rPr>
          <w:rFonts w:ascii="Century Gothic" w:hAnsi="Century Gothic" w:cs="Arial"/>
          <w:sz w:val="22"/>
          <w:szCs w:val="22"/>
        </w:rPr>
        <w:t>. Hlavným „</w:t>
      </w:r>
      <w:r w:rsidR="002A5925">
        <w:rPr>
          <w:rFonts w:ascii="Century Gothic" w:hAnsi="Century Gothic" w:cs="Arial"/>
          <w:sz w:val="22"/>
          <w:szCs w:val="22"/>
        </w:rPr>
        <w:t>zásadným</w:t>
      </w:r>
      <w:r w:rsidR="00563C8F">
        <w:rPr>
          <w:rFonts w:ascii="Century Gothic" w:hAnsi="Century Gothic" w:cs="Arial"/>
          <w:sz w:val="22"/>
          <w:szCs w:val="22"/>
        </w:rPr>
        <w:t>“ posunom bude maximálne možná centralizácia operačných sál a iných procesov hlavne v chirurgických disciplínach a s tým súvisiacich procesov. Nesmieme zabudnúť na zásadný posun v kvalite materiálno - technologického a technického zázemia a komfortu pre pacienta/klienta aj návštevníkov.</w:t>
      </w:r>
      <w:r w:rsidR="009812F1">
        <w:rPr>
          <w:rFonts w:ascii="Century Gothic" w:hAnsi="Century Gothic" w:cs="Arial"/>
          <w:sz w:val="22"/>
          <w:szCs w:val="22"/>
        </w:rPr>
        <w:t xml:space="preserve"> Vybudovanie priestorov v hygienickom štandardne pre  21</w:t>
      </w:r>
      <w:r w:rsidR="00FE1699">
        <w:rPr>
          <w:rFonts w:ascii="Century Gothic" w:hAnsi="Century Gothic" w:cs="Arial"/>
          <w:sz w:val="22"/>
          <w:szCs w:val="22"/>
        </w:rPr>
        <w:t>.</w:t>
      </w:r>
      <w:r w:rsidR="009812F1">
        <w:rPr>
          <w:rFonts w:ascii="Century Gothic" w:hAnsi="Century Gothic" w:cs="Arial"/>
          <w:sz w:val="22"/>
          <w:szCs w:val="22"/>
        </w:rPr>
        <w:t xml:space="preserve"> st</w:t>
      </w:r>
      <w:r w:rsidR="00FE1699">
        <w:rPr>
          <w:rFonts w:ascii="Century Gothic" w:hAnsi="Century Gothic" w:cs="Arial"/>
          <w:sz w:val="22"/>
          <w:szCs w:val="22"/>
        </w:rPr>
        <w:t xml:space="preserve">oročie </w:t>
      </w:r>
      <w:r w:rsidR="009812F1">
        <w:rPr>
          <w:rFonts w:ascii="Century Gothic" w:hAnsi="Century Gothic" w:cs="Arial"/>
          <w:sz w:val="22"/>
          <w:szCs w:val="22"/>
        </w:rPr>
        <w:t xml:space="preserve">prinesie zásadný posun aj v bezpečnosti prevádzky - hlavne z hľadiska </w:t>
      </w:r>
      <w:proofErr w:type="spellStart"/>
      <w:r w:rsidR="009812F1">
        <w:rPr>
          <w:rFonts w:ascii="Century Gothic" w:hAnsi="Century Gothic" w:cs="Arial"/>
          <w:sz w:val="22"/>
          <w:szCs w:val="22"/>
        </w:rPr>
        <w:t>nozokomiálnych</w:t>
      </w:r>
      <w:proofErr w:type="spellEnd"/>
      <w:r w:rsidR="009812F1">
        <w:rPr>
          <w:rFonts w:ascii="Century Gothic" w:hAnsi="Century Gothic" w:cs="Arial"/>
          <w:sz w:val="22"/>
          <w:szCs w:val="22"/>
        </w:rPr>
        <w:t xml:space="preserve"> infekcii, ale aj bezpečnosti prevádzky ako takej. </w:t>
      </w:r>
    </w:p>
    <w:p w14:paraId="5821D592" w14:textId="77777777" w:rsidR="002A5925" w:rsidRDefault="002A5925" w:rsidP="009C43E6">
      <w:pPr>
        <w:autoSpaceDE w:val="0"/>
        <w:autoSpaceDN w:val="0"/>
        <w:adjustRightInd w:val="0"/>
        <w:spacing w:line="240" w:lineRule="auto"/>
        <w:rPr>
          <w:rFonts w:ascii="Century Gothic" w:hAnsi="Century Gothic" w:cs="Arial"/>
          <w:sz w:val="22"/>
          <w:szCs w:val="22"/>
        </w:rPr>
      </w:pPr>
    </w:p>
    <w:p w14:paraId="1F12DEEC" w14:textId="71F3B96C" w:rsidR="00BE620D" w:rsidRDefault="009812F1" w:rsidP="009C43E6">
      <w:pPr>
        <w:spacing w:line="240" w:lineRule="auto"/>
        <w:rPr>
          <w:rFonts w:ascii="Century Gothic" w:hAnsi="Century Gothic"/>
          <w:b/>
          <w:sz w:val="28"/>
          <w:szCs w:val="28"/>
        </w:rPr>
      </w:pPr>
      <w:r>
        <w:rPr>
          <w:rFonts w:ascii="Century Gothic" w:hAnsi="Century Gothic" w:cs="Arial"/>
          <w:sz w:val="22"/>
          <w:szCs w:val="22"/>
        </w:rPr>
        <w:t xml:space="preserve">V rámci predprojektovej a projektovej prípravy sa riešila aj celková koncepcia dopravy a dopravného napojenia areálu, ale z hľadiska finančnej realizovateľnosti projektu sa investor rozhodol, že využije existujúce dopravné napojenie a až v prípade </w:t>
      </w:r>
      <w:r>
        <w:rPr>
          <w:rFonts w:ascii="Century Gothic" w:hAnsi="Century Gothic" w:cs="Arial"/>
          <w:sz w:val="22"/>
          <w:szCs w:val="22"/>
        </w:rPr>
        <w:lastRenderedPageBreak/>
        <w:t xml:space="preserve">úspešnej realizácie projektu nového pavilónu bude postupne realizovať aj odporúčania so štúdie dopravného napojenia podľa disponibilných zdrojov financovania.  </w:t>
      </w:r>
    </w:p>
    <w:p w14:paraId="146072FE" w14:textId="77777777" w:rsidR="001E50DB" w:rsidRDefault="001E50DB">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520D786D" w14:textId="3F755C3D" w:rsidR="007B7154" w:rsidRPr="00B46658"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27" w:name="_Toc145219960"/>
      <w:r w:rsidRPr="00B46658">
        <w:rPr>
          <w:rFonts w:ascii="Century Gothic" w:hAnsi="Century Gothic" w:cs="Calibri Light"/>
          <w:b w:val="0"/>
          <w:bCs w:val="0"/>
          <w:sz w:val="32"/>
          <w:szCs w:val="32"/>
          <w:lang w:eastAsia="en-US"/>
        </w:rPr>
        <w:lastRenderedPageBreak/>
        <w:t xml:space="preserve">Momentálny stav a predpoklad vývoja potrieb poskytovania zdravotnej starostlivosti pre región vo </w:t>
      </w:r>
      <w:proofErr w:type="spellStart"/>
      <w:r w:rsidRPr="00B46658">
        <w:rPr>
          <w:rFonts w:ascii="Century Gothic" w:hAnsi="Century Gothic" w:cs="Calibri Light"/>
          <w:b w:val="0"/>
          <w:bCs w:val="0"/>
          <w:sz w:val="32"/>
          <w:szCs w:val="32"/>
          <w:lang w:eastAsia="en-US"/>
        </w:rPr>
        <w:t>FNsP</w:t>
      </w:r>
      <w:proofErr w:type="spellEnd"/>
      <w:r w:rsidRPr="00B46658">
        <w:rPr>
          <w:rFonts w:ascii="Century Gothic" w:hAnsi="Century Gothic" w:cs="Calibri Light"/>
          <w:b w:val="0"/>
          <w:bCs w:val="0"/>
          <w:sz w:val="32"/>
          <w:szCs w:val="32"/>
          <w:lang w:eastAsia="en-US"/>
        </w:rPr>
        <w:t xml:space="preserve"> Žilina</w:t>
      </w:r>
      <w:bookmarkEnd w:id="127"/>
    </w:p>
    <w:p w14:paraId="69D1C722" w14:textId="77777777" w:rsidR="007B7154" w:rsidRDefault="007B7154" w:rsidP="007B7154">
      <w:pPr>
        <w:rPr>
          <w:rFonts w:ascii="Century Gothic" w:hAnsi="Century Gothic"/>
          <w:b/>
          <w:sz w:val="28"/>
          <w:szCs w:val="28"/>
        </w:rPr>
      </w:pPr>
    </w:p>
    <w:p w14:paraId="0F3E2C41" w14:textId="42606B28" w:rsidR="007B7154" w:rsidRPr="00E0451E" w:rsidRDefault="00E0451E"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28" w:name="_Toc145219961"/>
      <w:r w:rsidRPr="00E0451E">
        <w:rPr>
          <w:rFonts w:ascii="Century Gothic" w:hAnsi="Century Gothic" w:cs="Calibri Light"/>
          <w:b w:val="0"/>
          <w:bCs w:val="0"/>
          <w:color w:val="365F91" w:themeColor="accent1" w:themeShade="BF"/>
          <w:lang w:eastAsia="en-US"/>
        </w:rPr>
        <w:t>K</w:t>
      </w:r>
      <w:r w:rsidR="007B7154" w:rsidRPr="00E0451E">
        <w:rPr>
          <w:rFonts w:ascii="Century Gothic" w:hAnsi="Century Gothic" w:cs="Calibri Light"/>
          <w:b w:val="0"/>
          <w:bCs w:val="0"/>
          <w:color w:val="365F91" w:themeColor="accent1" w:themeShade="BF"/>
          <w:lang w:eastAsia="en-US"/>
        </w:rPr>
        <w:t xml:space="preserve">apacitný model poskytovania ZS vo </w:t>
      </w:r>
      <w:proofErr w:type="spellStart"/>
      <w:r w:rsidR="007B7154" w:rsidRPr="00E0451E">
        <w:rPr>
          <w:rFonts w:ascii="Century Gothic" w:hAnsi="Century Gothic" w:cs="Calibri Light"/>
          <w:b w:val="0"/>
          <w:bCs w:val="0"/>
          <w:color w:val="365F91" w:themeColor="accent1" w:themeShade="BF"/>
          <w:lang w:eastAsia="en-US"/>
        </w:rPr>
        <w:t>FNsP</w:t>
      </w:r>
      <w:proofErr w:type="spellEnd"/>
      <w:r w:rsidR="00561BEF">
        <w:rPr>
          <w:rFonts w:ascii="Century Gothic" w:hAnsi="Century Gothic" w:cs="Calibri Light"/>
          <w:b w:val="0"/>
          <w:bCs w:val="0"/>
          <w:color w:val="365F91" w:themeColor="accent1" w:themeShade="BF"/>
          <w:lang w:eastAsia="en-US"/>
        </w:rPr>
        <w:t xml:space="preserve"> </w:t>
      </w:r>
      <w:r w:rsidR="005D5AEE">
        <w:rPr>
          <w:rFonts w:ascii="Century Gothic" w:hAnsi="Century Gothic" w:cs="Calibri Light"/>
          <w:b w:val="0"/>
          <w:bCs w:val="0"/>
          <w:color w:val="365F91" w:themeColor="accent1" w:themeShade="BF"/>
          <w:lang w:eastAsia="en-US"/>
        </w:rPr>
        <w:t>Žilina</w:t>
      </w:r>
      <w:bookmarkEnd w:id="128"/>
    </w:p>
    <w:p w14:paraId="5F345FFA" w14:textId="77777777" w:rsidR="007B7154" w:rsidRDefault="007B7154" w:rsidP="007B7154">
      <w:pPr>
        <w:spacing w:line="240" w:lineRule="auto"/>
        <w:rPr>
          <w:rFonts w:ascii="Century Gothic" w:hAnsi="Century Gothic" w:cstheme="majorHAnsi"/>
        </w:rPr>
      </w:pPr>
    </w:p>
    <w:p w14:paraId="27A893EE" w14:textId="074F8060" w:rsidR="002A5925" w:rsidRDefault="002A5925" w:rsidP="002A5925">
      <w:pPr>
        <w:spacing w:line="240" w:lineRule="auto"/>
        <w:rPr>
          <w:rFonts w:ascii="Century Gothic" w:hAnsi="Century Gothic"/>
          <w:sz w:val="22"/>
          <w:szCs w:val="22"/>
        </w:rPr>
      </w:pPr>
      <w:r w:rsidRPr="002A5925">
        <w:rPr>
          <w:rFonts w:ascii="Century Gothic" w:hAnsi="Century Gothic"/>
          <w:sz w:val="22"/>
          <w:szCs w:val="22"/>
        </w:rPr>
        <w:t>Dopytový model vychádza z reálnych historických dát objemu poskytovanej zdravotnej starostlivosti realizovanej vo Fakultnej nemocnici s poliklinikou v Žiline v období 2016 až 2022. Je nastavený konzervatívne s tým, že všetky priemerné rasty za roky 2016-2022 sú postupne znižované o 10 % každý rok. Tam, kde sa vyskytuje záporný priemerný rast je počítané s nulovým rastom a zároveň do všetkých výpočtov vstupuje predpokladaný objem zdravotnej starostlivosti pre rok 2037 (10 rokov od realizácie investície).</w:t>
      </w:r>
    </w:p>
    <w:p w14:paraId="0FFC8858" w14:textId="77777777" w:rsidR="002A5925" w:rsidRPr="002A5925" w:rsidRDefault="002A5925" w:rsidP="002A5925">
      <w:pPr>
        <w:spacing w:line="240" w:lineRule="auto"/>
        <w:rPr>
          <w:rFonts w:ascii="Century Gothic" w:hAnsi="Century Gothic"/>
          <w:sz w:val="22"/>
          <w:szCs w:val="22"/>
        </w:rPr>
      </w:pPr>
    </w:p>
    <w:p w14:paraId="093FD114" w14:textId="280F21D3" w:rsidR="002A5925" w:rsidRPr="002A5925" w:rsidRDefault="002A5925" w:rsidP="002A5925">
      <w:pPr>
        <w:spacing w:line="240" w:lineRule="auto"/>
        <w:rPr>
          <w:rFonts w:ascii="Century Gothic" w:hAnsi="Century Gothic"/>
          <w:sz w:val="22"/>
          <w:szCs w:val="22"/>
        </w:rPr>
      </w:pPr>
      <w:r w:rsidRPr="002A5925">
        <w:rPr>
          <w:rFonts w:ascii="Century Gothic" w:hAnsi="Century Gothic"/>
          <w:sz w:val="22"/>
          <w:szCs w:val="22"/>
        </w:rPr>
        <w:t>Dopytový model vývoja poskytovania zdravotnej starostlivosti je nastavený podľa metodiky útvaru hodnoty za peniaze a metod</w:t>
      </w:r>
      <w:r w:rsidR="007756C0">
        <w:rPr>
          <w:rFonts w:ascii="Century Gothic" w:hAnsi="Century Gothic"/>
          <w:sz w:val="22"/>
          <w:szCs w:val="22"/>
        </w:rPr>
        <w:t>iky Ministerstva zdravotníctva S</w:t>
      </w:r>
      <w:r w:rsidRPr="002A5925">
        <w:rPr>
          <w:rFonts w:ascii="Century Gothic" w:hAnsi="Century Gothic"/>
          <w:sz w:val="22"/>
          <w:szCs w:val="22"/>
        </w:rPr>
        <w:t>lovenskej republiky pre hodnotenie investičných projektov nad 5 respektíve nad 20 miliónov EUR. Model je spracovaný s výhľadom na 30 rokov. Výstupom dopytového modelu je kapacitný model</w:t>
      </w:r>
      <w:r w:rsidR="007756C0">
        <w:rPr>
          <w:rFonts w:ascii="Century Gothic" w:hAnsi="Century Gothic"/>
          <w:sz w:val="22"/>
          <w:szCs w:val="22"/>
        </w:rPr>
        <w:t>,</w:t>
      </w:r>
      <w:r w:rsidRPr="002A5925">
        <w:rPr>
          <w:rFonts w:ascii="Century Gothic" w:hAnsi="Century Gothic"/>
          <w:sz w:val="22"/>
          <w:szCs w:val="22"/>
        </w:rPr>
        <w:t xml:space="preserve"> na základe ktorého bola spracovaná </w:t>
      </w:r>
      <w:proofErr w:type="spellStart"/>
      <w:r w:rsidRPr="002A5925">
        <w:rPr>
          <w:rFonts w:ascii="Century Gothic" w:hAnsi="Century Gothic"/>
          <w:sz w:val="22"/>
          <w:szCs w:val="22"/>
        </w:rPr>
        <w:t>hmotovo</w:t>
      </w:r>
      <w:proofErr w:type="spellEnd"/>
      <w:r w:rsidRPr="002A5925">
        <w:rPr>
          <w:rFonts w:ascii="Century Gothic" w:hAnsi="Century Gothic"/>
          <w:sz w:val="22"/>
          <w:szCs w:val="22"/>
        </w:rPr>
        <w:t xml:space="preserve"> objemová štúdia na základe ktorej </w:t>
      </w:r>
      <w:r w:rsidR="00D46D91">
        <w:rPr>
          <w:rFonts w:ascii="Century Gothic" w:hAnsi="Century Gothic"/>
          <w:sz w:val="22"/>
          <w:szCs w:val="22"/>
        </w:rPr>
        <w:t xml:space="preserve">sú a </w:t>
      </w:r>
      <w:r w:rsidRPr="002A5925">
        <w:rPr>
          <w:rFonts w:ascii="Century Gothic" w:hAnsi="Century Gothic"/>
          <w:sz w:val="22"/>
          <w:szCs w:val="22"/>
        </w:rPr>
        <w:t>budú postupne spracovávané ďalšie stupne projektovej dokumentácie</w:t>
      </w:r>
      <w:r w:rsidR="00D46D91">
        <w:rPr>
          <w:rFonts w:ascii="Century Gothic" w:hAnsi="Century Gothic"/>
          <w:sz w:val="22"/>
          <w:szCs w:val="22"/>
        </w:rPr>
        <w:t xml:space="preserve"> (</w:t>
      </w:r>
      <w:r w:rsidR="007756C0">
        <w:rPr>
          <w:rFonts w:ascii="Century Gothic" w:hAnsi="Century Gothic"/>
          <w:sz w:val="22"/>
          <w:szCs w:val="22"/>
        </w:rPr>
        <w:t>d</w:t>
      </w:r>
      <w:r w:rsidR="00D46D91">
        <w:rPr>
          <w:rFonts w:ascii="Century Gothic" w:hAnsi="Century Gothic"/>
          <w:sz w:val="22"/>
          <w:szCs w:val="22"/>
        </w:rPr>
        <w:t>okumentácia na územné rozhodnutie bola spracovaná na základe tohto kapacitného modelu)</w:t>
      </w:r>
      <w:r w:rsidR="007756C0">
        <w:rPr>
          <w:rFonts w:ascii="Century Gothic" w:hAnsi="Century Gothic"/>
          <w:sz w:val="22"/>
          <w:szCs w:val="22"/>
        </w:rPr>
        <w:t>.</w:t>
      </w:r>
    </w:p>
    <w:p w14:paraId="1FF04A35" w14:textId="77777777" w:rsidR="002A5925" w:rsidRDefault="002A5925" w:rsidP="002A5925">
      <w:pPr>
        <w:spacing w:line="240" w:lineRule="auto"/>
        <w:rPr>
          <w:rFonts w:ascii="Century Gothic" w:hAnsi="Century Gothic"/>
          <w:sz w:val="22"/>
          <w:szCs w:val="22"/>
        </w:rPr>
      </w:pPr>
    </w:p>
    <w:p w14:paraId="7044A7E8" w14:textId="20EF85E4" w:rsidR="002A5925" w:rsidRPr="002A5925" w:rsidRDefault="002A5925" w:rsidP="002A5925">
      <w:pPr>
        <w:spacing w:line="240" w:lineRule="auto"/>
        <w:rPr>
          <w:rFonts w:ascii="Century Gothic" w:hAnsi="Century Gothic"/>
          <w:sz w:val="22"/>
          <w:szCs w:val="22"/>
        </w:rPr>
      </w:pPr>
      <w:r w:rsidRPr="002A5925">
        <w:rPr>
          <w:rFonts w:ascii="Century Gothic" w:hAnsi="Century Gothic"/>
          <w:sz w:val="22"/>
          <w:szCs w:val="22"/>
        </w:rPr>
        <w:t>Dopytový model je z hľadiska medicínskeho plánovania rozdelený na nasledovné časť časti:</w:t>
      </w:r>
    </w:p>
    <w:p w14:paraId="14EA5F9A" w14:textId="32F351BE" w:rsidR="002A5925" w:rsidRPr="00E6153E" w:rsidRDefault="002A5925" w:rsidP="007F681B">
      <w:pPr>
        <w:pStyle w:val="Odsekzoznamu"/>
        <w:numPr>
          <w:ilvl w:val="0"/>
          <w:numId w:val="60"/>
        </w:numPr>
        <w:spacing w:line="240" w:lineRule="auto"/>
        <w:rPr>
          <w:rFonts w:ascii="Century Gothic" w:hAnsi="Century Gothic"/>
          <w:bCs/>
          <w:sz w:val="22"/>
          <w:szCs w:val="22"/>
        </w:rPr>
      </w:pPr>
      <w:r w:rsidRPr="00E6153E">
        <w:rPr>
          <w:rFonts w:ascii="Century Gothic" w:hAnsi="Century Gothic"/>
          <w:bCs/>
          <w:sz w:val="22"/>
          <w:szCs w:val="22"/>
        </w:rPr>
        <w:t>Ambulantná časť</w:t>
      </w:r>
      <w:r w:rsidR="0068259E">
        <w:rPr>
          <w:rFonts w:ascii="Century Gothic" w:hAnsi="Century Gothic"/>
          <w:bCs/>
          <w:sz w:val="22"/>
          <w:szCs w:val="22"/>
        </w:rPr>
        <w:t>.</w:t>
      </w:r>
    </w:p>
    <w:p w14:paraId="7E625535" w14:textId="77777777" w:rsidR="002A5925" w:rsidRPr="00E6153E" w:rsidRDefault="002A5925" w:rsidP="007F681B">
      <w:pPr>
        <w:pStyle w:val="Odsekzoznamu"/>
        <w:numPr>
          <w:ilvl w:val="0"/>
          <w:numId w:val="60"/>
        </w:numPr>
        <w:spacing w:line="240" w:lineRule="auto"/>
        <w:rPr>
          <w:rFonts w:ascii="Century Gothic" w:hAnsi="Century Gothic"/>
          <w:bCs/>
          <w:sz w:val="22"/>
          <w:szCs w:val="22"/>
        </w:rPr>
      </w:pPr>
      <w:r w:rsidRPr="00E6153E">
        <w:rPr>
          <w:rFonts w:ascii="Century Gothic" w:hAnsi="Century Gothic"/>
          <w:bCs/>
          <w:sz w:val="22"/>
          <w:szCs w:val="22"/>
        </w:rPr>
        <w:t>SVALZY</w:t>
      </w:r>
    </w:p>
    <w:p w14:paraId="1D6BD049" w14:textId="39636F19" w:rsidR="002A5925" w:rsidRPr="00E6153E" w:rsidRDefault="002A5925" w:rsidP="007F681B">
      <w:pPr>
        <w:pStyle w:val="Odsekzoznamu"/>
        <w:numPr>
          <w:ilvl w:val="0"/>
          <w:numId w:val="60"/>
        </w:numPr>
        <w:spacing w:line="240" w:lineRule="auto"/>
        <w:rPr>
          <w:rFonts w:ascii="Century Gothic" w:hAnsi="Century Gothic"/>
          <w:bCs/>
          <w:sz w:val="22"/>
          <w:szCs w:val="22"/>
        </w:rPr>
      </w:pPr>
      <w:r w:rsidRPr="00E6153E">
        <w:rPr>
          <w:rFonts w:ascii="Century Gothic" w:hAnsi="Century Gothic"/>
          <w:bCs/>
          <w:sz w:val="22"/>
          <w:szCs w:val="22"/>
        </w:rPr>
        <w:t>Jednodňová zdravotná starostlivosť</w:t>
      </w:r>
      <w:r w:rsidR="0068259E">
        <w:rPr>
          <w:rFonts w:ascii="Century Gothic" w:hAnsi="Century Gothic"/>
          <w:bCs/>
          <w:sz w:val="22"/>
          <w:szCs w:val="22"/>
        </w:rPr>
        <w:t>.</w:t>
      </w:r>
    </w:p>
    <w:p w14:paraId="4C224813" w14:textId="66A5BFFB" w:rsidR="002A5925" w:rsidRPr="00E6153E" w:rsidRDefault="002A5925" w:rsidP="007F681B">
      <w:pPr>
        <w:pStyle w:val="Odsekzoznamu"/>
        <w:numPr>
          <w:ilvl w:val="0"/>
          <w:numId w:val="60"/>
        </w:numPr>
        <w:spacing w:line="240" w:lineRule="auto"/>
        <w:rPr>
          <w:rFonts w:ascii="Century Gothic" w:hAnsi="Century Gothic"/>
          <w:bCs/>
          <w:sz w:val="22"/>
          <w:szCs w:val="22"/>
        </w:rPr>
      </w:pPr>
      <w:r w:rsidRPr="00E6153E">
        <w:rPr>
          <w:rFonts w:ascii="Century Gothic" w:hAnsi="Century Gothic"/>
          <w:bCs/>
          <w:sz w:val="22"/>
          <w:szCs w:val="22"/>
        </w:rPr>
        <w:t>Operácie</w:t>
      </w:r>
      <w:r w:rsidR="0068259E">
        <w:rPr>
          <w:rFonts w:ascii="Century Gothic" w:hAnsi="Century Gothic"/>
          <w:bCs/>
          <w:sz w:val="22"/>
          <w:szCs w:val="22"/>
        </w:rPr>
        <w:t>.</w:t>
      </w:r>
    </w:p>
    <w:p w14:paraId="5A33ECA6" w14:textId="3DF8274F" w:rsidR="002A5925" w:rsidRPr="00E6153E" w:rsidRDefault="002A5925" w:rsidP="007F681B">
      <w:pPr>
        <w:pStyle w:val="Odsekzoznamu"/>
        <w:numPr>
          <w:ilvl w:val="0"/>
          <w:numId w:val="60"/>
        </w:numPr>
        <w:spacing w:line="240" w:lineRule="auto"/>
        <w:rPr>
          <w:rFonts w:ascii="Century Gothic" w:hAnsi="Century Gothic"/>
          <w:bCs/>
          <w:sz w:val="22"/>
          <w:szCs w:val="22"/>
        </w:rPr>
      </w:pPr>
      <w:r w:rsidRPr="00E6153E">
        <w:rPr>
          <w:rFonts w:ascii="Century Gothic" w:hAnsi="Century Gothic"/>
          <w:bCs/>
          <w:sz w:val="22"/>
          <w:szCs w:val="22"/>
        </w:rPr>
        <w:t>Pôrody</w:t>
      </w:r>
      <w:r w:rsidR="0068259E">
        <w:rPr>
          <w:rFonts w:ascii="Century Gothic" w:hAnsi="Century Gothic"/>
          <w:bCs/>
          <w:sz w:val="22"/>
          <w:szCs w:val="22"/>
        </w:rPr>
        <w:t>.</w:t>
      </w:r>
    </w:p>
    <w:p w14:paraId="150A7DCA" w14:textId="034E84E3" w:rsidR="002A5925" w:rsidRPr="00E6153E" w:rsidRDefault="002A5925" w:rsidP="007F681B">
      <w:pPr>
        <w:pStyle w:val="Odsekzoznamu"/>
        <w:numPr>
          <w:ilvl w:val="0"/>
          <w:numId w:val="60"/>
        </w:numPr>
        <w:spacing w:line="240" w:lineRule="auto"/>
        <w:rPr>
          <w:rFonts w:ascii="Century Gothic" w:hAnsi="Century Gothic"/>
          <w:bCs/>
          <w:sz w:val="22"/>
          <w:szCs w:val="22"/>
        </w:rPr>
      </w:pPr>
      <w:r w:rsidRPr="00E6153E">
        <w:rPr>
          <w:rFonts w:ascii="Century Gothic" w:hAnsi="Century Gothic"/>
          <w:bCs/>
          <w:sz w:val="22"/>
          <w:szCs w:val="22"/>
        </w:rPr>
        <w:t>Ukončené hospitalizácie</w:t>
      </w:r>
      <w:r w:rsidR="0068259E">
        <w:rPr>
          <w:rFonts w:ascii="Century Gothic" w:hAnsi="Century Gothic"/>
          <w:bCs/>
          <w:sz w:val="22"/>
          <w:szCs w:val="22"/>
        </w:rPr>
        <w:t>.</w:t>
      </w:r>
    </w:p>
    <w:p w14:paraId="4E886DEC" w14:textId="77777777" w:rsidR="002A5925" w:rsidRDefault="002A5925" w:rsidP="002A5925">
      <w:pPr>
        <w:pStyle w:val="Odsekzoznamu"/>
        <w:spacing w:line="240" w:lineRule="auto"/>
        <w:rPr>
          <w:bCs/>
        </w:rPr>
      </w:pPr>
    </w:p>
    <w:p w14:paraId="62EDD1C5" w14:textId="77777777" w:rsidR="002A5925" w:rsidRPr="002A5925" w:rsidRDefault="002A5925" w:rsidP="002A5925">
      <w:pPr>
        <w:spacing w:line="240" w:lineRule="auto"/>
        <w:rPr>
          <w:rFonts w:ascii="Century Gothic" w:hAnsi="Century Gothic"/>
          <w:sz w:val="22"/>
          <w:szCs w:val="22"/>
        </w:rPr>
      </w:pPr>
      <w:r w:rsidRPr="002A5925">
        <w:rPr>
          <w:rFonts w:ascii="Century Gothic" w:hAnsi="Century Gothic"/>
          <w:sz w:val="22"/>
          <w:szCs w:val="22"/>
        </w:rPr>
        <w:t xml:space="preserve">Výstupom kapacitného modelu poskytovania zdravotnej starostlivosti je definovanie potrebných priestorových kapacít ako základný výstup pre </w:t>
      </w:r>
      <w:proofErr w:type="spellStart"/>
      <w:r w:rsidRPr="002A5925">
        <w:rPr>
          <w:rFonts w:ascii="Century Gothic" w:hAnsi="Century Gothic"/>
          <w:sz w:val="22"/>
          <w:szCs w:val="22"/>
        </w:rPr>
        <w:t>hmotovo</w:t>
      </w:r>
      <w:proofErr w:type="spellEnd"/>
      <w:r w:rsidRPr="002A5925">
        <w:rPr>
          <w:rFonts w:ascii="Century Gothic" w:hAnsi="Century Gothic"/>
          <w:sz w:val="22"/>
          <w:szCs w:val="22"/>
        </w:rPr>
        <w:t xml:space="preserve"> objemovú štúdiu a predprojektovú a projektovú prípravu samotnej stavebnej investície.</w:t>
      </w:r>
    </w:p>
    <w:p w14:paraId="58956701" w14:textId="77777777" w:rsidR="002A5925" w:rsidRPr="002A5925" w:rsidRDefault="002A5925" w:rsidP="002A5925">
      <w:pPr>
        <w:spacing w:line="240" w:lineRule="auto"/>
        <w:rPr>
          <w:rFonts w:ascii="Century Gothic" w:hAnsi="Century Gothic"/>
          <w:sz w:val="22"/>
          <w:szCs w:val="22"/>
        </w:rPr>
      </w:pPr>
    </w:p>
    <w:p w14:paraId="769D758A" w14:textId="0C83B0C1" w:rsidR="002A5925" w:rsidRPr="002A5925" w:rsidRDefault="002A5925" w:rsidP="002A5925">
      <w:pPr>
        <w:spacing w:line="240" w:lineRule="auto"/>
        <w:rPr>
          <w:rFonts w:ascii="Century Gothic" w:hAnsi="Century Gothic"/>
          <w:sz w:val="22"/>
          <w:szCs w:val="22"/>
        </w:rPr>
      </w:pPr>
      <w:r w:rsidRPr="002A5925">
        <w:rPr>
          <w:rFonts w:ascii="Century Gothic" w:hAnsi="Century Gothic"/>
          <w:sz w:val="22"/>
          <w:szCs w:val="22"/>
        </w:rPr>
        <w:t xml:space="preserve">Samotný kapacitný model dáva predpoklad odhadu priestorových nárokov jednotlivých časti pripravovanej stavebnej investície a po definovaní odhadovaných plošných nárokov budúcej budovy, slúži zároveň ako podklad pre stanovenie odhadovanej výšky investičných nákladov pre potreby </w:t>
      </w:r>
      <w:r w:rsidR="00545CE4">
        <w:rPr>
          <w:rFonts w:ascii="Century Gothic" w:hAnsi="Century Gothic"/>
          <w:sz w:val="22"/>
          <w:szCs w:val="22"/>
        </w:rPr>
        <w:t xml:space="preserve">tejto </w:t>
      </w:r>
      <w:r w:rsidRPr="002A5925">
        <w:rPr>
          <w:rFonts w:ascii="Century Gothic" w:hAnsi="Century Gothic"/>
          <w:sz w:val="22"/>
          <w:szCs w:val="22"/>
        </w:rPr>
        <w:t>štúdie realizovateľnosti.</w:t>
      </w:r>
    </w:p>
    <w:p w14:paraId="76FDF7DE" w14:textId="2A11EE38" w:rsidR="002A5925" w:rsidRDefault="002A5925" w:rsidP="007B7154">
      <w:pPr>
        <w:spacing w:line="240" w:lineRule="auto"/>
        <w:rPr>
          <w:rFonts w:ascii="Century Gothic" w:hAnsi="Century Gothic" w:cstheme="majorHAnsi"/>
          <w:b/>
          <w:sz w:val="22"/>
          <w:szCs w:val="22"/>
        </w:rPr>
      </w:pPr>
    </w:p>
    <w:p w14:paraId="0CECAC52" w14:textId="5966D187" w:rsidR="0053249D" w:rsidRDefault="0053249D" w:rsidP="007B7154">
      <w:pPr>
        <w:spacing w:line="240" w:lineRule="auto"/>
        <w:rPr>
          <w:rFonts w:ascii="Century Gothic" w:hAnsi="Century Gothic" w:cstheme="majorHAnsi"/>
          <w:b/>
          <w:sz w:val="22"/>
          <w:szCs w:val="22"/>
        </w:rPr>
      </w:pPr>
    </w:p>
    <w:p w14:paraId="58810241" w14:textId="082AB758" w:rsidR="0053249D" w:rsidRDefault="0053249D" w:rsidP="007B7154">
      <w:pPr>
        <w:spacing w:line="240" w:lineRule="auto"/>
        <w:rPr>
          <w:rFonts w:ascii="Century Gothic" w:hAnsi="Century Gothic" w:cstheme="majorHAnsi"/>
          <w:b/>
          <w:sz w:val="22"/>
          <w:szCs w:val="22"/>
        </w:rPr>
      </w:pPr>
    </w:p>
    <w:p w14:paraId="69C85261" w14:textId="61400AD5" w:rsidR="0053249D" w:rsidRDefault="0053249D" w:rsidP="007B7154">
      <w:pPr>
        <w:spacing w:line="240" w:lineRule="auto"/>
        <w:rPr>
          <w:rFonts w:ascii="Century Gothic" w:hAnsi="Century Gothic" w:cstheme="majorHAnsi"/>
          <w:b/>
          <w:sz w:val="22"/>
          <w:szCs w:val="22"/>
        </w:rPr>
      </w:pPr>
    </w:p>
    <w:p w14:paraId="70EC84F6" w14:textId="66C0E2FF" w:rsidR="0053249D" w:rsidRDefault="0053249D" w:rsidP="007B7154">
      <w:pPr>
        <w:spacing w:line="240" w:lineRule="auto"/>
        <w:rPr>
          <w:rFonts w:ascii="Century Gothic" w:hAnsi="Century Gothic" w:cstheme="majorHAnsi"/>
          <w:b/>
          <w:sz w:val="22"/>
          <w:szCs w:val="22"/>
        </w:rPr>
      </w:pPr>
    </w:p>
    <w:p w14:paraId="10D145E7" w14:textId="35225FB9" w:rsidR="0053249D" w:rsidRDefault="0053249D" w:rsidP="007B7154">
      <w:pPr>
        <w:spacing w:line="240" w:lineRule="auto"/>
        <w:rPr>
          <w:rFonts w:ascii="Century Gothic" w:hAnsi="Century Gothic" w:cstheme="majorHAnsi"/>
          <w:b/>
          <w:sz w:val="22"/>
          <w:szCs w:val="22"/>
        </w:rPr>
      </w:pPr>
    </w:p>
    <w:p w14:paraId="02BF0A5C" w14:textId="790BE7A9" w:rsidR="0053249D" w:rsidRDefault="0053249D" w:rsidP="007B7154">
      <w:pPr>
        <w:spacing w:line="240" w:lineRule="auto"/>
        <w:rPr>
          <w:rFonts w:ascii="Century Gothic" w:hAnsi="Century Gothic" w:cstheme="majorHAnsi"/>
          <w:b/>
          <w:sz w:val="22"/>
          <w:szCs w:val="22"/>
        </w:rPr>
      </w:pPr>
    </w:p>
    <w:p w14:paraId="58C33228" w14:textId="3C0ED44F" w:rsidR="0053249D" w:rsidRDefault="0053249D" w:rsidP="007B7154">
      <w:pPr>
        <w:spacing w:line="240" w:lineRule="auto"/>
        <w:rPr>
          <w:rFonts w:ascii="Century Gothic" w:hAnsi="Century Gothic" w:cstheme="majorHAnsi"/>
          <w:b/>
          <w:sz w:val="22"/>
          <w:szCs w:val="22"/>
        </w:rPr>
      </w:pPr>
    </w:p>
    <w:p w14:paraId="1FF3B238" w14:textId="4CDE5325" w:rsidR="0053249D" w:rsidRDefault="0053249D" w:rsidP="007B7154">
      <w:pPr>
        <w:spacing w:line="240" w:lineRule="auto"/>
        <w:rPr>
          <w:rFonts w:ascii="Century Gothic" w:hAnsi="Century Gothic" w:cstheme="majorHAnsi"/>
          <w:b/>
          <w:sz w:val="22"/>
          <w:szCs w:val="22"/>
        </w:rPr>
      </w:pPr>
    </w:p>
    <w:p w14:paraId="79491A57" w14:textId="1A29F0A1" w:rsidR="0053249D" w:rsidRDefault="0053249D" w:rsidP="0053249D">
      <w:pPr>
        <w:pStyle w:val="Popis"/>
        <w:spacing w:before="0" w:after="0" w:line="240" w:lineRule="auto"/>
        <w:rPr>
          <w:rFonts w:ascii="Century Gothic" w:hAnsi="Century Gothic" w:cstheme="minorBidi"/>
          <w:b w:val="0"/>
        </w:rPr>
      </w:pPr>
      <w:bookmarkStart w:id="129" w:name="_Toc145219934"/>
      <w:r w:rsidRPr="0053249D">
        <w:rPr>
          <w:rFonts w:ascii="Century Gothic" w:hAnsi="Century Gothic" w:cstheme="minorBidi"/>
          <w:b w:val="0"/>
        </w:rPr>
        <w:lastRenderedPageBreak/>
        <w:t xml:space="preserve">Tabuľka </w:t>
      </w:r>
      <w:r w:rsidRPr="0053249D">
        <w:rPr>
          <w:rFonts w:ascii="Century Gothic" w:hAnsi="Century Gothic" w:cstheme="minorBidi"/>
          <w:b w:val="0"/>
        </w:rPr>
        <w:fldChar w:fldCharType="begin"/>
      </w:r>
      <w:r w:rsidRPr="0053249D">
        <w:rPr>
          <w:rFonts w:ascii="Century Gothic" w:hAnsi="Century Gothic" w:cstheme="minorBidi"/>
          <w:b w:val="0"/>
        </w:rPr>
        <w:instrText xml:space="preserve"> SEQ Tabuľka \* ARABIC </w:instrText>
      </w:r>
      <w:r w:rsidRPr="0053249D">
        <w:rPr>
          <w:rFonts w:ascii="Century Gothic" w:hAnsi="Century Gothic" w:cstheme="minorBidi"/>
          <w:b w:val="0"/>
        </w:rPr>
        <w:fldChar w:fldCharType="separate"/>
      </w:r>
      <w:r w:rsidR="007D6A44">
        <w:rPr>
          <w:rFonts w:ascii="Century Gothic" w:hAnsi="Century Gothic" w:cstheme="minorBidi"/>
          <w:b w:val="0"/>
          <w:noProof/>
        </w:rPr>
        <w:t>33</w:t>
      </w:r>
      <w:r w:rsidRPr="0053249D">
        <w:rPr>
          <w:rFonts w:ascii="Century Gothic" w:hAnsi="Century Gothic" w:cstheme="minorBidi"/>
          <w:b w:val="0"/>
        </w:rPr>
        <w:fldChar w:fldCharType="end"/>
      </w:r>
      <w:r w:rsidRPr="0053249D">
        <w:rPr>
          <w:rFonts w:ascii="Century Gothic" w:hAnsi="Century Gothic" w:cstheme="minorBidi"/>
          <w:b w:val="0"/>
        </w:rPr>
        <w:t xml:space="preserve"> Kapacitný model </w:t>
      </w:r>
      <w:proofErr w:type="spellStart"/>
      <w:r w:rsidRPr="0053249D">
        <w:rPr>
          <w:rFonts w:ascii="Century Gothic" w:hAnsi="Century Gothic" w:cstheme="minorBidi"/>
          <w:b w:val="0"/>
        </w:rPr>
        <w:t>FNsP</w:t>
      </w:r>
      <w:proofErr w:type="spellEnd"/>
      <w:r w:rsidRPr="0053249D">
        <w:rPr>
          <w:rFonts w:ascii="Century Gothic" w:hAnsi="Century Gothic" w:cstheme="minorBidi"/>
          <w:b w:val="0"/>
        </w:rPr>
        <w:t xml:space="preserve"> Žilina</w:t>
      </w:r>
      <w:bookmarkEnd w:id="129"/>
    </w:p>
    <w:p w14:paraId="2AF266EC" w14:textId="6F932A78" w:rsidR="00136659" w:rsidRPr="00C67E68" w:rsidRDefault="00136659" w:rsidP="00C67E68">
      <w:pPr>
        <w:rPr>
          <w:b/>
        </w:rPr>
      </w:pPr>
      <w:r w:rsidRPr="00136659">
        <w:rPr>
          <w:noProof/>
        </w:rPr>
        <w:drawing>
          <wp:inline distT="0" distB="0" distL="0" distR="0" wp14:anchorId="4F83E4E4" wp14:editId="78CBB781">
            <wp:extent cx="5760720" cy="3891841"/>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3891841"/>
                    </a:xfrm>
                    <a:prstGeom prst="rect">
                      <a:avLst/>
                    </a:prstGeom>
                    <a:noFill/>
                    <a:ln>
                      <a:noFill/>
                    </a:ln>
                  </pic:spPr>
                </pic:pic>
              </a:graphicData>
            </a:graphic>
          </wp:inline>
        </w:drawing>
      </w:r>
    </w:p>
    <w:p w14:paraId="4F89BE0E" w14:textId="14EDB9D8" w:rsidR="0053249D" w:rsidRPr="0068259E" w:rsidRDefault="0053249D" w:rsidP="00C67E68">
      <w:pPr>
        <w:rPr>
          <w:rFonts w:ascii="Century Gothic" w:hAnsi="Century Gothic" w:cstheme="minorHAnsi"/>
          <w:i/>
          <w:sz w:val="18"/>
          <w:szCs w:val="18"/>
        </w:rPr>
      </w:pPr>
      <w:r w:rsidRPr="0068259E">
        <w:rPr>
          <w:rFonts w:ascii="Century Gothic" w:hAnsi="Century Gothic" w:cstheme="minorHAnsi"/>
          <w:i/>
          <w:sz w:val="18"/>
          <w:szCs w:val="18"/>
        </w:rPr>
        <w:t>Zdroj: vlastné spracovanie</w:t>
      </w:r>
    </w:p>
    <w:p w14:paraId="7DB61E41" w14:textId="77777777" w:rsidR="0053249D" w:rsidRDefault="0053249D" w:rsidP="00E6153E"/>
    <w:p w14:paraId="06C8D61A" w14:textId="41B65162" w:rsidR="007B7154" w:rsidRPr="00E0451E" w:rsidRDefault="00E0451E" w:rsidP="00E0451E">
      <w:pPr>
        <w:pStyle w:val="Nadpis2"/>
        <w:numPr>
          <w:ilvl w:val="1"/>
          <w:numId w:val="1"/>
        </w:numPr>
        <w:tabs>
          <w:tab w:val="clear" w:pos="567"/>
          <w:tab w:val="left" w:pos="1134"/>
          <w:tab w:val="left" w:pos="1276"/>
        </w:tabs>
        <w:spacing w:before="40" w:line="259" w:lineRule="auto"/>
        <w:ind w:left="1134" w:hanging="774"/>
        <w:jc w:val="left"/>
        <w:rPr>
          <w:rFonts w:ascii="Century Gothic" w:hAnsi="Century Gothic" w:cs="Calibri Light"/>
          <w:b w:val="0"/>
          <w:bCs w:val="0"/>
          <w:color w:val="365F91" w:themeColor="accent1" w:themeShade="BF"/>
          <w:lang w:eastAsia="en-US"/>
        </w:rPr>
      </w:pPr>
      <w:bookmarkStart w:id="130" w:name="_Toc145219962"/>
      <w:r w:rsidRPr="00E0451E">
        <w:rPr>
          <w:rFonts w:ascii="Century Gothic" w:hAnsi="Century Gothic" w:cs="Calibri Light"/>
          <w:b w:val="0"/>
          <w:bCs w:val="0"/>
          <w:color w:val="365F91" w:themeColor="accent1" w:themeShade="BF"/>
          <w:lang w:eastAsia="en-US"/>
        </w:rPr>
        <w:t>P</w:t>
      </w:r>
      <w:r w:rsidR="007B7154" w:rsidRPr="00E0451E">
        <w:rPr>
          <w:rFonts w:ascii="Century Gothic" w:hAnsi="Century Gothic" w:cs="Calibri Light"/>
          <w:b w:val="0"/>
          <w:bCs w:val="0"/>
          <w:color w:val="365F91" w:themeColor="accent1" w:themeShade="BF"/>
          <w:lang w:eastAsia="en-US"/>
        </w:rPr>
        <w:t>redpokladaný vývoj počtu pacientov – dopytový model s výhľadom na 30 rokov</w:t>
      </w:r>
      <w:bookmarkEnd w:id="130"/>
    </w:p>
    <w:p w14:paraId="61CA495B" w14:textId="77777777" w:rsidR="007B7154" w:rsidRDefault="007B7154" w:rsidP="007B7154">
      <w:pPr>
        <w:spacing w:line="240" w:lineRule="auto"/>
        <w:rPr>
          <w:rFonts w:ascii="Century Gothic" w:hAnsi="Century Gothic" w:cstheme="majorHAnsi"/>
        </w:rPr>
      </w:pPr>
    </w:p>
    <w:p w14:paraId="1740766C" w14:textId="2939F99E" w:rsidR="0053249D" w:rsidRDefault="0053249D" w:rsidP="0053249D">
      <w:pPr>
        <w:spacing w:line="240" w:lineRule="auto"/>
        <w:rPr>
          <w:rFonts w:ascii="Century Gothic" w:hAnsi="Century Gothic" w:cstheme="majorHAnsi"/>
          <w:b/>
          <w:sz w:val="22"/>
          <w:szCs w:val="22"/>
        </w:rPr>
      </w:pPr>
      <w:r w:rsidRPr="0053249D">
        <w:rPr>
          <w:rFonts w:ascii="Century Gothic" w:hAnsi="Century Gothic" w:cstheme="majorHAnsi"/>
          <w:b/>
          <w:sz w:val="22"/>
          <w:szCs w:val="22"/>
        </w:rPr>
        <w:t>Ambulantná časť</w:t>
      </w:r>
    </w:p>
    <w:p w14:paraId="3029DF04" w14:textId="77777777" w:rsidR="0053249D" w:rsidRPr="0053249D" w:rsidRDefault="0053249D" w:rsidP="0053249D">
      <w:pPr>
        <w:spacing w:line="240" w:lineRule="auto"/>
        <w:rPr>
          <w:rFonts w:ascii="Century Gothic" w:hAnsi="Century Gothic" w:cstheme="majorHAnsi"/>
          <w:b/>
          <w:sz w:val="22"/>
          <w:szCs w:val="22"/>
        </w:rPr>
      </w:pPr>
    </w:p>
    <w:p w14:paraId="1F0BCE46"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Ako bolo spomenuté dopytový model vychádza z historických dát reálne poskytovanej zdravotnej starostlivosti v období rokov 2016 až 2022.</w:t>
      </w:r>
    </w:p>
    <w:p w14:paraId="22F52062"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V ambulantnej časti vychádza z niekoľkých predpokladov:</w:t>
      </w:r>
    </w:p>
    <w:p w14:paraId="30E817FC" w14:textId="1030157F"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nultý variant sa počíta s priemerným rastom v období 2016 -2022 postupne znižovaným o 10 % ročne</w:t>
      </w:r>
      <w:r>
        <w:rPr>
          <w:rFonts w:ascii="Century Gothic" w:hAnsi="Century Gothic"/>
          <w:sz w:val="22"/>
          <w:szCs w:val="22"/>
        </w:rPr>
        <w:t>.</w:t>
      </w:r>
    </w:p>
    <w:p w14:paraId="52ECE3DB" w14:textId="5503EAEA"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Rekonštrukcia sa počíta s 5 % skokovým nárastom počtu pacientov oproti nultému variantu po realizácii investície v roku 2027 a následne s postupným znižovaním rastu o 10 % ročne</w:t>
      </w:r>
      <w:r>
        <w:rPr>
          <w:rFonts w:ascii="Century Gothic" w:hAnsi="Century Gothic"/>
          <w:sz w:val="22"/>
          <w:szCs w:val="22"/>
        </w:rPr>
        <w:t>.</w:t>
      </w:r>
    </w:p>
    <w:p w14:paraId="1EC45391" w14:textId="2C42DEA3"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Nový PUM sa počíta s </w:t>
      </w:r>
      <w:r w:rsidR="00545CE4" w:rsidRPr="0053249D">
        <w:rPr>
          <w:rFonts w:ascii="Century Gothic" w:hAnsi="Century Gothic"/>
          <w:sz w:val="22"/>
          <w:szCs w:val="22"/>
        </w:rPr>
        <w:t>1</w:t>
      </w:r>
      <w:r w:rsidR="00545CE4">
        <w:rPr>
          <w:rFonts w:ascii="Century Gothic" w:hAnsi="Century Gothic"/>
          <w:sz w:val="22"/>
          <w:szCs w:val="22"/>
        </w:rPr>
        <w:t>0</w:t>
      </w:r>
      <w:r w:rsidR="00545CE4" w:rsidRPr="0053249D">
        <w:rPr>
          <w:rFonts w:ascii="Century Gothic" w:hAnsi="Century Gothic"/>
          <w:sz w:val="22"/>
          <w:szCs w:val="22"/>
        </w:rPr>
        <w:t xml:space="preserve"> </w:t>
      </w:r>
      <w:r w:rsidRPr="0053249D">
        <w:rPr>
          <w:rFonts w:ascii="Century Gothic" w:hAnsi="Century Gothic"/>
          <w:sz w:val="22"/>
          <w:szCs w:val="22"/>
        </w:rPr>
        <w:t>% skokovým nárastom počtu pacientov oproti nultému variantu po realizácii investície v roku 2027 a následne s postupným znižovaním rastu o 10 % ročne</w:t>
      </w:r>
      <w:r>
        <w:rPr>
          <w:rFonts w:ascii="Century Gothic" w:hAnsi="Century Gothic"/>
          <w:sz w:val="22"/>
          <w:szCs w:val="22"/>
        </w:rPr>
        <w:t>.</w:t>
      </w:r>
    </w:p>
    <w:p w14:paraId="437907CF" w14:textId="77777777" w:rsidR="0053249D" w:rsidRDefault="0053249D" w:rsidP="0053249D">
      <w:pPr>
        <w:spacing w:line="240" w:lineRule="auto"/>
        <w:rPr>
          <w:rFonts w:ascii="Century Gothic" w:hAnsi="Century Gothic"/>
          <w:sz w:val="22"/>
          <w:szCs w:val="22"/>
        </w:rPr>
      </w:pPr>
    </w:p>
    <w:p w14:paraId="6CC695F9" w14:textId="3792D1AA"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V tejto časti predpokladáme napriek tomu, že ambulantný trakt/poliklinika ostávajú v existujúcich priestoroch výrazný nárast dopytu. Jedná sa o systematické „zlyhávanie“ ambulantného sektora v rámci SR ako aj Žilinského kraja/regiónu, kde predpokladáme postupný presun pacientov do nemocničných zariadení a zároveň cielené po</w:t>
      </w:r>
      <w:r>
        <w:rPr>
          <w:rFonts w:ascii="Century Gothic" w:hAnsi="Century Gothic"/>
          <w:sz w:val="22"/>
          <w:szCs w:val="22"/>
        </w:rPr>
        <w:t xml:space="preserve">silnenie ambulantnej časti </w:t>
      </w:r>
      <w:proofErr w:type="spellStart"/>
      <w:r>
        <w:rPr>
          <w:rFonts w:ascii="Century Gothic" w:hAnsi="Century Gothic"/>
          <w:sz w:val="22"/>
          <w:szCs w:val="22"/>
        </w:rPr>
        <w:t>FNsP</w:t>
      </w:r>
      <w:proofErr w:type="spellEnd"/>
      <w:r>
        <w:rPr>
          <w:rFonts w:ascii="Century Gothic" w:hAnsi="Century Gothic"/>
          <w:sz w:val="22"/>
          <w:szCs w:val="22"/>
        </w:rPr>
        <w:t xml:space="preserve"> Žilina</w:t>
      </w:r>
      <w:r w:rsidRPr="0053249D">
        <w:rPr>
          <w:rFonts w:ascii="Century Gothic" w:hAnsi="Century Gothic"/>
          <w:sz w:val="22"/>
          <w:szCs w:val="22"/>
        </w:rPr>
        <w:t xml:space="preserve"> aj v rámci uvoľnených existujúcich priestorov.</w:t>
      </w:r>
    </w:p>
    <w:p w14:paraId="1974696B" w14:textId="77777777" w:rsidR="0053249D" w:rsidRPr="0053249D" w:rsidRDefault="0053249D" w:rsidP="0053249D">
      <w:pPr>
        <w:pStyle w:val="Odsekzoznamu"/>
        <w:spacing w:line="240" w:lineRule="auto"/>
        <w:ind w:left="780"/>
        <w:rPr>
          <w:rFonts w:ascii="Century Gothic" w:hAnsi="Century Gothic"/>
          <w:sz w:val="22"/>
          <w:szCs w:val="22"/>
        </w:rPr>
      </w:pPr>
    </w:p>
    <w:p w14:paraId="21FD005F" w14:textId="77777777" w:rsidR="0053249D" w:rsidRPr="0053249D" w:rsidRDefault="0053249D" w:rsidP="0053249D">
      <w:pPr>
        <w:spacing w:line="240" w:lineRule="auto"/>
        <w:rPr>
          <w:rFonts w:ascii="Century Gothic" w:hAnsi="Century Gothic" w:cstheme="majorHAnsi"/>
          <w:i/>
          <w:sz w:val="22"/>
          <w:szCs w:val="22"/>
          <w:u w:val="single"/>
        </w:rPr>
      </w:pPr>
      <w:r w:rsidRPr="0053249D">
        <w:rPr>
          <w:rFonts w:ascii="Century Gothic" w:hAnsi="Century Gothic" w:cstheme="majorHAnsi"/>
          <w:i/>
          <w:sz w:val="22"/>
          <w:szCs w:val="22"/>
          <w:u w:val="single"/>
        </w:rPr>
        <w:t>SVALZY</w:t>
      </w:r>
    </w:p>
    <w:p w14:paraId="0203EF78" w14:textId="1C63CF29"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lastRenderedPageBreak/>
        <w:t>Ako bolo spomenuté dopytový model vychádza z historických dát reálne poskytovanej zdravotnej starostlivosti v období rokov 2016 až 20</w:t>
      </w:r>
      <w:r w:rsidR="00302F5E">
        <w:rPr>
          <w:rFonts w:ascii="Century Gothic" w:hAnsi="Century Gothic"/>
          <w:sz w:val="22"/>
          <w:szCs w:val="22"/>
        </w:rPr>
        <w:t>19</w:t>
      </w:r>
      <w:r w:rsidRPr="0053249D">
        <w:rPr>
          <w:rFonts w:ascii="Century Gothic" w:hAnsi="Century Gothic"/>
          <w:sz w:val="22"/>
          <w:szCs w:val="22"/>
        </w:rPr>
        <w:t>.</w:t>
      </w:r>
    </w:p>
    <w:p w14:paraId="6C066F7C"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V časti SVALZY vychádza z niekoľkých predpokladov:</w:t>
      </w:r>
    </w:p>
    <w:p w14:paraId="4DEFDE49" w14:textId="3C0F175C"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nultý variant sa počíta s priemerným rastom v období 2016 -20</w:t>
      </w:r>
      <w:r w:rsidR="00302F5E">
        <w:rPr>
          <w:rFonts w:ascii="Century Gothic" w:hAnsi="Century Gothic"/>
          <w:sz w:val="22"/>
          <w:szCs w:val="22"/>
        </w:rPr>
        <w:t>19</w:t>
      </w:r>
      <w:r w:rsidRPr="0053249D">
        <w:rPr>
          <w:rFonts w:ascii="Century Gothic" w:hAnsi="Century Gothic"/>
          <w:sz w:val="22"/>
          <w:szCs w:val="22"/>
        </w:rPr>
        <w:t xml:space="preserve"> postupne znižovaným o 10 % ročne</w:t>
      </w:r>
      <w:r>
        <w:rPr>
          <w:rFonts w:ascii="Century Gothic" w:hAnsi="Century Gothic"/>
          <w:sz w:val="22"/>
          <w:szCs w:val="22"/>
        </w:rPr>
        <w:t>.</w:t>
      </w:r>
    </w:p>
    <w:p w14:paraId="062F7934" w14:textId="7C0C3736"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Rekonštrukcia sa počíta s 5 % skokovým nárastom počtu pacientov oproti nultému variantu po realizácii investície v roku 2027 a následne s postupným znižovaním rastu o 10 % ročne</w:t>
      </w:r>
      <w:r>
        <w:rPr>
          <w:rFonts w:ascii="Century Gothic" w:hAnsi="Century Gothic"/>
          <w:sz w:val="22"/>
          <w:szCs w:val="22"/>
        </w:rPr>
        <w:t>.</w:t>
      </w:r>
    </w:p>
    <w:p w14:paraId="66497BD5" w14:textId="29FFF87E"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Nový PUM sa počíta s </w:t>
      </w:r>
      <w:r w:rsidR="00545CE4">
        <w:rPr>
          <w:rFonts w:ascii="Century Gothic" w:hAnsi="Century Gothic"/>
          <w:sz w:val="22"/>
          <w:szCs w:val="22"/>
        </w:rPr>
        <w:t>10</w:t>
      </w:r>
      <w:r w:rsidR="00545CE4" w:rsidRPr="0053249D">
        <w:rPr>
          <w:rFonts w:ascii="Century Gothic" w:hAnsi="Century Gothic"/>
          <w:sz w:val="22"/>
          <w:szCs w:val="22"/>
        </w:rPr>
        <w:t xml:space="preserve"> </w:t>
      </w:r>
      <w:r w:rsidRPr="0053249D">
        <w:rPr>
          <w:rFonts w:ascii="Century Gothic" w:hAnsi="Century Gothic"/>
          <w:sz w:val="22"/>
          <w:szCs w:val="22"/>
        </w:rPr>
        <w:t>% skokovým nárastom počtu pacientov oproti nultému variantu po realizácii investície v roku 2027 a následne s postupným znižovaním rastu o 10 % ročne</w:t>
      </w:r>
      <w:r>
        <w:rPr>
          <w:rFonts w:ascii="Century Gothic" w:hAnsi="Century Gothic"/>
          <w:sz w:val="22"/>
          <w:szCs w:val="22"/>
        </w:rPr>
        <w:t>.</w:t>
      </w:r>
    </w:p>
    <w:p w14:paraId="4A9DDF3C" w14:textId="77777777" w:rsidR="0053249D" w:rsidRDefault="0053249D" w:rsidP="0053249D">
      <w:pPr>
        <w:spacing w:line="240" w:lineRule="auto"/>
        <w:rPr>
          <w:rFonts w:ascii="Century Gothic" w:hAnsi="Century Gothic"/>
          <w:sz w:val="22"/>
          <w:szCs w:val="22"/>
        </w:rPr>
      </w:pPr>
    </w:p>
    <w:p w14:paraId="2C208035" w14:textId="466277E1"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V tejto časti počítame s vybudovaním časti laboratórnych priestorov, ktoré momentálne pre nemocnicu zabezpečujú externé komerčné subjekty. Z tohto predpokladu vychádza aj očakávaný nárast výkonov.</w:t>
      </w:r>
    </w:p>
    <w:p w14:paraId="75E34552" w14:textId="77777777" w:rsidR="0053249D" w:rsidRPr="0053249D" w:rsidRDefault="0053249D" w:rsidP="0053249D">
      <w:pPr>
        <w:spacing w:line="240" w:lineRule="auto"/>
        <w:rPr>
          <w:rFonts w:ascii="Century Gothic" w:hAnsi="Century Gothic"/>
          <w:sz w:val="22"/>
          <w:szCs w:val="22"/>
        </w:rPr>
      </w:pPr>
    </w:p>
    <w:p w14:paraId="2AE7535A" w14:textId="77777777" w:rsidR="0053249D" w:rsidRPr="0053249D" w:rsidRDefault="0053249D" w:rsidP="0053249D">
      <w:pPr>
        <w:spacing w:line="240" w:lineRule="auto"/>
        <w:rPr>
          <w:rFonts w:ascii="Century Gothic" w:hAnsi="Century Gothic" w:cstheme="majorHAnsi"/>
          <w:i/>
          <w:sz w:val="22"/>
          <w:szCs w:val="22"/>
          <w:u w:val="single"/>
        </w:rPr>
      </w:pPr>
      <w:r w:rsidRPr="0053249D">
        <w:rPr>
          <w:rFonts w:ascii="Century Gothic" w:hAnsi="Century Gothic" w:cstheme="majorHAnsi"/>
          <w:i/>
          <w:sz w:val="22"/>
          <w:szCs w:val="22"/>
          <w:u w:val="single"/>
        </w:rPr>
        <w:t>Jednodňová zdravotná starostlivosť</w:t>
      </w:r>
    </w:p>
    <w:p w14:paraId="3D1F3354" w14:textId="5BECCBF8"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Ako bolo spomenuté dopytový model vychádza z historických dát reálne poskytovanej zdravotnej starostlivosti v období rokov 2016 až 20</w:t>
      </w:r>
      <w:r w:rsidR="00302F5E">
        <w:rPr>
          <w:rFonts w:ascii="Century Gothic" w:hAnsi="Century Gothic"/>
          <w:sz w:val="22"/>
          <w:szCs w:val="22"/>
        </w:rPr>
        <w:t>19</w:t>
      </w:r>
      <w:r w:rsidRPr="0053249D">
        <w:rPr>
          <w:rFonts w:ascii="Century Gothic" w:hAnsi="Century Gothic"/>
          <w:sz w:val="22"/>
          <w:szCs w:val="22"/>
        </w:rPr>
        <w:t>.</w:t>
      </w:r>
    </w:p>
    <w:p w14:paraId="7100E7C4"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V časti JZS vychádza z niekoľkých predpokladov:</w:t>
      </w:r>
    </w:p>
    <w:p w14:paraId="4AC84AA1" w14:textId="2659CCE6"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nultý variant sa počíta s priemerným rastom v období 2016 -20</w:t>
      </w:r>
      <w:r w:rsidR="00302F5E">
        <w:rPr>
          <w:rFonts w:ascii="Century Gothic" w:hAnsi="Century Gothic"/>
          <w:sz w:val="22"/>
          <w:szCs w:val="22"/>
        </w:rPr>
        <w:t>19</w:t>
      </w:r>
      <w:r w:rsidRPr="0053249D">
        <w:rPr>
          <w:rFonts w:ascii="Century Gothic" w:hAnsi="Century Gothic"/>
          <w:sz w:val="22"/>
          <w:szCs w:val="22"/>
        </w:rPr>
        <w:t xml:space="preserve"> postupne znižovaným o 10 % ročne</w:t>
      </w:r>
      <w:r>
        <w:rPr>
          <w:rFonts w:ascii="Century Gothic" w:hAnsi="Century Gothic"/>
          <w:sz w:val="22"/>
          <w:szCs w:val="22"/>
        </w:rPr>
        <w:t>.</w:t>
      </w:r>
    </w:p>
    <w:p w14:paraId="00E3E938" w14:textId="4C245295"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Rekonštrukcia sa počíta s 5 % skokovým nárastom počtu pacientov oproti nultému variantu po realizácii investície v roku 2027 a následne s postupným znižovaním rastu o 10 % ročne</w:t>
      </w:r>
      <w:r>
        <w:rPr>
          <w:rFonts w:ascii="Century Gothic" w:hAnsi="Century Gothic"/>
          <w:sz w:val="22"/>
          <w:szCs w:val="22"/>
        </w:rPr>
        <w:t>.</w:t>
      </w:r>
    </w:p>
    <w:p w14:paraId="4276BDF2" w14:textId="5E166B4B"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Nový PUM sa počíta s 1</w:t>
      </w:r>
      <w:r w:rsidR="00545CE4">
        <w:rPr>
          <w:rFonts w:ascii="Century Gothic" w:hAnsi="Century Gothic"/>
          <w:sz w:val="22"/>
          <w:szCs w:val="22"/>
        </w:rPr>
        <w:t>0</w:t>
      </w:r>
      <w:r w:rsidRPr="0053249D">
        <w:rPr>
          <w:rFonts w:ascii="Century Gothic" w:hAnsi="Century Gothic"/>
          <w:sz w:val="22"/>
          <w:szCs w:val="22"/>
        </w:rPr>
        <w:t xml:space="preserve"> % skokovým nárastom počtu pacientov oproti nultému variantu po realizácii investície v roku 2027 a následne s postupným znižovaním rastu o 10 % ročne</w:t>
      </w:r>
      <w:r>
        <w:rPr>
          <w:rFonts w:ascii="Century Gothic" w:hAnsi="Century Gothic"/>
          <w:sz w:val="22"/>
          <w:szCs w:val="22"/>
        </w:rPr>
        <w:t>.</w:t>
      </w:r>
    </w:p>
    <w:p w14:paraId="6061B405" w14:textId="77777777" w:rsidR="0053249D" w:rsidRPr="0053249D" w:rsidRDefault="0053249D" w:rsidP="0053249D">
      <w:pPr>
        <w:spacing w:line="240" w:lineRule="auto"/>
        <w:rPr>
          <w:rFonts w:ascii="Century Gothic" w:hAnsi="Century Gothic"/>
          <w:sz w:val="22"/>
          <w:szCs w:val="22"/>
        </w:rPr>
      </w:pPr>
    </w:p>
    <w:p w14:paraId="1F441795" w14:textId="77777777" w:rsidR="0053249D" w:rsidRPr="0053249D" w:rsidRDefault="0053249D" w:rsidP="0053249D">
      <w:pPr>
        <w:spacing w:line="240" w:lineRule="auto"/>
        <w:rPr>
          <w:rFonts w:ascii="Century Gothic" w:hAnsi="Century Gothic" w:cstheme="majorHAnsi"/>
          <w:i/>
          <w:sz w:val="22"/>
          <w:szCs w:val="22"/>
          <w:u w:val="single"/>
        </w:rPr>
      </w:pPr>
      <w:r w:rsidRPr="0053249D">
        <w:rPr>
          <w:rFonts w:ascii="Century Gothic" w:hAnsi="Century Gothic" w:cstheme="majorHAnsi"/>
          <w:i/>
          <w:sz w:val="22"/>
          <w:szCs w:val="22"/>
          <w:u w:val="single"/>
        </w:rPr>
        <w:t>Operačné zákroky</w:t>
      </w:r>
    </w:p>
    <w:p w14:paraId="12497AF6" w14:textId="1D1F10FD"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Ako bolo spomenuté dopytový model vychádza z historických dát reálne poskytovanej zdravotnej starostlivosti v období rokov 2016 až 20</w:t>
      </w:r>
      <w:r w:rsidR="00302F5E">
        <w:rPr>
          <w:rFonts w:ascii="Century Gothic" w:hAnsi="Century Gothic"/>
          <w:sz w:val="22"/>
          <w:szCs w:val="22"/>
        </w:rPr>
        <w:t>19</w:t>
      </w:r>
      <w:r w:rsidRPr="0053249D">
        <w:rPr>
          <w:rFonts w:ascii="Century Gothic" w:hAnsi="Century Gothic"/>
          <w:sz w:val="22"/>
          <w:szCs w:val="22"/>
        </w:rPr>
        <w:t>.</w:t>
      </w:r>
    </w:p>
    <w:p w14:paraId="27FEDBF4"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V časti Operačné zákroky vychádza z niekoľkých predpokladov:</w:t>
      </w:r>
    </w:p>
    <w:p w14:paraId="7748D609" w14:textId="4BDB6D3C"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nultý variant sa počíta s priemerným rastom v období 2016 -20</w:t>
      </w:r>
      <w:r w:rsidR="00812F1F">
        <w:rPr>
          <w:rFonts w:ascii="Century Gothic" w:hAnsi="Century Gothic"/>
          <w:sz w:val="22"/>
          <w:szCs w:val="22"/>
        </w:rPr>
        <w:t>19</w:t>
      </w:r>
      <w:r w:rsidRPr="0053249D">
        <w:rPr>
          <w:rFonts w:ascii="Century Gothic" w:hAnsi="Century Gothic"/>
          <w:sz w:val="22"/>
          <w:szCs w:val="22"/>
        </w:rPr>
        <w:t xml:space="preserve"> postupne znižovaným o 10 % ročne</w:t>
      </w:r>
      <w:r>
        <w:rPr>
          <w:rFonts w:ascii="Century Gothic" w:hAnsi="Century Gothic"/>
          <w:sz w:val="22"/>
          <w:szCs w:val="22"/>
        </w:rPr>
        <w:t>.</w:t>
      </w:r>
    </w:p>
    <w:p w14:paraId="40481287" w14:textId="76EC25CB"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Rekonštrukcia sa počíta s 5 % skokovým nárastom počtu pacientov oproti nultému variantu po realizácii investície v roku 2027 a následne s postupným znižovaním rastu o 10 % ročne</w:t>
      </w:r>
      <w:r>
        <w:rPr>
          <w:rFonts w:ascii="Century Gothic" w:hAnsi="Century Gothic"/>
          <w:sz w:val="22"/>
          <w:szCs w:val="22"/>
        </w:rPr>
        <w:t>.</w:t>
      </w:r>
    </w:p>
    <w:p w14:paraId="27FB973E" w14:textId="3BFA80E5"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Nový PUM sa počíta s 1</w:t>
      </w:r>
      <w:r w:rsidR="00812F1F">
        <w:rPr>
          <w:rFonts w:ascii="Century Gothic" w:hAnsi="Century Gothic"/>
          <w:sz w:val="22"/>
          <w:szCs w:val="22"/>
        </w:rPr>
        <w:t>0</w:t>
      </w:r>
      <w:r w:rsidRPr="0053249D">
        <w:rPr>
          <w:rFonts w:ascii="Century Gothic" w:hAnsi="Century Gothic"/>
          <w:sz w:val="22"/>
          <w:szCs w:val="22"/>
        </w:rPr>
        <w:t xml:space="preserve"> % skokovým nárastom počtu pacientov oproti nultému variantu po realizácii investície v roku 2027 a následne s postupným znižovaním rastu o 10 % ročne</w:t>
      </w:r>
      <w:r>
        <w:rPr>
          <w:rFonts w:ascii="Century Gothic" w:hAnsi="Century Gothic"/>
          <w:sz w:val="22"/>
          <w:szCs w:val="22"/>
        </w:rPr>
        <w:t>.</w:t>
      </w:r>
    </w:p>
    <w:p w14:paraId="79E5E2F6" w14:textId="77777777" w:rsidR="0053249D" w:rsidRPr="0053249D" w:rsidRDefault="0053249D" w:rsidP="0053249D">
      <w:pPr>
        <w:spacing w:line="240" w:lineRule="auto"/>
        <w:rPr>
          <w:rFonts w:ascii="Century Gothic" w:hAnsi="Century Gothic"/>
          <w:sz w:val="22"/>
          <w:szCs w:val="22"/>
        </w:rPr>
      </w:pPr>
    </w:p>
    <w:p w14:paraId="0340F57A" w14:textId="64325874" w:rsidR="0053249D" w:rsidRPr="0053249D" w:rsidRDefault="007756C0" w:rsidP="0053249D">
      <w:pPr>
        <w:spacing w:line="240" w:lineRule="auto"/>
        <w:rPr>
          <w:rFonts w:ascii="Century Gothic" w:hAnsi="Century Gothic"/>
          <w:sz w:val="22"/>
          <w:szCs w:val="22"/>
        </w:rPr>
      </w:pPr>
      <w:r>
        <w:rPr>
          <w:rFonts w:ascii="Century Gothic" w:hAnsi="Century Gothic"/>
          <w:sz w:val="22"/>
          <w:szCs w:val="22"/>
        </w:rPr>
        <w:t xml:space="preserve">Ako už bolo spomínané, </w:t>
      </w:r>
      <w:proofErr w:type="spellStart"/>
      <w:r>
        <w:rPr>
          <w:rFonts w:ascii="Century Gothic" w:hAnsi="Century Gothic"/>
          <w:sz w:val="22"/>
          <w:szCs w:val="22"/>
        </w:rPr>
        <w:t>FNs</w:t>
      </w:r>
      <w:r w:rsidR="0053249D" w:rsidRPr="0053249D">
        <w:rPr>
          <w:rFonts w:ascii="Century Gothic" w:hAnsi="Century Gothic"/>
          <w:sz w:val="22"/>
          <w:szCs w:val="22"/>
        </w:rPr>
        <w:t>P</w:t>
      </w:r>
      <w:proofErr w:type="spellEnd"/>
      <w:r>
        <w:rPr>
          <w:rFonts w:ascii="Century Gothic" w:hAnsi="Century Gothic"/>
          <w:sz w:val="22"/>
          <w:szCs w:val="22"/>
        </w:rPr>
        <w:t xml:space="preserve"> Žilina</w:t>
      </w:r>
      <w:r w:rsidR="0053249D" w:rsidRPr="0053249D">
        <w:rPr>
          <w:rFonts w:ascii="Century Gothic" w:hAnsi="Century Gothic"/>
          <w:sz w:val="22"/>
          <w:szCs w:val="22"/>
        </w:rPr>
        <w:t xml:space="preserve"> eviduje systematický nárast akútnej a urgentnej zdravotnej starostlivosti, čoho výsledkom je aj investičný zámer, ktorý rieši táto štúdia. Vybudovaním Pavilónu urgentnej medicíny a centralizáciou operačných sál a JIS/ARO sa vytvoria podmienky na efektívnejšie fungovanie a potenciálny nárast poskytovania ZS v tejto oblasti.  </w:t>
      </w:r>
    </w:p>
    <w:p w14:paraId="6E15F168" w14:textId="77777777" w:rsidR="0053249D" w:rsidRPr="0053249D" w:rsidRDefault="0053249D" w:rsidP="0053249D">
      <w:pPr>
        <w:spacing w:line="240" w:lineRule="auto"/>
        <w:rPr>
          <w:rFonts w:ascii="Century Gothic" w:hAnsi="Century Gothic" w:cstheme="majorHAnsi"/>
          <w:sz w:val="22"/>
          <w:szCs w:val="22"/>
        </w:rPr>
      </w:pPr>
    </w:p>
    <w:p w14:paraId="1F1FDCBF" w14:textId="782720D3" w:rsidR="0053249D" w:rsidRDefault="0053249D" w:rsidP="0053249D">
      <w:pPr>
        <w:spacing w:line="240" w:lineRule="auto"/>
        <w:rPr>
          <w:rFonts w:ascii="Century Gothic" w:hAnsi="Century Gothic" w:cstheme="majorHAnsi"/>
          <w:b/>
          <w:sz w:val="22"/>
          <w:szCs w:val="22"/>
        </w:rPr>
      </w:pPr>
      <w:r w:rsidRPr="0053249D">
        <w:rPr>
          <w:rFonts w:ascii="Century Gothic" w:hAnsi="Century Gothic" w:cstheme="majorHAnsi"/>
          <w:b/>
          <w:sz w:val="22"/>
          <w:szCs w:val="22"/>
        </w:rPr>
        <w:t>Lôžková časť</w:t>
      </w:r>
    </w:p>
    <w:p w14:paraId="1023260E" w14:textId="77777777" w:rsidR="0053249D" w:rsidRPr="0053249D" w:rsidRDefault="0053249D" w:rsidP="0053249D">
      <w:pPr>
        <w:spacing w:line="240" w:lineRule="auto"/>
        <w:rPr>
          <w:rFonts w:ascii="Century Gothic" w:hAnsi="Century Gothic" w:cstheme="majorHAnsi"/>
          <w:b/>
          <w:sz w:val="22"/>
          <w:szCs w:val="22"/>
        </w:rPr>
      </w:pPr>
    </w:p>
    <w:p w14:paraId="246444EF"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lastRenderedPageBreak/>
        <w:t>Ako bolo spomenuté dopytový model vychádza z historických dát reálne poskytovanej zdravotnej starostlivosti v období rokov 2016 až 2022.</w:t>
      </w:r>
    </w:p>
    <w:p w14:paraId="35B54B7C" w14:textId="77777777" w:rsidR="0053249D" w:rsidRPr="0053249D" w:rsidRDefault="0053249D" w:rsidP="0053249D">
      <w:pPr>
        <w:spacing w:line="240" w:lineRule="auto"/>
        <w:rPr>
          <w:rFonts w:ascii="Century Gothic" w:hAnsi="Century Gothic"/>
          <w:sz w:val="22"/>
          <w:szCs w:val="22"/>
        </w:rPr>
      </w:pPr>
    </w:p>
    <w:p w14:paraId="071D928A" w14:textId="77777777"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 xml:space="preserve">S očakávaným nárastom poskytovania ZS v rámci nemocnice bude logicky spojený aj vyšší tlak na lôžkové oddelenia nemocnice. Zvýšený nárast objemu poskytovanej ZS budeme riešiť efektívnym manažovaním procesov v rámci lôžkovej časti nemocnice a cez nástroje ako zdieľané lôžka a zvýšenie efektívnosti procesov docielime zníženie ALOS (Priemerná dĺžka hospitalizácie) a zvýšenie </w:t>
      </w:r>
      <w:proofErr w:type="spellStart"/>
      <w:r w:rsidRPr="0053249D">
        <w:rPr>
          <w:rFonts w:ascii="Century Gothic" w:hAnsi="Century Gothic"/>
          <w:sz w:val="22"/>
          <w:szCs w:val="22"/>
        </w:rPr>
        <w:t>obložnosti</w:t>
      </w:r>
      <w:proofErr w:type="spellEnd"/>
      <w:r w:rsidRPr="0053249D">
        <w:rPr>
          <w:rFonts w:ascii="Century Gothic" w:hAnsi="Century Gothic"/>
          <w:sz w:val="22"/>
          <w:szCs w:val="22"/>
        </w:rPr>
        <w:t>, čo synergickým efektom prinesie zvládnutie objemu poskytovanej ZS na v konečnom dôsledku zníženom celkovom počte lôžok v rámci nemocnice.</w:t>
      </w:r>
    </w:p>
    <w:p w14:paraId="148B7E58" w14:textId="77777777" w:rsidR="0053249D" w:rsidRPr="0053249D" w:rsidRDefault="0053249D" w:rsidP="0053249D">
      <w:pPr>
        <w:spacing w:line="240" w:lineRule="auto"/>
        <w:rPr>
          <w:rFonts w:ascii="Century Gothic" w:hAnsi="Century Gothic"/>
          <w:sz w:val="22"/>
          <w:szCs w:val="22"/>
        </w:rPr>
      </w:pPr>
    </w:p>
    <w:p w14:paraId="467AB103" w14:textId="142FB2D3" w:rsidR="0053249D" w:rsidRPr="0053249D" w:rsidRDefault="0053249D" w:rsidP="0053249D">
      <w:pPr>
        <w:spacing w:line="240" w:lineRule="auto"/>
        <w:rPr>
          <w:rFonts w:ascii="Century Gothic" w:hAnsi="Century Gothic"/>
          <w:sz w:val="22"/>
          <w:szCs w:val="22"/>
        </w:rPr>
      </w:pPr>
      <w:r w:rsidRPr="0053249D">
        <w:rPr>
          <w:rFonts w:ascii="Century Gothic" w:hAnsi="Century Gothic"/>
          <w:sz w:val="22"/>
          <w:szCs w:val="22"/>
        </w:rPr>
        <w:t xml:space="preserve">V časti Ukončené hospitalizácie vychádza </w:t>
      </w:r>
      <w:r w:rsidR="00812F1F">
        <w:rPr>
          <w:rFonts w:ascii="Century Gothic" w:hAnsi="Century Gothic"/>
          <w:sz w:val="22"/>
          <w:szCs w:val="22"/>
        </w:rPr>
        <w:t>hlavne z faktu kontinuálneho nárastu pacientov v čase aj v období postupného prechádzania na ambulantnú resp. jednodňovú starostlivosť a zároveň definovaných</w:t>
      </w:r>
      <w:r w:rsidR="00812F1F" w:rsidRPr="0053249D">
        <w:rPr>
          <w:rFonts w:ascii="Century Gothic" w:hAnsi="Century Gothic"/>
          <w:sz w:val="22"/>
          <w:szCs w:val="22"/>
        </w:rPr>
        <w:t xml:space="preserve"> </w:t>
      </w:r>
      <w:r w:rsidRPr="0053249D">
        <w:rPr>
          <w:rFonts w:ascii="Century Gothic" w:hAnsi="Century Gothic"/>
          <w:sz w:val="22"/>
          <w:szCs w:val="22"/>
        </w:rPr>
        <w:t>niekoľkých predpokladov:</w:t>
      </w:r>
    </w:p>
    <w:p w14:paraId="6BE59F06" w14:textId="04EC1622"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nultý variant sa počíta s</w:t>
      </w:r>
      <w:r w:rsidR="00812F1F">
        <w:rPr>
          <w:rFonts w:ascii="Century Gothic" w:hAnsi="Century Gothic"/>
          <w:sz w:val="22"/>
          <w:szCs w:val="22"/>
        </w:rPr>
        <w:t> </w:t>
      </w:r>
      <w:r w:rsidR="00812F1F" w:rsidRPr="00C67E68">
        <w:rPr>
          <w:rFonts w:ascii="Century Gothic" w:hAnsi="Century Gothic"/>
          <w:b/>
          <w:sz w:val="22"/>
          <w:szCs w:val="22"/>
        </w:rPr>
        <w:t>polovičným</w:t>
      </w:r>
      <w:r w:rsidR="00812F1F">
        <w:rPr>
          <w:rFonts w:ascii="Century Gothic" w:hAnsi="Century Gothic"/>
          <w:sz w:val="22"/>
          <w:szCs w:val="22"/>
        </w:rPr>
        <w:t xml:space="preserve"> </w:t>
      </w:r>
      <w:r w:rsidRPr="0053249D">
        <w:rPr>
          <w:rFonts w:ascii="Century Gothic" w:hAnsi="Century Gothic"/>
          <w:sz w:val="22"/>
          <w:szCs w:val="22"/>
        </w:rPr>
        <w:t>priemerným rastom v období 2016 -2022 postupne znižovaným o 10 % ročne</w:t>
      </w:r>
      <w:r>
        <w:rPr>
          <w:rFonts w:ascii="Century Gothic" w:hAnsi="Century Gothic"/>
          <w:sz w:val="22"/>
          <w:szCs w:val="22"/>
        </w:rPr>
        <w:t>.</w:t>
      </w:r>
      <w:r w:rsidR="00812F1F">
        <w:rPr>
          <w:rFonts w:ascii="Century Gothic" w:hAnsi="Century Gothic"/>
          <w:sz w:val="22"/>
          <w:szCs w:val="22"/>
        </w:rPr>
        <w:t xml:space="preserve"> (tu počítame v prípade </w:t>
      </w:r>
      <w:proofErr w:type="spellStart"/>
      <w:r w:rsidR="00812F1F">
        <w:rPr>
          <w:rFonts w:ascii="Century Gothic" w:hAnsi="Century Gothic"/>
          <w:sz w:val="22"/>
          <w:szCs w:val="22"/>
        </w:rPr>
        <w:t>nerealizácie</w:t>
      </w:r>
      <w:proofErr w:type="spellEnd"/>
      <w:r w:rsidR="00812F1F">
        <w:rPr>
          <w:rFonts w:ascii="Century Gothic" w:hAnsi="Century Gothic"/>
          <w:sz w:val="22"/>
          <w:szCs w:val="22"/>
        </w:rPr>
        <w:t xml:space="preserve"> investície PUM – na rozdiel od SAS a SVALZ- s odlevom plánovaných lôžkových pacientov do novovybudovaných zariadení v MT, BB a BA)</w:t>
      </w:r>
    </w:p>
    <w:p w14:paraId="63128856" w14:textId="275267D9" w:rsidR="0053249D" w:rsidRP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 xml:space="preserve">Pre variant Rekonštrukcia </w:t>
      </w:r>
      <w:r w:rsidR="00812F1F">
        <w:rPr>
          <w:rFonts w:ascii="Century Gothic" w:hAnsi="Century Gothic"/>
          <w:sz w:val="22"/>
          <w:szCs w:val="22"/>
        </w:rPr>
        <w:t>počítame s rovnakým predpokladom nárastu pacientov</w:t>
      </w:r>
    </w:p>
    <w:p w14:paraId="59053F74" w14:textId="1B074C18" w:rsidR="0053249D" w:rsidRDefault="0053249D" w:rsidP="007F681B">
      <w:pPr>
        <w:pStyle w:val="Odsekzoznamu"/>
        <w:numPr>
          <w:ilvl w:val="0"/>
          <w:numId w:val="61"/>
        </w:numPr>
        <w:spacing w:line="240" w:lineRule="auto"/>
        <w:rPr>
          <w:rFonts w:ascii="Century Gothic" w:hAnsi="Century Gothic"/>
          <w:sz w:val="22"/>
          <w:szCs w:val="22"/>
        </w:rPr>
      </w:pPr>
      <w:r w:rsidRPr="0053249D">
        <w:rPr>
          <w:rFonts w:ascii="Century Gothic" w:hAnsi="Century Gothic"/>
          <w:sz w:val="22"/>
          <w:szCs w:val="22"/>
        </w:rPr>
        <w:t>Pre variant Nový PUM sa počíta s</w:t>
      </w:r>
      <w:r w:rsidR="00812F1F">
        <w:rPr>
          <w:rFonts w:ascii="Century Gothic" w:hAnsi="Century Gothic"/>
          <w:sz w:val="22"/>
          <w:szCs w:val="22"/>
        </w:rPr>
        <w:t> priemerným nárastom</w:t>
      </w:r>
      <w:r w:rsidRPr="0053249D">
        <w:rPr>
          <w:rFonts w:ascii="Century Gothic" w:hAnsi="Century Gothic"/>
          <w:sz w:val="22"/>
          <w:szCs w:val="22"/>
        </w:rPr>
        <w:t xml:space="preserve"> počtu pacientov oproti nultému variantu </w:t>
      </w:r>
      <w:r w:rsidR="00812F1F">
        <w:rPr>
          <w:rFonts w:ascii="Century Gothic" w:hAnsi="Century Gothic"/>
          <w:sz w:val="22"/>
          <w:szCs w:val="22"/>
        </w:rPr>
        <w:t xml:space="preserve">od roku 2023 a následne aj </w:t>
      </w:r>
      <w:r w:rsidRPr="0053249D">
        <w:rPr>
          <w:rFonts w:ascii="Century Gothic" w:hAnsi="Century Gothic"/>
          <w:sz w:val="22"/>
          <w:szCs w:val="22"/>
        </w:rPr>
        <w:t>po realizácii investície v roku 2027 a následne s postupným znižovaním rastu o 10 % ročne</w:t>
      </w:r>
      <w:r>
        <w:rPr>
          <w:rFonts w:ascii="Century Gothic" w:hAnsi="Century Gothic"/>
          <w:sz w:val="22"/>
          <w:szCs w:val="22"/>
        </w:rPr>
        <w:t>.</w:t>
      </w:r>
    </w:p>
    <w:p w14:paraId="6571A773" w14:textId="77777777" w:rsidR="00181CD2" w:rsidRDefault="00181CD2" w:rsidP="007B7154">
      <w:pPr>
        <w:spacing w:line="240" w:lineRule="auto"/>
        <w:rPr>
          <w:rFonts w:ascii="Century Gothic" w:hAnsi="Century Gothic"/>
          <w:i/>
          <w:sz w:val="22"/>
          <w:szCs w:val="22"/>
        </w:rPr>
      </w:pPr>
    </w:p>
    <w:p w14:paraId="6182A32D" w14:textId="18D5C51A" w:rsidR="00493C55" w:rsidRPr="00C67E68" w:rsidRDefault="00812F1F" w:rsidP="007B7154">
      <w:pPr>
        <w:spacing w:line="240" w:lineRule="auto"/>
        <w:rPr>
          <w:rFonts w:ascii="Century Gothic" w:hAnsi="Century Gothic" w:cstheme="majorHAnsi"/>
          <w:i/>
          <w:sz w:val="22"/>
          <w:szCs w:val="22"/>
        </w:rPr>
      </w:pPr>
      <w:r w:rsidRPr="00C67E68">
        <w:rPr>
          <w:rFonts w:ascii="Century Gothic" w:hAnsi="Century Gothic"/>
          <w:i/>
          <w:sz w:val="22"/>
          <w:szCs w:val="22"/>
        </w:rPr>
        <w:t xml:space="preserve">Konzervatívne nastavenie v lôžkovej časti nám umožňuje existencia existujúceho areálu. Tá zároveň umožní veľmi ambiciózne nastavenie </w:t>
      </w:r>
      <w:proofErr w:type="spellStart"/>
      <w:r w:rsidRPr="00C67E68">
        <w:rPr>
          <w:rFonts w:ascii="Century Gothic" w:hAnsi="Century Gothic" w:cstheme="majorHAnsi"/>
          <w:i/>
          <w:sz w:val="22"/>
          <w:szCs w:val="22"/>
        </w:rPr>
        <w:t>obložnosti</w:t>
      </w:r>
      <w:proofErr w:type="spellEnd"/>
      <w:r w:rsidRPr="00C67E68">
        <w:rPr>
          <w:rFonts w:ascii="Century Gothic" w:hAnsi="Century Gothic" w:cstheme="majorHAnsi"/>
          <w:i/>
          <w:sz w:val="22"/>
          <w:szCs w:val="22"/>
        </w:rPr>
        <w:t xml:space="preserve"> a priemernej dĺžky hospitalizácie na 4,00 dňa resp</w:t>
      </w:r>
      <w:r w:rsidR="007756C0">
        <w:rPr>
          <w:rFonts w:ascii="Century Gothic" w:hAnsi="Century Gothic" w:cstheme="majorHAnsi"/>
          <w:i/>
          <w:sz w:val="22"/>
          <w:szCs w:val="22"/>
        </w:rPr>
        <w:t>.</w:t>
      </w:r>
      <w:r w:rsidRPr="00C67E68">
        <w:rPr>
          <w:rFonts w:ascii="Century Gothic" w:hAnsi="Century Gothic" w:cstheme="majorHAnsi"/>
          <w:i/>
          <w:sz w:val="22"/>
          <w:szCs w:val="22"/>
        </w:rPr>
        <w:t xml:space="preserve"> na 85% pre nový</w:t>
      </w:r>
      <w:r w:rsidR="00181CD2" w:rsidRPr="00C67E68">
        <w:rPr>
          <w:rFonts w:ascii="Century Gothic" w:hAnsi="Century Gothic" w:cstheme="majorHAnsi"/>
          <w:i/>
          <w:sz w:val="22"/>
          <w:szCs w:val="22"/>
        </w:rPr>
        <w:t xml:space="preserve"> PUM. V prípade, že by nový </w:t>
      </w:r>
      <w:r w:rsidR="00181CD2" w:rsidRPr="00181CD2">
        <w:rPr>
          <w:rFonts w:ascii="Century Gothic" w:hAnsi="Century Gothic" w:cstheme="majorHAnsi"/>
          <w:i/>
          <w:sz w:val="22"/>
          <w:szCs w:val="22"/>
        </w:rPr>
        <w:t>pavilón</w:t>
      </w:r>
      <w:r w:rsidR="00181CD2" w:rsidRPr="00C67E68">
        <w:rPr>
          <w:rFonts w:ascii="Century Gothic" w:hAnsi="Century Gothic" w:cstheme="majorHAnsi"/>
          <w:i/>
          <w:sz w:val="22"/>
          <w:szCs w:val="22"/>
        </w:rPr>
        <w:t xml:space="preserve"> kapacitne nestíhal počítame s možnosťou </w:t>
      </w:r>
      <w:proofErr w:type="spellStart"/>
      <w:r w:rsidR="00181CD2" w:rsidRPr="00C67E68">
        <w:rPr>
          <w:rFonts w:ascii="Century Gothic" w:hAnsi="Century Gothic" w:cstheme="majorHAnsi"/>
          <w:i/>
          <w:sz w:val="22"/>
          <w:szCs w:val="22"/>
        </w:rPr>
        <w:t>sanovať</w:t>
      </w:r>
      <w:proofErr w:type="spellEnd"/>
      <w:r w:rsidR="00181CD2" w:rsidRPr="00C67E68">
        <w:rPr>
          <w:rFonts w:ascii="Century Gothic" w:hAnsi="Century Gothic" w:cstheme="majorHAnsi"/>
          <w:i/>
          <w:sz w:val="22"/>
          <w:szCs w:val="22"/>
        </w:rPr>
        <w:t xml:space="preserve"> tento potenciálny problém využitím časti opustených priestorov po jeho výstavbe. </w:t>
      </w:r>
      <w:r w:rsidRPr="00C67E68">
        <w:rPr>
          <w:rFonts w:ascii="Century Gothic" w:hAnsi="Century Gothic" w:cstheme="majorHAnsi"/>
          <w:i/>
          <w:sz w:val="22"/>
          <w:szCs w:val="22"/>
        </w:rPr>
        <w:t xml:space="preserve"> </w:t>
      </w:r>
    </w:p>
    <w:p w14:paraId="46BA65EE" w14:textId="77777777" w:rsidR="00181CD2" w:rsidRDefault="00181CD2" w:rsidP="007B7154">
      <w:pPr>
        <w:spacing w:line="240" w:lineRule="auto"/>
        <w:rPr>
          <w:rFonts w:ascii="Century Gothic" w:hAnsi="Century Gothic" w:cstheme="majorHAnsi"/>
          <w:b/>
          <w:sz w:val="22"/>
          <w:szCs w:val="22"/>
        </w:rPr>
      </w:pPr>
    </w:p>
    <w:p w14:paraId="40A0ECCF" w14:textId="5E5D9217" w:rsidR="007B7154" w:rsidRDefault="007B7154" w:rsidP="007B7154">
      <w:pPr>
        <w:spacing w:line="240" w:lineRule="auto"/>
        <w:rPr>
          <w:rFonts w:ascii="Century Gothic" w:hAnsi="Century Gothic" w:cstheme="majorHAnsi"/>
          <w:b/>
          <w:sz w:val="22"/>
          <w:szCs w:val="22"/>
        </w:rPr>
      </w:pPr>
      <w:r w:rsidRPr="009B6A13">
        <w:rPr>
          <w:rFonts w:ascii="Century Gothic" w:hAnsi="Century Gothic" w:cstheme="majorHAnsi"/>
          <w:b/>
          <w:sz w:val="22"/>
          <w:szCs w:val="22"/>
        </w:rPr>
        <w:t>Epidémie a iné potreby štátu (vojnová medicína)</w:t>
      </w:r>
    </w:p>
    <w:p w14:paraId="6D786C69" w14:textId="3FE3F2A7" w:rsidR="00F45F06" w:rsidRDefault="00F45F06" w:rsidP="007B7154">
      <w:pPr>
        <w:spacing w:line="240" w:lineRule="auto"/>
        <w:rPr>
          <w:rFonts w:ascii="Century Gothic" w:hAnsi="Century Gothic" w:cstheme="majorHAnsi"/>
          <w:b/>
          <w:sz w:val="22"/>
          <w:szCs w:val="22"/>
        </w:rPr>
      </w:pPr>
    </w:p>
    <w:p w14:paraId="448603F1" w14:textId="77777777" w:rsidR="00F45F06" w:rsidRPr="008F3D74" w:rsidRDefault="00F45F06" w:rsidP="00F45F06">
      <w:pPr>
        <w:spacing w:line="240" w:lineRule="auto"/>
        <w:rPr>
          <w:rFonts w:ascii="Century Gothic" w:hAnsi="Century Gothic"/>
          <w:sz w:val="22"/>
          <w:szCs w:val="22"/>
        </w:rPr>
      </w:pPr>
      <w:r w:rsidRPr="008F3D74">
        <w:rPr>
          <w:rFonts w:ascii="Century Gothic" w:hAnsi="Century Gothic"/>
          <w:sz w:val="22"/>
          <w:szCs w:val="22"/>
        </w:rPr>
        <w:t>Zdravotníctvo SR tvorí významný podsystém bezpečnostného systému  štátu, pretože  každá krízová situácia nesie v sebe potenciál zachraňovania ľudských životov a zdravia prostredníctvom poskytnutia neodkladnej a ústavnej zdravotnej starostlivosti.</w:t>
      </w:r>
    </w:p>
    <w:p w14:paraId="6451FF54" w14:textId="77777777" w:rsidR="00F45F06" w:rsidRPr="008F3D74" w:rsidRDefault="00F45F06" w:rsidP="00F45F06">
      <w:pPr>
        <w:spacing w:before="100" w:beforeAutospacing="1" w:after="100" w:afterAutospacing="1" w:line="240" w:lineRule="auto"/>
        <w:rPr>
          <w:rFonts w:ascii="Century Gothic" w:hAnsi="Century Gothic"/>
          <w:sz w:val="22"/>
          <w:szCs w:val="22"/>
        </w:rPr>
      </w:pPr>
      <w:r w:rsidRPr="008F3D74">
        <w:rPr>
          <w:rFonts w:ascii="Century Gothic" w:hAnsi="Century Gothic"/>
          <w:sz w:val="22"/>
          <w:szCs w:val="22"/>
        </w:rPr>
        <w:t>Bez organizovanej prípravy zdravotníctva na činnosť v krízových situáciách nie je šanca zvládnuť extrémne nároky na fungovanie poskytovania zdravotnej starostlivosti hromadne postihnutým osobám následkami krízovej udalosti.</w:t>
      </w:r>
    </w:p>
    <w:p w14:paraId="38BD1DFF" w14:textId="77777777" w:rsidR="00F45F06" w:rsidRPr="008F3D74" w:rsidRDefault="00F45F06" w:rsidP="00F45F06">
      <w:pPr>
        <w:spacing w:before="100" w:beforeAutospacing="1" w:after="100" w:afterAutospacing="1" w:line="240" w:lineRule="auto"/>
        <w:rPr>
          <w:rFonts w:ascii="Century Gothic" w:hAnsi="Century Gothic"/>
          <w:sz w:val="22"/>
          <w:szCs w:val="22"/>
        </w:rPr>
      </w:pPr>
      <w:r w:rsidRPr="008F3D74">
        <w:rPr>
          <w:rFonts w:ascii="Century Gothic" w:hAnsi="Century Gothic"/>
          <w:sz w:val="22"/>
          <w:szCs w:val="22"/>
        </w:rPr>
        <w:t>Krízový manažment je sústava pracovníkov a špecifická činnosť manažmentu zameraná na  analýzu možnosti vzniku kríz v systéme zdravotníctva, ich príčin, možných následkov a hľadanie opatrení a nástrojov na ich predchádzanie a eliminovanie negatívnych dopadov v  prípade ich vzniku.  </w:t>
      </w:r>
    </w:p>
    <w:p w14:paraId="4A34895E" w14:textId="77777777" w:rsidR="00F45F06" w:rsidRPr="008F3D74" w:rsidRDefault="00F45F06" w:rsidP="00F45F06">
      <w:pPr>
        <w:spacing w:line="240" w:lineRule="auto"/>
        <w:rPr>
          <w:rFonts w:ascii="Century Gothic" w:hAnsi="Century Gothic"/>
          <w:sz w:val="22"/>
          <w:szCs w:val="22"/>
        </w:rPr>
      </w:pPr>
      <w:r w:rsidRPr="008F3D74">
        <w:rPr>
          <w:rFonts w:ascii="Century Gothic" w:hAnsi="Century Gothic"/>
          <w:sz w:val="22"/>
          <w:szCs w:val="22"/>
        </w:rPr>
        <w:t>Krízový manažment  zdravotníctva SR tvorí:</w:t>
      </w:r>
    </w:p>
    <w:p w14:paraId="5C86AACC" w14:textId="01717ED8" w:rsidR="00F45F06" w:rsidRPr="008F3D74" w:rsidRDefault="00F45F06" w:rsidP="007F681B">
      <w:pPr>
        <w:numPr>
          <w:ilvl w:val="0"/>
          <w:numId w:val="52"/>
        </w:numPr>
        <w:spacing w:before="100" w:beforeAutospacing="1" w:after="100" w:afterAutospacing="1" w:line="240" w:lineRule="auto"/>
        <w:rPr>
          <w:rFonts w:ascii="Century Gothic" w:hAnsi="Century Gothic"/>
          <w:sz w:val="22"/>
          <w:szCs w:val="22"/>
        </w:rPr>
      </w:pPr>
      <w:r w:rsidRPr="008F3D74">
        <w:rPr>
          <w:rFonts w:ascii="Century Gothic" w:hAnsi="Century Gothic"/>
          <w:sz w:val="22"/>
          <w:szCs w:val="22"/>
        </w:rPr>
        <w:t>odbor krízového manažmentu MZ SR</w:t>
      </w:r>
      <w:r w:rsidR="004E231E">
        <w:rPr>
          <w:rFonts w:ascii="Century Gothic" w:hAnsi="Century Gothic"/>
          <w:sz w:val="22"/>
          <w:szCs w:val="22"/>
        </w:rPr>
        <w:t>,</w:t>
      </w:r>
    </w:p>
    <w:p w14:paraId="3553312C" w14:textId="3DA6513A" w:rsidR="00F45F06" w:rsidRPr="008F3D74" w:rsidRDefault="00F45F06" w:rsidP="007F681B">
      <w:pPr>
        <w:numPr>
          <w:ilvl w:val="0"/>
          <w:numId w:val="52"/>
        </w:numPr>
        <w:spacing w:before="100" w:beforeAutospacing="1" w:after="100" w:afterAutospacing="1" w:line="240" w:lineRule="auto"/>
        <w:rPr>
          <w:rFonts w:ascii="Century Gothic" w:hAnsi="Century Gothic"/>
          <w:sz w:val="22"/>
          <w:szCs w:val="22"/>
        </w:rPr>
      </w:pPr>
      <w:r w:rsidRPr="008F3D74">
        <w:rPr>
          <w:rFonts w:ascii="Century Gothic" w:hAnsi="Century Gothic"/>
          <w:sz w:val="22"/>
          <w:szCs w:val="22"/>
        </w:rPr>
        <w:t>samostatné odbory krízového riadenia krajov</w:t>
      </w:r>
      <w:r w:rsidR="004E231E">
        <w:rPr>
          <w:rFonts w:ascii="Century Gothic" w:hAnsi="Century Gothic"/>
          <w:sz w:val="22"/>
          <w:szCs w:val="22"/>
        </w:rPr>
        <w:t>,</w:t>
      </w:r>
    </w:p>
    <w:p w14:paraId="53922F63" w14:textId="277746B7" w:rsidR="00F45F06" w:rsidRPr="008F3D74" w:rsidRDefault="00F45F06" w:rsidP="007F681B">
      <w:pPr>
        <w:numPr>
          <w:ilvl w:val="0"/>
          <w:numId w:val="52"/>
        </w:numPr>
        <w:spacing w:before="100" w:beforeAutospacing="1" w:after="100" w:afterAutospacing="1" w:line="240" w:lineRule="auto"/>
        <w:rPr>
          <w:rFonts w:ascii="Century Gothic" w:hAnsi="Century Gothic"/>
          <w:sz w:val="22"/>
          <w:szCs w:val="22"/>
        </w:rPr>
      </w:pPr>
      <w:r w:rsidRPr="008F3D74">
        <w:rPr>
          <w:rFonts w:ascii="Century Gothic" w:hAnsi="Century Gothic"/>
          <w:sz w:val="22"/>
          <w:szCs w:val="22"/>
        </w:rPr>
        <w:t>útvary krízového riadenia zdravotníckych zariadení – subjekty hospodárskej mobilizácie</w:t>
      </w:r>
      <w:r w:rsidRPr="008F3D74">
        <w:rPr>
          <w:rFonts w:ascii="Arial" w:hAnsi="Arial" w:cs="Arial"/>
          <w:sz w:val="22"/>
          <w:szCs w:val="22"/>
        </w:rPr>
        <w:t>​​</w:t>
      </w:r>
      <w:r w:rsidR="004E231E">
        <w:rPr>
          <w:rFonts w:ascii="Arial" w:hAnsi="Arial" w:cs="Arial"/>
          <w:sz w:val="22"/>
          <w:szCs w:val="22"/>
        </w:rPr>
        <w:t>.</w:t>
      </w:r>
    </w:p>
    <w:p w14:paraId="26E0C9E9" w14:textId="75DB7746" w:rsidR="00F45F06" w:rsidRDefault="00F45F06" w:rsidP="007B7154">
      <w:pPr>
        <w:spacing w:line="240" w:lineRule="auto"/>
        <w:rPr>
          <w:rFonts w:ascii="Century Gothic" w:hAnsi="Century Gothic" w:cstheme="majorHAnsi"/>
          <w:bCs/>
          <w:sz w:val="22"/>
          <w:szCs w:val="22"/>
        </w:rPr>
      </w:pPr>
      <w:proofErr w:type="spellStart"/>
      <w:r w:rsidRPr="008F3D74">
        <w:rPr>
          <w:rFonts w:ascii="Century Gothic" w:hAnsi="Century Gothic" w:cstheme="majorHAnsi"/>
          <w:bCs/>
          <w:sz w:val="22"/>
          <w:szCs w:val="22"/>
        </w:rPr>
        <w:lastRenderedPageBreak/>
        <w:t>FNsP</w:t>
      </w:r>
      <w:proofErr w:type="spellEnd"/>
      <w:r w:rsidRPr="008F3D74">
        <w:rPr>
          <w:rFonts w:ascii="Century Gothic" w:hAnsi="Century Gothic" w:cstheme="majorHAnsi"/>
          <w:bCs/>
          <w:sz w:val="22"/>
          <w:szCs w:val="22"/>
        </w:rPr>
        <w:t xml:space="preserve"> Žilina ako jeden so subjekt</w:t>
      </w:r>
      <w:r w:rsidR="006229F9" w:rsidRPr="008F3D74">
        <w:rPr>
          <w:rFonts w:ascii="Century Gothic" w:hAnsi="Century Gothic" w:cstheme="majorHAnsi"/>
          <w:bCs/>
          <w:sz w:val="22"/>
          <w:szCs w:val="22"/>
        </w:rPr>
        <w:t>ov</w:t>
      </w:r>
      <w:r w:rsidRPr="008F3D74">
        <w:rPr>
          <w:rFonts w:ascii="Century Gothic" w:hAnsi="Century Gothic" w:cstheme="majorHAnsi"/>
          <w:bCs/>
          <w:sz w:val="22"/>
          <w:szCs w:val="22"/>
        </w:rPr>
        <w:t xml:space="preserve"> hospodárskej mobilizácie nemá vyčlenené samostatné kapacity pre krízové situácie, pr</w:t>
      </w:r>
      <w:r w:rsidR="004E231E">
        <w:rPr>
          <w:rFonts w:ascii="Century Gothic" w:hAnsi="Century Gothic" w:cstheme="majorHAnsi"/>
          <w:bCs/>
          <w:sz w:val="22"/>
          <w:szCs w:val="22"/>
        </w:rPr>
        <w:t>ičom takéto kapacity nemá celý Ž</w:t>
      </w:r>
      <w:r w:rsidRPr="008F3D74">
        <w:rPr>
          <w:rFonts w:ascii="Century Gothic" w:hAnsi="Century Gothic" w:cstheme="majorHAnsi"/>
          <w:bCs/>
          <w:sz w:val="22"/>
          <w:szCs w:val="22"/>
        </w:rPr>
        <w:t>ilinský samosprávny kraj</w:t>
      </w:r>
      <w:r w:rsidR="006229F9" w:rsidRPr="008F3D74">
        <w:rPr>
          <w:rFonts w:ascii="Century Gothic" w:hAnsi="Century Gothic" w:cstheme="majorHAnsi"/>
          <w:bCs/>
          <w:sz w:val="22"/>
          <w:szCs w:val="22"/>
        </w:rPr>
        <w:t xml:space="preserve"> (podobne sú na tom iné kraje v SR)</w:t>
      </w:r>
      <w:r w:rsidR="004E231E">
        <w:rPr>
          <w:rFonts w:ascii="Century Gothic" w:hAnsi="Century Gothic" w:cstheme="majorHAnsi"/>
          <w:bCs/>
          <w:sz w:val="22"/>
          <w:szCs w:val="22"/>
        </w:rPr>
        <w:t>.</w:t>
      </w:r>
    </w:p>
    <w:p w14:paraId="76A68F5E" w14:textId="77777777" w:rsidR="004E231E" w:rsidRPr="008F3D74" w:rsidRDefault="004E231E" w:rsidP="007B7154">
      <w:pPr>
        <w:spacing w:line="240" w:lineRule="auto"/>
        <w:rPr>
          <w:rFonts w:ascii="Century Gothic" w:hAnsi="Century Gothic" w:cstheme="majorHAnsi"/>
          <w:bCs/>
          <w:sz w:val="22"/>
          <w:szCs w:val="22"/>
        </w:rPr>
      </w:pPr>
    </w:p>
    <w:p w14:paraId="0FD52F9E" w14:textId="5B86322A" w:rsidR="00F45F06" w:rsidRPr="008F3D74" w:rsidRDefault="004E231E" w:rsidP="007B7154">
      <w:pPr>
        <w:spacing w:line="240" w:lineRule="auto"/>
        <w:rPr>
          <w:rFonts w:ascii="Century Gothic" w:hAnsi="Century Gothic" w:cstheme="majorHAnsi"/>
          <w:bCs/>
          <w:sz w:val="22"/>
          <w:szCs w:val="22"/>
        </w:rPr>
      </w:pPr>
      <w:r>
        <w:rPr>
          <w:rFonts w:ascii="Century Gothic" w:hAnsi="Century Gothic" w:cstheme="majorHAnsi"/>
          <w:bCs/>
          <w:sz w:val="22"/>
          <w:szCs w:val="22"/>
        </w:rPr>
        <w:t>Epidémia COVID</w:t>
      </w:r>
      <w:r w:rsidR="00F45F06" w:rsidRPr="008F3D74">
        <w:rPr>
          <w:rFonts w:ascii="Century Gothic" w:hAnsi="Century Gothic" w:cstheme="majorHAnsi"/>
          <w:bCs/>
          <w:sz w:val="22"/>
          <w:szCs w:val="22"/>
        </w:rPr>
        <w:t xml:space="preserve"> nám v praxi ukázala, že akútny prechod z bežnej prevádzky do prevádzky počas epidemickej situácie priniesol nespočetné množstvo problémov, ktoré sa zvládli v nedostatočnom časo</w:t>
      </w:r>
      <w:r w:rsidR="00610094">
        <w:rPr>
          <w:rFonts w:ascii="Century Gothic" w:hAnsi="Century Gothic" w:cstheme="majorHAnsi"/>
          <w:bCs/>
          <w:sz w:val="22"/>
          <w:szCs w:val="22"/>
        </w:rPr>
        <w:t>vo</w:t>
      </w:r>
      <w:r w:rsidR="00F45F06" w:rsidRPr="008F3D74">
        <w:rPr>
          <w:rFonts w:ascii="Century Gothic" w:hAnsi="Century Gothic" w:cstheme="majorHAnsi"/>
          <w:bCs/>
          <w:sz w:val="22"/>
          <w:szCs w:val="22"/>
        </w:rPr>
        <w:t>m rámci, alebo sa nezvládli vôbec a ich výsledkom boli v konečnom dôsledku nadmerné úmrtia obyvateľstva, paralyzovanie činnosti nemocnice, ohrozenie zdravotného personálu.</w:t>
      </w:r>
    </w:p>
    <w:p w14:paraId="297DA573" w14:textId="191AA3C1" w:rsidR="00F45F06" w:rsidRPr="008F3D74" w:rsidRDefault="00F45F06" w:rsidP="007B7154">
      <w:pPr>
        <w:spacing w:line="240" w:lineRule="auto"/>
        <w:rPr>
          <w:rFonts w:ascii="Century Gothic" w:hAnsi="Century Gothic" w:cstheme="majorHAnsi"/>
          <w:bCs/>
          <w:sz w:val="22"/>
          <w:szCs w:val="22"/>
        </w:rPr>
      </w:pPr>
      <w:r w:rsidRPr="008F3D74">
        <w:rPr>
          <w:rFonts w:ascii="Century Gothic" w:hAnsi="Century Gothic" w:cstheme="majorHAnsi"/>
          <w:bCs/>
          <w:sz w:val="22"/>
          <w:szCs w:val="22"/>
        </w:rPr>
        <w:t xml:space="preserve">Vzhľadom na uvedené máme za to, že </w:t>
      </w:r>
      <w:r w:rsidR="006229F9" w:rsidRPr="008F3D74">
        <w:rPr>
          <w:rFonts w:ascii="Century Gothic" w:hAnsi="Century Gothic" w:cstheme="majorHAnsi"/>
          <w:bCs/>
          <w:sz w:val="22"/>
          <w:szCs w:val="22"/>
        </w:rPr>
        <w:t>niektoré časti nemocnice, ktoré nebudú vyžité v mierových podmienkach</w:t>
      </w:r>
      <w:r w:rsidR="00610094">
        <w:rPr>
          <w:rFonts w:ascii="Century Gothic" w:hAnsi="Century Gothic" w:cstheme="majorHAnsi"/>
          <w:bCs/>
          <w:sz w:val="22"/>
          <w:szCs w:val="22"/>
        </w:rPr>
        <w:t xml:space="preserve">, kde by sa malo </w:t>
      </w:r>
      <w:r w:rsidR="006229F9" w:rsidRPr="008F3D74">
        <w:rPr>
          <w:rFonts w:ascii="Century Gothic" w:hAnsi="Century Gothic" w:cstheme="majorHAnsi"/>
          <w:bCs/>
          <w:sz w:val="22"/>
          <w:szCs w:val="22"/>
        </w:rPr>
        <w:t xml:space="preserve">dlhodobo „kúriť a svietiť“ </w:t>
      </w:r>
      <w:r w:rsidR="00610094">
        <w:rPr>
          <w:rFonts w:ascii="Century Gothic" w:hAnsi="Century Gothic" w:cstheme="majorHAnsi"/>
          <w:bCs/>
          <w:sz w:val="22"/>
          <w:szCs w:val="22"/>
        </w:rPr>
        <w:t xml:space="preserve">by mali byť využité </w:t>
      </w:r>
      <w:r w:rsidR="006229F9" w:rsidRPr="008F3D74">
        <w:rPr>
          <w:rFonts w:ascii="Century Gothic" w:hAnsi="Century Gothic" w:cstheme="majorHAnsi"/>
          <w:bCs/>
          <w:sz w:val="22"/>
          <w:szCs w:val="22"/>
        </w:rPr>
        <w:t>ako záložné priestory pre krízové situácie s potenciálom výrazne eliminovať škody popísané vyššie.</w:t>
      </w:r>
    </w:p>
    <w:p w14:paraId="283277BC" w14:textId="68E88225" w:rsidR="006229F9" w:rsidRPr="008F3D74" w:rsidRDefault="006229F9" w:rsidP="007B7154">
      <w:pPr>
        <w:spacing w:line="240" w:lineRule="auto"/>
        <w:rPr>
          <w:rFonts w:ascii="Century Gothic" w:hAnsi="Century Gothic" w:cstheme="majorHAnsi"/>
          <w:bCs/>
          <w:sz w:val="22"/>
          <w:szCs w:val="22"/>
        </w:rPr>
      </w:pPr>
      <w:r w:rsidRPr="008F3D74">
        <w:rPr>
          <w:rFonts w:ascii="Century Gothic" w:hAnsi="Century Gothic" w:cstheme="majorHAnsi"/>
          <w:bCs/>
          <w:sz w:val="22"/>
          <w:szCs w:val="22"/>
        </w:rPr>
        <w:t>Pre uvedený účel sa javí najvho</w:t>
      </w:r>
      <w:r w:rsidR="00E8639C">
        <w:rPr>
          <w:rFonts w:ascii="Century Gothic" w:hAnsi="Century Gothic" w:cstheme="majorHAnsi"/>
          <w:bCs/>
          <w:sz w:val="22"/>
          <w:szCs w:val="22"/>
        </w:rPr>
        <w:t>dnejšie ponechať pavilón G, v súčasnosti</w:t>
      </w:r>
      <w:r w:rsidRPr="008F3D74">
        <w:rPr>
          <w:rFonts w:ascii="Century Gothic" w:hAnsi="Century Gothic" w:cstheme="majorHAnsi"/>
          <w:bCs/>
          <w:sz w:val="22"/>
          <w:szCs w:val="22"/>
        </w:rPr>
        <w:t xml:space="preserve"> chirurgický pavilón.</w:t>
      </w:r>
    </w:p>
    <w:p w14:paraId="24EC7638" w14:textId="59E1863F" w:rsidR="006229F9" w:rsidRPr="008F3D74" w:rsidRDefault="006229F9" w:rsidP="007B7154">
      <w:pPr>
        <w:spacing w:line="240" w:lineRule="auto"/>
        <w:rPr>
          <w:rFonts w:ascii="Century Gothic" w:hAnsi="Century Gothic" w:cstheme="majorHAnsi"/>
          <w:bCs/>
          <w:sz w:val="22"/>
          <w:szCs w:val="22"/>
        </w:rPr>
      </w:pPr>
      <w:r w:rsidRPr="008F3D74">
        <w:rPr>
          <w:rFonts w:ascii="Century Gothic" w:hAnsi="Century Gothic" w:cstheme="majorHAnsi"/>
          <w:bCs/>
          <w:sz w:val="22"/>
          <w:szCs w:val="22"/>
        </w:rPr>
        <w:t>Jeho v</w:t>
      </w:r>
      <w:r w:rsidR="004E231E">
        <w:rPr>
          <w:rFonts w:ascii="Century Gothic" w:hAnsi="Century Gothic" w:cstheme="majorHAnsi"/>
          <w:bCs/>
          <w:sz w:val="22"/>
          <w:szCs w:val="22"/>
        </w:rPr>
        <w:t>yužitie je možné v spolupráci so ŽSK</w:t>
      </w:r>
      <w:r w:rsidRPr="008F3D74">
        <w:rPr>
          <w:rFonts w:ascii="Century Gothic" w:hAnsi="Century Gothic" w:cstheme="majorHAnsi"/>
          <w:bCs/>
          <w:sz w:val="22"/>
          <w:szCs w:val="22"/>
        </w:rPr>
        <w:t xml:space="preserve"> alebo tretím sektorom, pričom niektoré jeho časti(operačné sály, krízové sklady) by boli dlhodobo uzamknuté a otvárali by sa len v krízovej prevádzke. Za uvedeným účelom bude súčasťou realizačného „post-projektu“ uvedenie tejto myšlienky do prevádzky v spolupráci so štátom a </w:t>
      </w:r>
      <w:r w:rsidR="004E231E">
        <w:rPr>
          <w:rFonts w:ascii="Century Gothic" w:hAnsi="Century Gothic" w:cstheme="majorHAnsi"/>
          <w:bCs/>
          <w:sz w:val="22"/>
          <w:szCs w:val="22"/>
        </w:rPr>
        <w:t>ŽSK</w:t>
      </w:r>
      <w:r w:rsidRPr="008F3D74">
        <w:rPr>
          <w:rFonts w:ascii="Century Gothic" w:hAnsi="Century Gothic" w:cstheme="majorHAnsi"/>
          <w:bCs/>
          <w:sz w:val="22"/>
          <w:szCs w:val="22"/>
        </w:rPr>
        <w:t>.</w:t>
      </w:r>
    </w:p>
    <w:p w14:paraId="55AA86E1" w14:textId="77777777" w:rsidR="00A62CD9" w:rsidRDefault="00A62CD9" w:rsidP="007B7154">
      <w:pPr>
        <w:spacing w:line="240" w:lineRule="auto"/>
        <w:rPr>
          <w:rFonts w:ascii="Century Gothic" w:hAnsi="Century Gothic"/>
          <w:b/>
          <w:sz w:val="28"/>
          <w:szCs w:val="28"/>
        </w:rPr>
      </w:pPr>
    </w:p>
    <w:p w14:paraId="78A996C4" w14:textId="635B799F" w:rsidR="007B7154" w:rsidRPr="006F7DC0" w:rsidRDefault="007B7154" w:rsidP="007B7154">
      <w:pPr>
        <w:spacing w:line="240" w:lineRule="auto"/>
        <w:rPr>
          <w:rFonts w:ascii="Century Gothic" w:hAnsi="Century Gothic" w:cstheme="minorHAnsi"/>
          <w:b/>
          <w:highlight w:val="cyan"/>
        </w:rPr>
      </w:pPr>
      <w:r w:rsidRPr="006F7DC0">
        <w:rPr>
          <w:rFonts w:ascii="Century Gothic" w:hAnsi="Century Gothic" w:cstheme="minorHAnsi"/>
          <w:b/>
          <w:highlight w:val="cyan"/>
        </w:rPr>
        <w:br w:type="page"/>
      </w:r>
    </w:p>
    <w:p w14:paraId="1D09C7AE" w14:textId="4FE54A9E" w:rsidR="007B7154" w:rsidRPr="00B46658"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31" w:name="_Toc145219963"/>
      <w:r w:rsidRPr="00B46658">
        <w:rPr>
          <w:rFonts w:ascii="Century Gothic" w:hAnsi="Century Gothic" w:cs="Calibri Light"/>
          <w:b w:val="0"/>
          <w:bCs w:val="0"/>
          <w:sz w:val="32"/>
          <w:szCs w:val="32"/>
          <w:lang w:eastAsia="en-US"/>
        </w:rPr>
        <w:lastRenderedPageBreak/>
        <w:t xml:space="preserve">Nový </w:t>
      </w:r>
      <w:r w:rsidR="007756C0">
        <w:rPr>
          <w:rFonts w:ascii="Century Gothic" w:hAnsi="Century Gothic" w:cs="Calibri Light"/>
          <w:b w:val="0"/>
          <w:bCs w:val="0"/>
          <w:sz w:val="32"/>
          <w:szCs w:val="32"/>
          <w:lang w:eastAsia="en-US"/>
        </w:rPr>
        <w:t>P</w:t>
      </w:r>
      <w:r w:rsidRPr="00B46658">
        <w:rPr>
          <w:rFonts w:ascii="Century Gothic" w:hAnsi="Century Gothic" w:cs="Calibri Light"/>
          <w:b w:val="0"/>
          <w:bCs w:val="0"/>
          <w:sz w:val="32"/>
          <w:szCs w:val="32"/>
          <w:lang w:eastAsia="en-US"/>
        </w:rPr>
        <w:t>avilón urgentnej medicíny</w:t>
      </w:r>
      <w:bookmarkEnd w:id="131"/>
      <w:r w:rsidRPr="00B46658">
        <w:rPr>
          <w:rFonts w:ascii="Century Gothic" w:hAnsi="Century Gothic" w:cs="Calibri Light"/>
          <w:b w:val="0"/>
          <w:bCs w:val="0"/>
          <w:sz w:val="32"/>
          <w:szCs w:val="32"/>
          <w:lang w:eastAsia="en-US"/>
        </w:rPr>
        <w:t xml:space="preserve">  </w:t>
      </w:r>
    </w:p>
    <w:p w14:paraId="1B3E1609" w14:textId="77777777" w:rsidR="007B7154" w:rsidRPr="00472FC7" w:rsidRDefault="007B7154" w:rsidP="007B7154">
      <w:pPr>
        <w:pStyle w:val="Odsekzoznamu"/>
        <w:spacing w:line="240" w:lineRule="auto"/>
        <w:ind w:left="360"/>
        <w:rPr>
          <w:rFonts w:ascii="Century Gothic" w:hAnsi="Century Gothic"/>
          <w:b/>
        </w:rPr>
      </w:pPr>
    </w:p>
    <w:p w14:paraId="5007CD5A" w14:textId="0537B6F0" w:rsidR="009C43E6" w:rsidRPr="00B456F6" w:rsidRDefault="009C43E6" w:rsidP="00B456F6">
      <w:pPr>
        <w:rPr>
          <w:rFonts w:ascii="Century Gothic" w:hAnsi="Century Gothic"/>
          <w:b/>
          <w:color w:val="4F81BD" w:themeColor="accent1"/>
          <w:sz w:val="22"/>
          <w:szCs w:val="22"/>
        </w:rPr>
      </w:pPr>
      <w:r w:rsidRPr="00B456F6">
        <w:rPr>
          <w:rFonts w:ascii="Century Gothic" w:hAnsi="Century Gothic"/>
          <w:b/>
          <w:color w:val="4F81BD" w:themeColor="accent1"/>
          <w:sz w:val="22"/>
          <w:szCs w:val="22"/>
        </w:rPr>
        <w:t xml:space="preserve">Zmysel integrácie chirurgických a intervenčných medicínskych odborov do </w:t>
      </w:r>
      <w:r w:rsidR="000C5236" w:rsidRPr="00B456F6">
        <w:rPr>
          <w:rFonts w:ascii="Century Gothic" w:hAnsi="Century Gothic"/>
          <w:b/>
          <w:color w:val="4F81BD" w:themeColor="accent1"/>
          <w:sz w:val="22"/>
          <w:szCs w:val="22"/>
        </w:rPr>
        <w:t>s</w:t>
      </w:r>
      <w:r w:rsidR="007756C0">
        <w:rPr>
          <w:rFonts w:ascii="Century Gothic" w:hAnsi="Century Gothic"/>
          <w:b/>
          <w:color w:val="4F81BD" w:themeColor="accent1"/>
          <w:sz w:val="22"/>
          <w:szCs w:val="22"/>
        </w:rPr>
        <w:t>poločného moderného P</w:t>
      </w:r>
      <w:r w:rsidRPr="00B456F6">
        <w:rPr>
          <w:rFonts w:ascii="Century Gothic" w:hAnsi="Century Gothic"/>
          <w:b/>
          <w:color w:val="4F81BD" w:themeColor="accent1"/>
          <w:sz w:val="22"/>
          <w:szCs w:val="22"/>
        </w:rPr>
        <w:t>avilónu urgentnej medicíny</w:t>
      </w:r>
    </w:p>
    <w:p w14:paraId="3700E3D1" w14:textId="122EA59B" w:rsidR="009C43E6" w:rsidRDefault="009C43E6" w:rsidP="007B7154">
      <w:pPr>
        <w:spacing w:line="240" w:lineRule="auto"/>
        <w:rPr>
          <w:rFonts w:ascii="Century Gothic" w:hAnsi="Century Gothic" w:cstheme="majorHAnsi"/>
          <w:b/>
        </w:rPr>
      </w:pPr>
    </w:p>
    <w:p w14:paraId="63548416" w14:textId="77777777" w:rsidR="0050590A" w:rsidRPr="0050590A" w:rsidRDefault="0050590A" w:rsidP="0050590A">
      <w:pPr>
        <w:spacing w:line="240" w:lineRule="auto"/>
        <w:rPr>
          <w:rFonts w:ascii="Century Gothic" w:hAnsi="Century Gothic"/>
          <w:bCs/>
          <w:sz w:val="22"/>
          <w:szCs w:val="22"/>
        </w:rPr>
      </w:pPr>
      <w:r w:rsidRPr="0050590A">
        <w:rPr>
          <w:rFonts w:ascii="Century Gothic" w:hAnsi="Century Gothic"/>
          <w:bCs/>
          <w:sz w:val="22"/>
          <w:szCs w:val="22"/>
        </w:rPr>
        <w:t xml:space="preserve">Rozhodnutie postaviť nový pavilón, do ktorého sa bude  koncentrovať  urgentná  zdravotná starostlivosť pacientom v akútnom stave a taktiež liečebné chirurgické odbory, ktoré zabezpečujú operačné výkony a po operačnú starostlivosť, vyplýva z nasledovných  základných dôvodov : </w:t>
      </w:r>
    </w:p>
    <w:p w14:paraId="39205AF5" w14:textId="35948211" w:rsidR="0050590A" w:rsidRPr="00863AF7" w:rsidRDefault="0050590A" w:rsidP="0050590A">
      <w:pPr>
        <w:pStyle w:val="Odsekzoznamu"/>
        <w:numPr>
          <w:ilvl w:val="0"/>
          <w:numId w:val="74"/>
        </w:numPr>
        <w:spacing w:line="240" w:lineRule="auto"/>
        <w:rPr>
          <w:rFonts w:ascii="Century Gothic" w:hAnsi="Century Gothic"/>
          <w:b/>
          <w:bCs/>
          <w:sz w:val="22"/>
          <w:szCs w:val="22"/>
        </w:rPr>
      </w:pPr>
      <w:r w:rsidRPr="00863AF7">
        <w:rPr>
          <w:rFonts w:ascii="Century Gothic" w:hAnsi="Century Gothic"/>
          <w:b/>
          <w:bCs/>
          <w:sz w:val="22"/>
          <w:szCs w:val="22"/>
        </w:rPr>
        <w:t>Poskytovať liečbu pacientom v súlade so súčasne platnou legislatívou, v priestoroch,  ktoré spĺňajú  hygienické a bezpečnostné požiadavky liečby.</w:t>
      </w:r>
    </w:p>
    <w:p w14:paraId="294E4B89" w14:textId="365F62D1" w:rsidR="0050590A" w:rsidRPr="00863AF7" w:rsidRDefault="00863AF7" w:rsidP="0050590A">
      <w:pPr>
        <w:pStyle w:val="Odsekzoznamu"/>
        <w:numPr>
          <w:ilvl w:val="0"/>
          <w:numId w:val="74"/>
        </w:numPr>
        <w:spacing w:line="240" w:lineRule="auto"/>
        <w:rPr>
          <w:rFonts w:ascii="Century Gothic" w:hAnsi="Century Gothic"/>
          <w:b/>
          <w:bCs/>
          <w:sz w:val="22"/>
          <w:szCs w:val="22"/>
        </w:rPr>
      </w:pPr>
      <w:r w:rsidRPr="00863AF7">
        <w:rPr>
          <w:rFonts w:ascii="Century Gothic" w:hAnsi="Century Gothic"/>
          <w:b/>
          <w:bCs/>
          <w:sz w:val="22"/>
          <w:szCs w:val="22"/>
        </w:rPr>
        <w:t>Zdieľať</w:t>
      </w:r>
      <w:r w:rsidR="0050590A" w:rsidRPr="00863AF7">
        <w:rPr>
          <w:rFonts w:ascii="Century Gothic" w:hAnsi="Century Gothic"/>
          <w:b/>
          <w:bCs/>
          <w:sz w:val="22"/>
          <w:szCs w:val="22"/>
        </w:rPr>
        <w:t xml:space="preserve"> akútne lôžka, operačné sály, centrálne JIS-</w:t>
      </w:r>
      <w:proofErr w:type="spellStart"/>
      <w:r w:rsidR="0050590A" w:rsidRPr="00863AF7">
        <w:rPr>
          <w:rFonts w:ascii="Century Gothic" w:hAnsi="Century Gothic"/>
          <w:b/>
          <w:bCs/>
          <w:sz w:val="22"/>
          <w:szCs w:val="22"/>
        </w:rPr>
        <w:t>ky</w:t>
      </w:r>
      <w:proofErr w:type="spellEnd"/>
      <w:r w:rsidR="0050590A" w:rsidRPr="00863AF7">
        <w:rPr>
          <w:rFonts w:ascii="Century Gothic" w:hAnsi="Century Gothic"/>
          <w:b/>
          <w:bCs/>
          <w:sz w:val="22"/>
          <w:szCs w:val="22"/>
        </w:rPr>
        <w:t xml:space="preserve"> a pod., z dôvodov efektívnej a racionálnej liečby vo výsledku s úsporami personálnymi  a finančno-ekonomickými.</w:t>
      </w:r>
    </w:p>
    <w:p w14:paraId="3BB49B24" w14:textId="77777777" w:rsidR="0050590A" w:rsidRPr="00863AF7" w:rsidRDefault="0050590A" w:rsidP="0050590A">
      <w:pPr>
        <w:pStyle w:val="Odsekzoznamu"/>
        <w:numPr>
          <w:ilvl w:val="0"/>
          <w:numId w:val="74"/>
        </w:numPr>
        <w:spacing w:line="240" w:lineRule="auto"/>
        <w:rPr>
          <w:rFonts w:ascii="Century Gothic" w:hAnsi="Century Gothic"/>
          <w:b/>
          <w:bCs/>
          <w:iCs/>
          <w:sz w:val="22"/>
          <w:szCs w:val="22"/>
        </w:rPr>
      </w:pPr>
      <w:r w:rsidRPr="00863AF7">
        <w:rPr>
          <w:rFonts w:ascii="Century Gothic" w:hAnsi="Century Gothic"/>
          <w:b/>
          <w:bCs/>
          <w:sz w:val="22"/>
          <w:szCs w:val="22"/>
        </w:rPr>
        <w:t>Poskytovať liečbu v záujme celospoločenského prospechu z bez</w:t>
      </w:r>
      <w:r w:rsidRPr="00863AF7">
        <w:rPr>
          <w:rFonts w:ascii="Century Gothic" w:hAnsi="Century Gothic"/>
          <w:b/>
          <w:bCs/>
          <w:iCs/>
          <w:sz w:val="22"/>
          <w:szCs w:val="22"/>
        </w:rPr>
        <w:t>problémovým návratom pacientov po úspešnej absolvovanej liečbe do bežného života.</w:t>
      </w:r>
    </w:p>
    <w:p w14:paraId="1AB07BC9" w14:textId="77777777" w:rsidR="0050590A" w:rsidRPr="0050590A" w:rsidRDefault="0050590A" w:rsidP="0050590A">
      <w:pPr>
        <w:spacing w:line="240" w:lineRule="auto"/>
        <w:rPr>
          <w:rFonts w:ascii="Century Gothic" w:hAnsi="Century Gothic"/>
          <w:b/>
          <w:bCs/>
          <w:i/>
          <w:iCs/>
          <w:sz w:val="22"/>
          <w:szCs w:val="22"/>
        </w:rPr>
      </w:pPr>
      <w:r w:rsidRPr="0050590A">
        <w:rPr>
          <w:rFonts w:ascii="Century Gothic" w:hAnsi="Century Gothic"/>
          <w:b/>
          <w:bCs/>
          <w:i/>
          <w:iCs/>
          <w:sz w:val="22"/>
          <w:szCs w:val="22"/>
        </w:rPr>
        <w:t xml:space="preserve">                 </w:t>
      </w:r>
    </w:p>
    <w:p w14:paraId="7F89A156" w14:textId="1D763139" w:rsidR="0050590A" w:rsidRDefault="0050590A" w:rsidP="0050590A">
      <w:pPr>
        <w:spacing w:line="240" w:lineRule="auto"/>
        <w:rPr>
          <w:rFonts w:ascii="Century Gothic" w:hAnsi="Century Gothic"/>
          <w:iCs/>
          <w:sz w:val="22"/>
          <w:szCs w:val="22"/>
        </w:rPr>
      </w:pPr>
      <w:r w:rsidRPr="0050590A">
        <w:rPr>
          <w:rFonts w:ascii="Century Gothic" w:hAnsi="Century Gothic"/>
          <w:iCs/>
          <w:sz w:val="22"/>
          <w:szCs w:val="22"/>
        </w:rPr>
        <w:t>Spoločenský prínos efektívnej a správne poskytnutej liečby je ťažko vyčísliteľný a tento prínos je možné merať napríklad iba úsporou nemocničných dávok zo skrátenej hospitalizácie. Tento údaj však nemôže poskytnúť komplexný obraz o profite činnosti poskytovateľa medicínskej služby. Meranie hodnoty ceny ľudského života predstavuje roky, ktoré boli pacientovi pridané liečbou k samotnému životu so schopnosťou ďalej pracovať. Sú to ekonomické metriky, ktoré sú vyčísliteľné, avšak v súčasnosti  nie sú  poskytovateľovi medicínskej služby ako prínos zohľadňované.</w:t>
      </w:r>
    </w:p>
    <w:p w14:paraId="5A4B167F" w14:textId="77777777" w:rsidR="0050590A" w:rsidRPr="0050590A" w:rsidRDefault="0050590A" w:rsidP="0050590A">
      <w:pPr>
        <w:spacing w:line="240" w:lineRule="auto"/>
        <w:rPr>
          <w:rFonts w:ascii="Century Gothic" w:hAnsi="Century Gothic"/>
          <w:iCs/>
          <w:sz w:val="22"/>
          <w:szCs w:val="22"/>
        </w:rPr>
      </w:pPr>
    </w:p>
    <w:p w14:paraId="5DFF5FD8" w14:textId="77777777" w:rsidR="0050590A" w:rsidRPr="0050590A" w:rsidRDefault="0050590A" w:rsidP="0050590A">
      <w:pPr>
        <w:spacing w:line="240" w:lineRule="auto"/>
        <w:rPr>
          <w:rFonts w:ascii="Century Gothic" w:hAnsi="Century Gothic"/>
          <w:sz w:val="22"/>
          <w:szCs w:val="22"/>
        </w:rPr>
      </w:pPr>
      <w:r w:rsidRPr="0050590A">
        <w:rPr>
          <w:rFonts w:ascii="Century Gothic" w:hAnsi="Century Gothic"/>
          <w:sz w:val="22"/>
          <w:szCs w:val="22"/>
        </w:rPr>
        <w:t>V slovenskej legislatíve existuje „iba“ vyčíslená hodnota života,  ktorá sa používa pri vstupe nových liekov na trh. Z hľadiska úspešnej liečby (rôzne stavy po kolapsoch, ako sú  dopravné nehody, srdcovo-cievne zlyhania,  mozgové príhody, alebo diagnostikovanie nádorových ochorení a pod.), ktorá sa dá merať napríklad znovuzískanými rokmi života v zdraví, nie je tento údaj legislatívne stanovený. Znovuzískané roky života, kedy môže vyliečený pacient vykonávať opätovne svoju pracovnú činnosť v pôvodnom pracovnom zaradení, je nutné  považovať za jednoznačný benefit činnosti poskytovateľa zdravotnej starostlivosti, ktorý by bolo treba merať a pri návratnosti výstavby nového pavilónu vo výpočtoch zohľadniť.</w:t>
      </w:r>
    </w:p>
    <w:p w14:paraId="1BD2F17F" w14:textId="77777777" w:rsidR="0050590A" w:rsidRDefault="0050590A" w:rsidP="007B7154">
      <w:pPr>
        <w:spacing w:line="240" w:lineRule="auto"/>
        <w:rPr>
          <w:rFonts w:ascii="Century Gothic" w:hAnsi="Century Gothic" w:cstheme="majorHAnsi"/>
          <w:b/>
        </w:rPr>
      </w:pPr>
    </w:p>
    <w:p w14:paraId="24F4F233" w14:textId="77777777" w:rsidR="000C5236" w:rsidRPr="000C5236" w:rsidRDefault="000C5236" w:rsidP="000C5236">
      <w:pPr>
        <w:spacing w:line="240" w:lineRule="auto"/>
        <w:rPr>
          <w:rFonts w:ascii="Century Gothic" w:hAnsi="Century Gothic"/>
          <w:sz w:val="22"/>
          <w:szCs w:val="22"/>
        </w:rPr>
      </w:pPr>
      <w:r w:rsidRPr="000C5236">
        <w:rPr>
          <w:rFonts w:ascii="Century Gothic" w:hAnsi="Century Gothic"/>
          <w:color w:val="000000"/>
          <w:sz w:val="22"/>
          <w:szCs w:val="22"/>
        </w:rPr>
        <w:t xml:space="preserve">Vývoj v modernej medicíne zjavne smeruje k stavu, kedy budú prevažne hospitalizovaní len pacienti, ktorí si vyžadujú intenzívnu starostlivosť, invazívnu diagnostiku a zložité rizikové operácie. </w:t>
      </w:r>
    </w:p>
    <w:p w14:paraId="63FC4D8A" w14:textId="77777777" w:rsidR="000C5236" w:rsidRPr="000C5236" w:rsidRDefault="000C5236" w:rsidP="000C5236">
      <w:pPr>
        <w:spacing w:line="240" w:lineRule="auto"/>
        <w:rPr>
          <w:rFonts w:ascii="Century Gothic" w:hAnsi="Century Gothic"/>
          <w:sz w:val="22"/>
          <w:szCs w:val="22"/>
        </w:rPr>
      </w:pPr>
      <w:r w:rsidRPr="000C5236">
        <w:rPr>
          <w:rFonts w:ascii="Century Gothic" w:hAnsi="Century Gothic"/>
          <w:color w:val="000000"/>
          <w:sz w:val="22"/>
          <w:szCs w:val="22"/>
        </w:rPr>
        <w:t xml:space="preserve">Manažovanie stále väčšieho počtu chirurgických pacientov v režime jednodňovej chirurgie, manažovanie stále väčšieho počtu akútnych nechirurgických v režime </w:t>
      </w:r>
      <w:proofErr w:type="spellStart"/>
      <w:r w:rsidRPr="000C5236">
        <w:rPr>
          <w:rFonts w:ascii="Century Gothic" w:hAnsi="Century Gothic"/>
          <w:color w:val="000000"/>
          <w:sz w:val="22"/>
          <w:szCs w:val="22"/>
        </w:rPr>
        <w:t>emergency</w:t>
      </w:r>
      <w:proofErr w:type="spellEnd"/>
      <w:r w:rsidRPr="000C5236">
        <w:rPr>
          <w:rFonts w:ascii="Century Gothic" w:hAnsi="Century Gothic"/>
          <w:color w:val="000000"/>
          <w:sz w:val="22"/>
          <w:szCs w:val="22"/>
        </w:rPr>
        <w:t xml:space="preserve"> alebo </w:t>
      </w:r>
      <w:proofErr w:type="spellStart"/>
      <w:r w:rsidRPr="000C5236">
        <w:rPr>
          <w:rFonts w:ascii="Century Gothic" w:hAnsi="Century Gothic"/>
          <w:color w:val="000000"/>
          <w:sz w:val="22"/>
          <w:szCs w:val="22"/>
        </w:rPr>
        <w:t>day</w:t>
      </w:r>
      <w:proofErr w:type="spellEnd"/>
      <w:r w:rsidRPr="000C5236">
        <w:rPr>
          <w:rFonts w:ascii="Century Gothic" w:hAnsi="Century Gothic"/>
          <w:color w:val="000000"/>
          <w:sz w:val="22"/>
          <w:szCs w:val="22"/>
        </w:rPr>
        <w:t xml:space="preserve"> </w:t>
      </w:r>
      <w:proofErr w:type="spellStart"/>
      <w:r w:rsidRPr="000C5236">
        <w:rPr>
          <w:rFonts w:ascii="Century Gothic" w:hAnsi="Century Gothic"/>
          <w:color w:val="000000"/>
          <w:sz w:val="22"/>
          <w:szCs w:val="22"/>
        </w:rPr>
        <w:t>care</w:t>
      </w:r>
      <w:proofErr w:type="spellEnd"/>
      <w:r w:rsidRPr="000C5236">
        <w:rPr>
          <w:rFonts w:ascii="Century Gothic" w:hAnsi="Century Gothic"/>
          <w:color w:val="000000"/>
          <w:sz w:val="22"/>
          <w:szCs w:val="22"/>
        </w:rPr>
        <w:t xml:space="preserve"> a manažovanie chronických pacientov v režime </w:t>
      </w:r>
      <w:proofErr w:type="spellStart"/>
      <w:r w:rsidRPr="000C5236">
        <w:rPr>
          <w:rFonts w:ascii="Century Gothic" w:hAnsi="Century Gothic"/>
          <w:color w:val="000000"/>
          <w:sz w:val="22"/>
          <w:szCs w:val="22"/>
        </w:rPr>
        <w:t>home</w:t>
      </w:r>
      <w:proofErr w:type="spellEnd"/>
      <w:r w:rsidRPr="000C5236">
        <w:rPr>
          <w:rFonts w:ascii="Century Gothic" w:hAnsi="Century Gothic"/>
          <w:color w:val="000000"/>
          <w:sz w:val="22"/>
          <w:szCs w:val="22"/>
        </w:rPr>
        <w:t xml:space="preserve"> </w:t>
      </w:r>
      <w:proofErr w:type="spellStart"/>
      <w:r w:rsidRPr="000C5236">
        <w:rPr>
          <w:rFonts w:ascii="Century Gothic" w:hAnsi="Century Gothic"/>
          <w:color w:val="000000"/>
          <w:sz w:val="22"/>
          <w:szCs w:val="22"/>
        </w:rPr>
        <w:t>care</w:t>
      </w:r>
      <w:proofErr w:type="spellEnd"/>
      <w:r w:rsidRPr="000C5236">
        <w:rPr>
          <w:rFonts w:ascii="Century Gothic" w:hAnsi="Century Gothic"/>
          <w:color w:val="000000"/>
          <w:sz w:val="22"/>
          <w:szCs w:val="22"/>
        </w:rPr>
        <w:t>.</w:t>
      </w:r>
    </w:p>
    <w:p w14:paraId="61379E1E" w14:textId="77777777" w:rsidR="000C5236" w:rsidRPr="000C5236" w:rsidRDefault="000C5236" w:rsidP="000C5236">
      <w:pPr>
        <w:spacing w:line="240" w:lineRule="auto"/>
        <w:rPr>
          <w:rFonts w:ascii="Century Gothic" w:hAnsi="Century Gothic"/>
          <w:color w:val="000000"/>
          <w:sz w:val="22"/>
          <w:szCs w:val="22"/>
        </w:rPr>
      </w:pPr>
    </w:p>
    <w:p w14:paraId="2DB9CFD3" w14:textId="0016A244" w:rsidR="000C5236" w:rsidRPr="000C5236" w:rsidRDefault="000C5236" w:rsidP="000C5236">
      <w:pPr>
        <w:spacing w:line="240" w:lineRule="auto"/>
        <w:rPr>
          <w:rFonts w:ascii="Century Gothic" w:hAnsi="Century Gothic"/>
          <w:sz w:val="22"/>
          <w:szCs w:val="22"/>
        </w:rPr>
      </w:pPr>
      <w:r w:rsidRPr="000C5236">
        <w:rPr>
          <w:rFonts w:ascii="Century Gothic" w:hAnsi="Century Gothic"/>
          <w:color w:val="000000"/>
          <w:sz w:val="22"/>
          <w:szCs w:val="22"/>
        </w:rPr>
        <w:t>Integrácia chirurgických a interve</w:t>
      </w:r>
      <w:r w:rsidR="007756C0">
        <w:rPr>
          <w:rFonts w:ascii="Century Gothic" w:hAnsi="Century Gothic"/>
          <w:color w:val="000000"/>
          <w:sz w:val="22"/>
          <w:szCs w:val="22"/>
        </w:rPr>
        <w:t>nčných medicínskych odborov do P</w:t>
      </w:r>
      <w:r w:rsidRPr="000C5236">
        <w:rPr>
          <w:rFonts w:ascii="Century Gothic" w:hAnsi="Century Gothic"/>
          <w:color w:val="000000"/>
          <w:sz w:val="22"/>
          <w:szCs w:val="22"/>
        </w:rPr>
        <w:t>avilónu urgentnej medicíny(PUM) vychádza z princípov a filozofie Nemocnice novej generácie(NGH</w:t>
      </w:r>
      <w:r w:rsidR="0068259E">
        <w:rPr>
          <w:rFonts w:ascii="Century Gothic" w:hAnsi="Century Gothic"/>
          <w:color w:val="000000"/>
          <w:sz w:val="22"/>
          <w:szCs w:val="22"/>
        </w:rPr>
        <w:t xml:space="preserve"> </w:t>
      </w:r>
      <w:r w:rsidRPr="000C5236">
        <w:rPr>
          <w:rFonts w:ascii="Century Gothic" w:hAnsi="Century Gothic"/>
          <w:color w:val="000000"/>
          <w:sz w:val="22"/>
          <w:szCs w:val="22"/>
        </w:rPr>
        <w:t xml:space="preserve">- New </w:t>
      </w:r>
      <w:proofErr w:type="spellStart"/>
      <w:r w:rsidRPr="000C5236">
        <w:rPr>
          <w:rFonts w:ascii="Century Gothic" w:hAnsi="Century Gothic"/>
          <w:color w:val="000000"/>
          <w:sz w:val="22"/>
          <w:szCs w:val="22"/>
        </w:rPr>
        <w:t>generation</w:t>
      </w:r>
      <w:proofErr w:type="spellEnd"/>
      <w:r w:rsidRPr="000C5236">
        <w:rPr>
          <w:rFonts w:ascii="Century Gothic" w:hAnsi="Century Gothic"/>
          <w:color w:val="000000"/>
          <w:sz w:val="22"/>
          <w:szCs w:val="22"/>
        </w:rPr>
        <w:t xml:space="preserve"> </w:t>
      </w:r>
      <w:proofErr w:type="spellStart"/>
      <w:r w:rsidRPr="000C5236">
        <w:rPr>
          <w:rFonts w:ascii="Century Gothic" w:hAnsi="Century Gothic"/>
          <w:color w:val="000000"/>
          <w:sz w:val="22"/>
          <w:szCs w:val="22"/>
        </w:rPr>
        <w:t>hospital</w:t>
      </w:r>
      <w:proofErr w:type="spellEnd"/>
      <w:r w:rsidRPr="000C5236">
        <w:rPr>
          <w:rFonts w:ascii="Century Gothic" w:hAnsi="Century Gothic"/>
          <w:color w:val="000000"/>
          <w:sz w:val="22"/>
          <w:szCs w:val="22"/>
        </w:rPr>
        <w:t>)</w:t>
      </w:r>
      <w:r>
        <w:rPr>
          <w:rFonts w:ascii="Century Gothic" w:hAnsi="Century Gothic"/>
          <w:color w:val="000000"/>
          <w:sz w:val="22"/>
          <w:szCs w:val="22"/>
        </w:rPr>
        <w:t>:</w:t>
      </w:r>
    </w:p>
    <w:p w14:paraId="00A4761B" w14:textId="2E77CE24" w:rsidR="00F646AE" w:rsidRPr="00314413" w:rsidRDefault="000C5236" w:rsidP="001A5D55">
      <w:pPr>
        <w:pStyle w:val="Odsekzoznamu"/>
        <w:numPr>
          <w:ilvl w:val="0"/>
          <w:numId w:val="18"/>
        </w:numPr>
        <w:autoSpaceDE w:val="0"/>
        <w:autoSpaceDN w:val="0"/>
        <w:adjustRightInd w:val="0"/>
        <w:spacing w:line="240" w:lineRule="auto"/>
      </w:pPr>
      <w:r w:rsidRPr="00F646AE">
        <w:rPr>
          <w:rFonts w:ascii="Century Gothic" w:hAnsi="Century Gothic" w:cstheme="minorHAnsi"/>
          <w:b/>
          <w:bCs/>
          <w:sz w:val="22"/>
          <w:szCs w:val="22"/>
        </w:rPr>
        <w:t xml:space="preserve">Moderná </w:t>
      </w:r>
      <w:r w:rsidR="00F646AE" w:rsidRPr="00F646AE">
        <w:rPr>
          <w:rFonts w:ascii="Century Gothic" w:hAnsi="Century Gothic" w:cstheme="minorHAnsi"/>
          <w:b/>
          <w:bCs/>
          <w:sz w:val="22"/>
          <w:szCs w:val="22"/>
        </w:rPr>
        <w:t>inteligentná budova</w:t>
      </w:r>
      <w:r w:rsidR="00F646AE" w:rsidRPr="00F646AE">
        <w:rPr>
          <w:rFonts w:ascii="Century Gothic" w:hAnsi="Century Gothic" w:cstheme="minorHAnsi"/>
          <w:bCs/>
          <w:sz w:val="22"/>
          <w:szCs w:val="22"/>
        </w:rPr>
        <w:t xml:space="preserve"> </w:t>
      </w:r>
      <w:r w:rsidR="00F646AE">
        <w:rPr>
          <w:rFonts w:ascii="Century Gothic" w:hAnsi="Century Gothic" w:cstheme="minorHAnsi"/>
          <w:bCs/>
          <w:sz w:val="22"/>
          <w:szCs w:val="22"/>
        </w:rPr>
        <w:t>v</w:t>
      </w:r>
      <w:r w:rsidR="00F646AE" w:rsidRPr="00F646AE">
        <w:rPr>
          <w:rFonts w:ascii="Century Gothic" w:hAnsi="Century Gothic" w:cstheme="minorHAnsi"/>
          <w:bCs/>
          <w:sz w:val="22"/>
          <w:szCs w:val="22"/>
        </w:rPr>
        <w:t>yhovujúca pre poskytovanie zdravotnej starostlivosti v zmysle súčasných platných hygienických noriem a medicínskych postupov, s integrovanými zelenými riešeniami,</w:t>
      </w:r>
      <w:r w:rsidR="00F646AE">
        <w:rPr>
          <w:rFonts w:ascii="Century Gothic" w:hAnsi="Century Gothic" w:cstheme="minorHAnsi"/>
          <w:bCs/>
          <w:sz w:val="22"/>
          <w:szCs w:val="22"/>
        </w:rPr>
        <w:t xml:space="preserve"> </w:t>
      </w:r>
      <w:r w:rsidR="00F646AE" w:rsidRPr="00F646AE">
        <w:rPr>
          <w:rFonts w:ascii="Century Gothic" w:hAnsi="Century Gothic" w:cstheme="minorHAnsi"/>
          <w:bCs/>
          <w:sz w:val="22"/>
          <w:szCs w:val="22"/>
        </w:rPr>
        <w:t xml:space="preserve">s vlastným vysoko efektívnym tepelným a energetickým manažmentom, ktoré bude sledovať znižovanie </w:t>
      </w:r>
      <w:r w:rsidR="00F646AE" w:rsidRPr="00F646AE">
        <w:rPr>
          <w:rFonts w:ascii="Century Gothic" w:hAnsi="Century Gothic" w:cstheme="minorHAnsi"/>
          <w:bCs/>
          <w:sz w:val="22"/>
          <w:szCs w:val="22"/>
        </w:rPr>
        <w:lastRenderedPageBreak/>
        <w:t xml:space="preserve">uhlíkovej stopy a zabezpečí ochranu zdravia a životného </w:t>
      </w:r>
      <w:r w:rsidR="00F646AE">
        <w:rPr>
          <w:rFonts w:ascii="Century Gothic" w:hAnsi="Century Gothic" w:cstheme="minorHAnsi"/>
          <w:bCs/>
          <w:sz w:val="22"/>
          <w:szCs w:val="22"/>
        </w:rPr>
        <w:t>prostredia (n</w:t>
      </w:r>
      <w:r w:rsidR="00F646AE" w:rsidRPr="00F646AE">
        <w:rPr>
          <w:rFonts w:ascii="Century Gothic" w:hAnsi="Century Gothic" w:cstheme="minorHAnsi"/>
          <w:bCs/>
          <w:sz w:val="22"/>
          <w:szCs w:val="22"/>
        </w:rPr>
        <w:t>ahradenie zastaraných a energeticky náročných procesov novými s využitím potenciálu umelej inteligencie v</w:t>
      </w:r>
      <w:r w:rsidR="00F646AE">
        <w:rPr>
          <w:rFonts w:ascii="Century Gothic" w:hAnsi="Century Gothic" w:cstheme="minorHAnsi"/>
          <w:bCs/>
          <w:sz w:val="22"/>
          <w:szCs w:val="22"/>
        </w:rPr>
        <w:t xml:space="preserve"> energeticky úspornom prostredí).</w:t>
      </w:r>
      <w:r w:rsidR="00F646AE" w:rsidRPr="00314413">
        <w:t xml:space="preserve"> </w:t>
      </w:r>
    </w:p>
    <w:p w14:paraId="0616E222" w14:textId="1D06AA6F" w:rsidR="000C5236" w:rsidRPr="000C5236" w:rsidRDefault="000C5236" w:rsidP="000C5236">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0C5236">
        <w:rPr>
          <w:rFonts w:ascii="Century Gothic" w:hAnsi="Century Gothic" w:cstheme="minorHAnsi"/>
          <w:bCs/>
          <w:sz w:val="22"/>
          <w:szCs w:val="22"/>
        </w:rPr>
        <w:t>U</w:t>
      </w:r>
      <w:r w:rsidR="00F646AE">
        <w:rPr>
          <w:rFonts w:ascii="Century Gothic" w:hAnsi="Century Gothic" w:cstheme="minorHAnsi"/>
          <w:bCs/>
          <w:sz w:val="22"/>
          <w:szCs w:val="22"/>
        </w:rPr>
        <w:t>možňujúca</w:t>
      </w:r>
      <w:r w:rsidRPr="000C5236">
        <w:rPr>
          <w:rFonts w:ascii="Century Gothic" w:hAnsi="Century Gothic" w:cstheme="minorHAnsi"/>
          <w:bCs/>
          <w:sz w:val="22"/>
          <w:szCs w:val="22"/>
        </w:rPr>
        <w:t xml:space="preserve"> komfortný a bezpečný prístup pacienta do nemocnice, vrátane dostupného parkovania.</w:t>
      </w:r>
    </w:p>
    <w:p w14:paraId="36EDECA6" w14:textId="77777777" w:rsidR="000C5236" w:rsidRPr="000C5236" w:rsidRDefault="000C5236" w:rsidP="000C5236">
      <w:pPr>
        <w:spacing w:line="240" w:lineRule="auto"/>
        <w:rPr>
          <w:rFonts w:ascii="Century Gothic" w:hAnsi="Century Gothic"/>
          <w:color w:val="000000"/>
          <w:sz w:val="22"/>
          <w:szCs w:val="22"/>
        </w:rPr>
      </w:pPr>
    </w:p>
    <w:p w14:paraId="06065631" w14:textId="6A3C6D87" w:rsidR="000C5236" w:rsidRPr="000C5236" w:rsidRDefault="000C5236" w:rsidP="000C5236">
      <w:pPr>
        <w:spacing w:line="240" w:lineRule="auto"/>
        <w:rPr>
          <w:rFonts w:ascii="Century Gothic" w:hAnsi="Century Gothic"/>
          <w:b/>
          <w:sz w:val="22"/>
          <w:szCs w:val="22"/>
        </w:rPr>
      </w:pPr>
      <w:r w:rsidRPr="000C5236">
        <w:rPr>
          <w:rFonts w:ascii="Century Gothic" w:hAnsi="Century Gothic"/>
          <w:b/>
          <w:sz w:val="22"/>
          <w:szCs w:val="22"/>
        </w:rPr>
        <w:t xml:space="preserve">Orientácia na pacienta: </w:t>
      </w:r>
    </w:p>
    <w:p w14:paraId="609C5BEB" w14:textId="45960AC2"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Pr>
          <w:rFonts w:ascii="Century Gothic" w:hAnsi="Century Gothic"/>
          <w:color w:val="000000"/>
          <w:sz w:val="22"/>
          <w:szCs w:val="22"/>
        </w:rPr>
        <w:t>J</w:t>
      </w:r>
      <w:r w:rsidRPr="000C5236">
        <w:rPr>
          <w:rFonts w:ascii="Century Gothic" w:hAnsi="Century Gothic"/>
          <w:color w:val="000000"/>
          <w:sz w:val="22"/>
          <w:szCs w:val="22"/>
        </w:rPr>
        <w:t xml:space="preserve">ednolôžkový štandard na všetkých izbách s vlastným sociálnym zariadením, moderný </w:t>
      </w:r>
      <w:proofErr w:type="spellStart"/>
      <w:r w:rsidRPr="000C5236">
        <w:rPr>
          <w:rFonts w:ascii="Century Gothic" w:hAnsi="Century Gothic"/>
          <w:color w:val="000000"/>
          <w:sz w:val="22"/>
          <w:szCs w:val="22"/>
        </w:rPr>
        <w:t>infotainment</w:t>
      </w:r>
      <w:proofErr w:type="spellEnd"/>
      <w:r>
        <w:rPr>
          <w:rFonts w:ascii="Century Gothic" w:hAnsi="Century Gothic"/>
          <w:color w:val="000000"/>
          <w:sz w:val="22"/>
          <w:szCs w:val="22"/>
        </w:rPr>
        <w:t xml:space="preserve"> </w:t>
      </w:r>
      <w:r w:rsidRPr="000C5236">
        <w:rPr>
          <w:rFonts w:ascii="Century Gothic" w:hAnsi="Century Gothic"/>
          <w:color w:val="000000"/>
          <w:sz w:val="22"/>
          <w:szCs w:val="22"/>
        </w:rPr>
        <w:t xml:space="preserve">(TV s pripojením na </w:t>
      </w:r>
      <w:proofErr w:type="spellStart"/>
      <w:r w:rsidRPr="000C5236">
        <w:rPr>
          <w:rFonts w:ascii="Century Gothic" w:hAnsi="Century Gothic"/>
          <w:color w:val="000000"/>
          <w:sz w:val="22"/>
          <w:szCs w:val="22"/>
        </w:rPr>
        <w:t>wifi</w:t>
      </w:r>
      <w:proofErr w:type="spellEnd"/>
      <w:r w:rsidRPr="000C5236">
        <w:rPr>
          <w:rFonts w:ascii="Century Gothic" w:hAnsi="Century Gothic"/>
          <w:color w:val="000000"/>
          <w:sz w:val="22"/>
          <w:szCs w:val="22"/>
        </w:rPr>
        <w:t xml:space="preserve"> na každej izbe), ktorý okrem digitálnej televízie ponúkne pacientom doplňujúce informácie ako napríklad individuálny liečebný plán, jedálny lístok, dôležité nemocničné oznamy. Veľkosť izby a jej zariadenie je navrhnuté tak, aby umožnila pohodlné prespanie a pobyt sprevádzajúcej osoby počas celej doby hospitalizácie.</w:t>
      </w:r>
    </w:p>
    <w:p w14:paraId="697F2860"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sz w:val="22"/>
          <w:szCs w:val="22"/>
        </w:rPr>
      </w:pPr>
      <w:r w:rsidRPr="000C5236">
        <w:rPr>
          <w:rFonts w:ascii="Century Gothic" w:hAnsi="Century Gothic"/>
          <w:color w:val="000000"/>
          <w:sz w:val="22"/>
          <w:szCs w:val="22"/>
        </w:rPr>
        <w:t>Pôrodné izby v hotelovom</w:t>
      </w:r>
      <w:r w:rsidRPr="000C5236">
        <w:rPr>
          <w:rFonts w:ascii="Century Gothic" w:hAnsi="Century Gothic"/>
          <w:color w:val="212529"/>
          <w:sz w:val="22"/>
          <w:szCs w:val="22"/>
        </w:rPr>
        <w:t xml:space="preserve"> štandarde umožňujúcimi prítomnosť blízkej osoby počas celej doby pôrodu.</w:t>
      </w:r>
    </w:p>
    <w:p w14:paraId="11418E52" w14:textId="77777777" w:rsidR="000C5236" w:rsidRDefault="000C5236" w:rsidP="000C5236">
      <w:pPr>
        <w:spacing w:line="240" w:lineRule="auto"/>
        <w:rPr>
          <w:rFonts w:ascii="Century Gothic" w:hAnsi="Century Gothic"/>
          <w:color w:val="212529"/>
          <w:sz w:val="22"/>
          <w:szCs w:val="22"/>
        </w:rPr>
      </w:pPr>
    </w:p>
    <w:p w14:paraId="2708974A" w14:textId="77777777" w:rsidR="000C5236" w:rsidRPr="000C5236" w:rsidRDefault="000C5236" w:rsidP="000C5236">
      <w:pPr>
        <w:spacing w:line="240" w:lineRule="auto"/>
        <w:rPr>
          <w:rFonts w:ascii="Century Gothic" w:hAnsi="Century Gothic"/>
          <w:b/>
          <w:sz w:val="22"/>
          <w:szCs w:val="22"/>
        </w:rPr>
      </w:pPr>
      <w:r w:rsidRPr="000C5236">
        <w:rPr>
          <w:rFonts w:ascii="Century Gothic" w:hAnsi="Century Gothic"/>
          <w:b/>
          <w:sz w:val="22"/>
          <w:szCs w:val="22"/>
        </w:rPr>
        <w:t xml:space="preserve">Zlepšovanie medicínskych procesov: </w:t>
      </w:r>
    </w:p>
    <w:p w14:paraId="4E3CDB31" w14:textId="00A5E5ED"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Pr>
          <w:rFonts w:ascii="Century Gothic" w:hAnsi="Century Gothic"/>
          <w:color w:val="000000"/>
          <w:sz w:val="22"/>
          <w:szCs w:val="22"/>
        </w:rPr>
        <w:t>Z</w:t>
      </w:r>
      <w:r w:rsidRPr="000C5236">
        <w:rPr>
          <w:rFonts w:ascii="Century Gothic" w:hAnsi="Century Gothic"/>
          <w:color w:val="000000"/>
          <w:sz w:val="22"/>
          <w:szCs w:val="22"/>
        </w:rPr>
        <w:t>dieľaná lôžková kapacita naprieč špecializáciami, výrazne prospievajúca k maximálne efektívnej prevádzke a k skracovaniu doby hospitalizácie(systém plávajúcich lôžok- pri tradičnej organizačnej štruktúre má každé oddelenie k dispozícii vymedzený počet lôžok, čo však spôsobuje problémy, keď treba hospitalizovať viac pacientov, než sú jeho kapacitné možnosti. Lôžka na iných oddeleniach pritom môžu byť voľné).</w:t>
      </w:r>
    </w:p>
    <w:p w14:paraId="0FB1CB5C"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Centralizácia intenzívnej starostlivosti – zvyšovanie bezpečnosti pacienta efektívnejším využívaním odborného personálu a technológii.</w:t>
      </w:r>
    </w:p>
    <w:p w14:paraId="32D332C2"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Centrálne operačné sály, vrátane hybridnej s integrovanými modernými technológiami s vysokou mierou elektronizácie a digitalizácie</w:t>
      </w:r>
    </w:p>
    <w:p w14:paraId="6B4F0801"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 xml:space="preserve">Centrálny urgentný príjem s komplexným zabezpečením diagnostiky, </w:t>
      </w:r>
      <w:proofErr w:type="spellStart"/>
      <w:r w:rsidRPr="000C5236">
        <w:rPr>
          <w:rFonts w:ascii="Century Gothic" w:hAnsi="Century Gothic"/>
          <w:color w:val="000000"/>
          <w:sz w:val="22"/>
          <w:szCs w:val="22"/>
        </w:rPr>
        <w:t>expektácie</w:t>
      </w:r>
      <w:proofErr w:type="spellEnd"/>
      <w:r w:rsidRPr="000C5236">
        <w:rPr>
          <w:rFonts w:ascii="Century Gothic" w:hAnsi="Century Gothic"/>
          <w:color w:val="000000"/>
          <w:sz w:val="22"/>
          <w:szCs w:val="22"/>
        </w:rPr>
        <w:t xml:space="preserve"> a multidisciplinárnej starostlivosti.</w:t>
      </w:r>
    </w:p>
    <w:p w14:paraId="51F2EBCC"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Bezpečná identifikácia pacientov pomocou čiarových kódov.</w:t>
      </w:r>
    </w:p>
    <w:p w14:paraId="6F4CDE6D"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Centrálna prípravovňa perorálnych a intravenóznych liekov.</w:t>
      </w:r>
    </w:p>
    <w:p w14:paraId="72FDFC52"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 xml:space="preserve">Vysoká bezpečnosť procesu medikácie – elektronická </w:t>
      </w:r>
      <w:proofErr w:type="spellStart"/>
      <w:r w:rsidRPr="000C5236">
        <w:rPr>
          <w:rFonts w:ascii="Century Gothic" w:hAnsi="Century Gothic"/>
          <w:color w:val="000000"/>
          <w:sz w:val="22"/>
          <w:szCs w:val="22"/>
        </w:rPr>
        <w:t>preskripcia</w:t>
      </w:r>
      <w:proofErr w:type="spellEnd"/>
      <w:r w:rsidRPr="000C5236">
        <w:rPr>
          <w:rFonts w:ascii="Century Gothic" w:hAnsi="Century Gothic"/>
          <w:color w:val="000000"/>
          <w:sz w:val="22"/>
          <w:szCs w:val="22"/>
        </w:rPr>
        <w:t xml:space="preserve"> s kontrolou interakcií, automatizovaná príprava jednotlivej dávky, podanie liečby cez identifikáciu pacienta a lieku čiarovým kódom.</w:t>
      </w:r>
    </w:p>
    <w:p w14:paraId="6485D7EB" w14:textId="77777777" w:rsidR="000C5236" w:rsidRDefault="000C5236" w:rsidP="000C5236">
      <w:pPr>
        <w:spacing w:line="240" w:lineRule="auto"/>
        <w:rPr>
          <w:rFonts w:ascii="Century Gothic" w:hAnsi="Century Gothic"/>
          <w:b/>
          <w:sz w:val="22"/>
          <w:szCs w:val="22"/>
        </w:rPr>
      </w:pPr>
    </w:p>
    <w:p w14:paraId="627C9824" w14:textId="423E2107" w:rsidR="000C5236" w:rsidRPr="000C5236" w:rsidRDefault="000C5236" w:rsidP="000C5236">
      <w:pPr>
        <w:spacing w:line="240" w:lineRule="auto"/>
        <w:rPr>
          <w:rFonts w:ascii="Century Gothic" w:hAnsi="Century Gothic"/>
          <w:b/>
          <w:sz w:val="22"/>
          <w:szCs w:val="22"/>
        </w:rPr>
      </w:pPr>
      <w:r w:rsidRPr="000C5236">
        <w:rPr>
          <w:rFonts w:ascii="Century Gothic" w:hAnsi="Century Gothic"/>
          <w:b/>
          <w:sz w:val="22"/>
          <w:szCs w:val="22"/>
        </w:rPr>
        <w:t>Optimalizácia logistických tokov:</w:t>
      </w:r>
    </w:p>
    <w:p w14:paraId="14C5D864" w14:textId="310438EF"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Pr>
          <w:rFonts w:ascii="Century Gothic" w:hAnsi="Century Gothic"/>
          <w:color w:val="000000"/>
          <w:sz w:val="22"/>
          <w:szCs w:val="22"/>
        </w:rPr>
        <w:t>P</w:t>
      </w:r>
      <w:r w:rsidRPr="000C5236">
        <w:rPr>
          <w:rFonts w:ascii="Century Gothic" w:hAnsi="Century Gothic"/>
          <w:color w:val="000000"/>
          <w:sz w:val="22"/>
          <w:szCs w:val="22"/>
        </w:rPr>
        <w:t>riestorové riešenie budovy prispôsobené požiadavkám na maximálnu efektívnosť prevádzkových procesov.</w:t>
      </w:r>
    </w:p>
    <w:p w14:paraId="050B3EE3"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Pacientske, návštevnícke, zamestnanecké a materiálové toky navzájom značne oddelené.</w:t>
      </w:r>
    </w:p>
    <w:p w14:paraId="1B7833AE"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Urgentný príjem, služobné vstupy pre zamestnancov či vjazd do logistického centra oddelené od hlavného vchodu do budovy.</w:t>
      </w:r>
    </w:p>
    <w:p w14:paraId="6D6349F0" w14:textId="77777777" w:rsidR="000C5236" w:rsidRPr="000C5236" w:rsidRDefault="000C5236" w:rsidP="007F681B">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0C5236">
        <w:rPr>
          <w:rFonts w:ascii="Century Gothic" w:hAnsi="Century Gothic"/>
          <w:color w:val="000000"/>
          <w:sz w:val="22"/>
          <w:szCs w:val="22"/>
        </w:rPr>
        <w:t>Špeciálny kontajnerový systém na prepravu biologického materiálu, stravy, bielizne a pod. podľa najprísnejších hygienických štandardov.</w:t>
      </w:r>
    </w:p>
    <w:p w14:paraId="725D4284" w14:textId="0889D5F7" w:rsidR="000C5236" w:rsidRDefault="000C5236" w:rsidP="007B7154">
      <w:pPr>
        <w:spacing w:line="240" w:lineRule="auto"/>
        <w:rPr>
          <w:rFonts w:ascii="Century Gothic" w:hAnsi="Century Gothic" w:cstheme="majorHAnsi"/>
          <w:b/>
        </w:rPr>
      </w:pPr>
    </w:p>
    <w:p w14:paraId="0B0381A5" w14:textId="5ADE3F80" w:rsidR="0050590A" w:rsidRPr="0050590A" w:rsidRDefault="0050590A" w:rsidP="0050590A">
      <w:pPr>
        <w:spacing w:line="240" w:lineRule="auto"/>
        <w:rPr>
          <w:rFonts w:ascii="Century Gothic" w:hAnsi="Century Gothic"/>
          <w:b/>
          <w:sz w:val="22"/>
          <w:szCs w:val="22"/>
        </w:rPr>
      </w:pPr>
      <w:r w:rsidRPr="0050590A">
        <w:rPr>
          <w:rFonts w:ascii="Century Gothic" w:hAnsi="Century Gothic"/>
          <w:b/>
          <w:sz w:val="22"/>
          <w:szCs w:val="22"/>
        </w:rPr>
        <w:t xml:space="preserve">Výstavba  nového  pavilónu  </w:t>
      </w:r>
      <w:r>
        <w:rPr>
          <w:rFonts w:ascii="Century Gothic" w:hAnsi="Century Gothic"/>
          <w:b/>
          <w:sz w:val="22"/>
          <w:szCs w:val="22"/>
        </w:rPr>
        <w:t>zabezpečí, aby:</w:t>
      </w:r>
      <w:r w:rsidRPr="0050590A">
        <w:rPr>
          <w:rFonts w:ascii="Century Gothic" w:hAnsi="Century Gothic"/>
          <w:b/>
          <w:sz w:val="22"/>
          <w:szCs w:val="22"/>
        </w:rPr>
        <w:t xml:space="preserve">  </w:t>
      </w:r>
    </w:p>
    <w:p w14:paraId="0065221C" w14:textId="19A76A00" w:rsidR="0050590A" w:rsidRPr="0050590A" w:rsidRDefault="0050590A" w:rsidP="0050590A">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50590A">
        <w:rPr>
          <w:rFonts w:ascii="Century Gothic" w:hAnsi="Century Gothic"/>
          <w:color w:val="000000"/>
          <w:sz w:val="22"/>
          <w:szCs w:val="22"/>
        </w:rPr>
        <w:t xml:space="preserve">súčasný technický a hygienický stav chirurgických oddelení, kde sa vykonáva cca 15-tis. operačných výkonov ročne, nebol  naďalej neprijateľný najmä </w:t>
      </w:r>
      <w:r>
        <w:rPr>
          <w:rFonts w:ascii="Century Gothic" w:hAnsi="Century Gothic"/>
          <w:color w:val="000000"/>
          <w:sz w:val="22"/>
          <w:szCs w:val="22"/>
        </w:rPr>
        <w:t>z dôvodu</w:t>
      </w:r>
      <w:r w:rsidRPr="0050590A">
        <w:rPr>
          <w:rFonts w:ascii="Century Gothic" w:hAnsi="Century Gothic"/>
          <w:color w:val="000000"/>
          <w:sz w:val="22"/>
          <w:szCs w:val="22"/>
        </w:rPr>
        <w:t xml:space="preserve"> nedodržiavania základných legislatívnych noriem v oblasti súčasných hygienicko-bezpečnostných predpisov, </w:t>
      </w:r>
      <w:r>
        <w:rPr>
          <w:rFonts w:ascii="Century Gothic" w:hAnsi="Century Gothic"/>
          <w:color w:val="000000"/>
          <w:sz w:val="22"/>
          <w:szCs w:val="22"/>
        </w:rPr>
        <w:t>s</w:t>
      </w:r>
      <w:r w:rsidRPr="0050590A">
        <w:rPr>
          <w:rFonts w:ascii="Century Gothic" w:hAnsi="Century Gothic"/>
          <w:color w:val="000000"/>
          <w:sz w:val="22"/>
          <w:szCs w:val="22"/>
        </w:rPr>
        <w:t xml:space="preserve">  následkami vzniku ďalších ochorení získaných v nemocničnom prostredí (operačné zákroky a následná </w:t>
      </w:r>
      <w:r w:rsidRPr="0050590A">
        <w:rPr>
          <w:rFonts w:ascii="Century Gothic" w:hAnsi="Century Gothic"/>
          <w:color w:val="000000"/>
          <w:sz w:val="22"/>
          <w:szCs w:val="22"/>
        </w:rPr>
        <w:lastRenderedPageBreak/>
        <w:t xml:space="preserve">hospitalizácia má zásadný vplyv na vznik ďalších ochorení - </w:t>
      </w:r>
      <w:proofErr w:type="spellStart"/>
      <w:r w:rsidRPr="0050590A">
        <w:rPr>
          <w:rFonts w:ascii="Century Gothic" w:hAnsi="Century Gothic"/>
          <w:color w:val="000000"/>
          <w:sz w:val="22"/>
          <w:szCs w:val="22"/>
        </w:rPr>
        <w:t>nozokomiálne</w:t>
      </w:r>
      <w:proofErr w:type="spellEnd"/>
      <w:r w:rsidRPr="0050590A">
        <w:rPr>
          <w:rFonts w:ascii="Century Gothic" w:hAnsi="Century Gothic"/>
          <w:color w:val="000000"/>
          <w:sz w:val="22"/>
          <w:szCs w:val="22"/>
        </w:rPr>
        <w:t xml:space="preserve"> nákazy, s potrebou ďalšej nákladnej antibiotickej liečby), čo zásadným spôsobom predražuje l</w:t>
      </w:r>
      <w:r>
        <w:rPr>
          <w:rFonts w:ascii="Century Gothic" w:hAnsi="Century Gothic"/>
          <w:color w:val="000000"/>
          <w:sz w:val="22"/>
          <w:szCs w:val="22"/>
        </w:rPr>
        <w:t>iečbu a zhoršuje stav pacientov,</w:t>
      </w:r>
      <w:r w:rsidRPr="0050590A">
        <w:rPr>
          <w:rFonts w:ascii="Century Gothic" w:hAnsi="Century Gothic"/>
          <w:color w:val="000000"/>
          <w:sz w:val="22"/>
          <w:szCs w:val="22"/>
        </w:rPr>
        <w:t xml:space="preserve">  </w:t>
      </w:r>
    </w:p>
    <w:p w14:paraId="42DA3096" w14:textId="6AD4771A" w:rsidR="0050590A" w:rsidRPr="0050590A" w:rsidRDefault="0050590A" w:rsidP="0050590A">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50590A">
        <w:rPr>
          <w:rFonts w:ascii="Century Gothic" w:hAnsi="Century Gothic"/>
          <w:color w:val="000000"/>
          <w:sz w:val="22"/>
          <w:szCs w:val="22"/>
        </w:rPr>
        <w:t xml:space="preserve">technický stav operačných sál  vyhovoval z technického hľadiska </w:t>
      </w:r>
      <w:r>
        <w:rPr>
          <w:rFonts w:ascii="Century Gothic" w:hAnsi="Century Gothic"/>
          <w:color w:val="000000"/>
          <w:sz w:val="22"/>
          <w:szCs w:val="22"/>
        </w:rPr>
        <w:t xml:space="preserve">požiadavkám na </w:t>
      </w:r>
      <w:r w:rsidRPr="0050590A">
        <w:rPr>
          <w:rFonts w:ascii="Century Gothic" w:hAnsi="Century Gothic"/>
          <w:color w:val="000000"/>
          <w:sz w:val="22"/>
          <w:szCs w:val="22"/>
        </w:rPr>
        <w:t>výmen</w:t>
      </w:r>
      <w:r>
        <w:rPr>
          <w:rFonts w:ascii="Century Gothic" w:hAnsi="Century Gothic"/>
          <w:color w:val="000000"/>
          <w:sz w:val="22"/>
          <w:szCs w:val="22"/>
        </w:rPr>
        <w:t>u</w:t>
      </w:r>
      <w:r w:rsidRPr="0050590A">
        <w:rPr>
          <w:rFonts w:ascii="Century Gothic" w:hAnsi="Century Gothic"/>
          <w:color w:val="000000"/>
          <w:sz w:val="22"/>
          <w:szCs w:val="22"/>
        </w:rPr>
        <w:t xml:space="preserve"> vzduchu, klimatizácií, laminárneho prúdenia vzduchu, nevyhovujúcich nášľapných vrstiev podláh,  povrchových úprav a obkladov stien, nábytkového vybavenia, nevyhovujúcej elektroinštalácie, napájania elektrickým prúdom, nevyhovujúceho zálohovania pri</w:t>
      </w:r>
      <w:r>
        <w:rPr>
          <w:rFonts w:ascii="Century Gothic" w:hAnsi="Century Gothic"/>
          <w:color w:val="000000"/>
          <w:sz w:val="22"/>
          <w:szCs w:val="22"/>
        </w:rPr>
        <w:t xml:space="preserve"> výpadku elektrického</w:t>
      </w:r>
      <w:r w:rsidRPr="0050590A">
        <w:rPr>
          <w:rFonts w:ascii="Century Gothic" w:hAnsi="Century Gothic"/>
          <w:color w:val="000000"/>
          <w:sz w:val="22"/>
          <w:szCs w:val="22"/>
        </w:rPr>
        <w:t xml:space="preserve"> prúdu  a pod.,</w:t>
      </w:r>
    </w:p>
    <w:p w14:paraId="4786CEF9" w14:textId="6ED29583" w:rsidR="0050590A" w:rsidRPr="0050590A" w:rsidRDefault="0050590A" w:rsidP="0050590A">
      <w:pPr>
        <w:pStyle w:val="Odsekzoznamu"/>
        <w:numPr>
          <w:ilvl w:val="0"/>
          <w:numId w:val="58"/>
        </w:numPr>
        <w:shd w:val="clear" w:color="auto" w:fill="FFFFFF"/>
        <w:tabs>
          <w:tab w:val="left" w:pos="720"/>
        </w:tabs>
        <w:spacing w:line="240" w:lineRule="auto"/>
        <w:rPr>
          <w:rFonts w:ascii="Century Gothic" w:hAnsi="Century Gothic"/>
          <w:color w:val="000000"/>
          <w:sz w:val="22"/>
          <w:szCs w:val="22"/>
        </w:rPr>
      </w:pPr>
      <w:r w:rsidRPr="0050590A">
        <w:rPr>
          <w:rFonts w:ascii="Century Gothic" w:hAnsi="Century Gothic"/>
          <w:color w:val="000000"/>
          <w:sz w:val="22"/>
          <w:szCs w:val="22"/>
        </w:rPr>
        <w:t xml:space="preserve">boli  v zmysle právnych predpisov zabezpečené priestorové požiadavky kladené na  operačné  sály, chýbajúce vstupno-výstupné personálne filtre, </w:t>
      </w:r>
      <w:proofErr w:type="spellStart"/>
      <w:r w:rsidRPr="0050590A">
        <w:rPr>
          <w:rFonts w:ascii="Century Gothic" w:hAnsi="Century Gothic"/>
          <w:color w:val="000000"/>
          <w:sz w:val="22"/>
          <w:szCs w:val="22"/>
        </w:rPr>
        <w:t>prebúdzacie</w:t>
      </w:r>
      <w:proofErr w:type="spellEnd"/>
      <w:r w:rsidRPr="0050590A">
        <w:rPr>
          <w:rFonts w:ascii="Century Gothic" w:hAnsi="Century Gothic"/>
          <w:color w:val="000000"/>
          <w:sz w:val="22"/>
          <w:szCs w:val="22"/>
        </w:rPr>
        <w:t xml:space="preserve"> sály, dostatok </w:t>
      </w:r>
      <w:proofErr w:type="spellStart"/>
      <w:r w:rsidRPr="0050590A">
        <w:rPr>
          <w:rFonts w:ascii="Century Gothic" w:hAnsi="Century Gothic"/>
          <w:color w:val="000000"/>
          <w:sz w:val="22"/>
          <w:szCs w:val="22"/>
        </w:rPr>
        <w:t>zákrokových</w:t>
      </w:r>
      <w:proofErr w:type="spellEnd"/>
      <w:r w:rsidRPr="0050590A">
        <w:rPr>
          <w:rFonts w:ascii="Century Gothic" w:hAnsi="Century Gothic"/>
          <w:color w:val="000000"/>
          <w:sz w:val="22"/>
          <w:szCs w:val="22"/>
        </w:rPr>
        <w:t xml:space="preserve"> operačn</w:t>
      </w:r>
      <w:r w:rsidR="007756C0">
        <w:rPr>
          <w:rFonts w:ascii="Century Gothic" w:hAnsi="Century Gothic"/>
          <w:color w:val="000000"/>
          <w:sz w:val="22"/>
          <w:szCs w:val="22"/>
        </w:rPr>
        <w:t>ých sál, JIS priestorov  a pod.</w:t>
      </w:r>
    </w:p>
    <w:p w14:paraId="2AE228D8" w14:textId="77777777" w:rsidR="0050590A" w:rsidRDefault="0050590A" w:rsidP="007B7154">
      <w:pPr>
        <w:spacing w:line="240" w:lineRule="auto"/>
        <w:rPr>
          <w:rFonts w:ascii="Century Gothic" w:hAnsi="Century Gothic" w:cstheme="majorHAnsi"/>
          <w:b/>
        </w:rPr>
      </w:pPr>
    </w:p>
    <w:p w14:paraId="69336108" w14:textId="77777777" w:rsidR="000C5236" w:rsidRPr="00E0451E" w:rsidRDefault="000C5236" w:rsidP="000C5236">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32" w:name="_Toc145219964"/>
      <w:r w:rsidRPr="00E0451E">
        <w:rPr>
          <w:rFonts w:ascii="Century Gothic" w:hAnsi="Century Gothic" w:cs="Calibri Light"/>
          <w:b w:val="0"/>
          <w:bCs w:val="0"/>
          <w:color w:val="365F91" w:themeColor="accent1" w:themeShade="BF"/>
          <w:lang w:eastAsia="en-US"/>
        </w:rPr>
        <w:t>Vízia a ciele</w:t>
      </w:r>
      <w:bookmarkEnd w:id="132"/>
    </w:p>
    <w:p w14:paraId="211BECB7" w14:textId="77777777" w:rsidR="009C43E6" w:rsidRPr="00472FC7" w:rsidRDefault="009C43E6" w:rsidP="007B7154">
      <w:pPr>
        <w:spacing w:line="240" w:lineRule="auto"/>
        <w:rPr>
          <w:rFonts w:ascii="Century Gothic" w:hAnsi="Century Gothic" w:cstheme="majorHAnsi"/>
          <w:b/>
        </w:rPr>
      </w:pPr>
    </w:p>
    <w:p w14:paraId="6F8F3FCC" w14:textId="77777777" w:rsidR="007B7154" w:rsidRPr="009B6A13" w:rsidRDefault="007B7154" w:rsidP="007B7154">
      <w:pPr>
        <w:autoSpaceDE w:val="0"/>
        <w:autoSpaceDN w:val="0"/>
        <w:adjustRightInd w:val="0"/>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Predpoklady úspešného rozvoja má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v nasledovných už tradične silných chirurgických odbornostiach, ako sú detská ortopédia, neurochirurgia a úrazová chirurgia,  v ktorých dosahuje v rámci lôžkových pacientov široký rozsah operačných výkonov v rôznych odbornostiach a vysoké </w:t>
      </w:r>
      <w:proofErr w:type="spellStart"/>
      <w:r w:rsidRPr="009B6A13">
        <w:rPr>
          <w:rFonts w:ascii="Century Gothic" w:hAnsi="Century Gothic" w:cstheme="minorHAnsi"/>
          <w:sz w:val="22"/>
          <w:szCs w:val="22"/>
        </w:rPr>
        <w:t>obložnosti</w:t>
      </w:r>
      <w:proofErr w:type="spellEnd"/>
      <w:r w:rsidRPr="009B6A13">
        <w:rPr>
          <w:rFonts w:ascii="Century Gothic" w:hAnsi="Century Gothic" w:cstheme="minorHAnsi"/>
          <w:sz w:val="22"/>
          <w:szCs w:val="22"/>
        </w:rPr>
        <w:t xml:space="preserve"> lôžok pre pacientov z rôznych regiónov. V posledných rokoch sa rozvíja aj chirurgia vrátane </w:t>
      </w:r>
      <w:proofErr w:type="spellStart"/>
      <w:r w:rsidRPr="009B6A13">
        <w:rPr>
          <w:rFonts w:ascii="Century Gothic" w:hAnsi="Century Gothic" w:cstheme="minorHAnsi"/>
          <w:sz w:val="22"/>
          <w:szCs w:val="22"/>
        </w:rPr>
        <w:t>onkochirurgie</w:t>
      </w:r>
      <w:proofErr w:type="spellEnd"/>
      <w:r w:rsidRPr="009B6A13">
        <w:rPr>
          <w:rFonts w:ascii="Century Gothic" w:hAnsi="Century Gothic" w:cstheme="minorHAnsi"/>
          <w:sz w:val="22"/>
          <w:szCs w:val="22"/>
        </w:rPr>
        <w:t xml:space="preserve">, HIPEC a cievnej chirurgie, ktorá bola v minulosti ako jedno z piatich oddelení zrušená. </w:t>
      </w:r>
    </w:p>
    <w:p w14:paraId="658F5AC9" w14:textId="77777777" w:rsidR="007B7154" w:rsidRPr="009B6A13" w:rsidRDefault="007B7154" w:rsidP="007B7154">
      <w:pPr>
        <w:autoSpaceDE w:val="0"/>
        <w:autoSpaceDN w:val="0"/>
        <w:adjustRightInd w:val="0"/>
        <w:spacing w:line="240" w:lineRule="auto"/>
        <w:ind w:firstLine="360"/>
        <w:rPr>
          <w:rFonts w:ascii="Century Gothic" w:hAnsi="Century Gothic" w:cstheme="minorHAnsi"/>
          <w:sz w:val="22"/>
          <w:szCs w:val="22"/>
        </w:rPr>
      </w:pPr>
    </w:p>
    <w:p w14:paraId="479ABD97" w14:textId="77777777" w:rsidR="007B7154" w:rsidRPr="009B6A13" w:rsidRDefault="007B7154" w:rsidP="007B7154">
      <w:pPr>
        <w:autoSpaceDE w:val="0"/>
        <w:autoSpaceDN w:val="0"/>
        <w:adjustRightInd w:val="0"/>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Súčasná nemocnica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sa nachádza dispozične  v dvanástich pavilónoch, kde vykonáva všetky zdravotnícke výkony vrátane operačných, ambulantných, lôžkových a </w:t>
      </w:r>
      <w:proofErr w:type="spellStart"/>
      <w:r w:rsidRPr="009B6A13">
        <w:rPr>
          <w:rFonts w:ascii="Century Gothic" w:hAnsi="Century Gothic" w:cstheme="minorHAnsi"/>
          <w:sz w:val="22"/>
          <w:szCs w:val="22"/>
        </w:rPr>
        <w:t>svalzových</w:t>
      </w:r>
      <w:proofErr w:type="spellEnd"/>
      <w:r w:rsidRPr="009B6A13">
        <w:rPr>
          <w:rFonts w:ascii="Century Gothic" w:hAnsi="Century Gothic" w:cstheme="minorHAnsi"/>
          <w:sz w:val="22"/>
          <w:szCs w:val="22"/>
        </w:rPr>
        <w:t xml:space="preserve">. Z pohľadu logistiky a nákladov, je toto najmenej efektívny spôsob. Budovy sú v priemere viac ako 50 ročné, pričom nespĺňajú nielen energetické štandardy, ale najmä hygienické normy. Ani jedna operačná sála nespĺňa súčasné prísne hygienické ani medicínske štandardy. Do popredia sa vzhľadom k veľmi zložitej personálnej situácie so zdravotníckymi zamestnancami dostáva  aj problém, odkiaľ budúcich zdravotníkov vziať.  </w:t>
      </w:r>
    </w:p>
    <w:p w14:paraId="16682B44" w14:textId="77777777" w:rsidR="007B7154" w:rsidRPr="009B6A13" w:rsidRDefault="007B7154" w:rsidP="007B7154">
      <w:pPr>
        <w:autoSpaceDE w:val="0"/>
        <w:autoSpaceDN w:val="0"/>
        <w:adjustRightInd w:val="0"/>
        <w:spacing w:line="240" w:lineRule="auto"/>
        <w:ind w:firstLine="360"/>
        <w:rPr>
          <w:rFonts w:ascii="Century Gothic" w:hAnsi="Century Gothic" w:cstheme="minorHAnsi"/>
          <w:sz w:val="22"/>
          <w:szCs w:val="22"/>
        </w:rPr>
      </w:pPr>
    </w:p>
    <w:p w14:paraId="35508846" w14:textId="294DA7F6" w:rsidR="007B7154" w:rsidRPr="009B6A13" w:rsidRDefault="007B7154" w:rsidP="007B7154">
      <w:pPr>
        <w:autoSpaceDE w:val="0"/>
        <w:autoSpaceDN w:val="0"/>
        <w:adjustRightInd w:val="0"/>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Preto vedenie nemocnice zaslalo na MZ SR požiadavku zaradiť aj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medzi záujemcov o výs</w:t>
      </w:r>
      <w:r w:rsidR="007756C0">
        <w:rPr>
          <w:rFonts w:ascii="Century Gothic" w:hAnsi="Century Gothic" w:cstheme="minorHAnsi"/>
          <w:sz w:val="22"/>
          <w:szCs w:val="22"/>
        </w:rPr>
        <w:t>tavbu časti svojej nemocnice z fondu P</w:t>
      </w:r>
      <w:r w:rsidRPr="009B6A13">
        <w:rPr>
          <w:rFonts w:ascii="Century Gothic" w:hAnsi="Century Gothic" w:cstheme="minorHAnsi"/>
          <w:sz w:val="22"/>
          <w:szCs w:val="22"/>
        </w:rPr>
        <w:t>lánu obnovy a odolnosti. Zaradením nemocnice do výstavby by mohol vzniknúť nový pavilón urgentnej zdravotnej starostlivosti s centrálnymi operačnými sálami, zdieľanými v rámci príbuzných odborností, vrátane lôžok  s modernou infraštruktúrou, urgentným príjmom prepojeným priamo s </w:t>
      </w:r>
      <w:proofErr w:type="spellStart"/>
      <w:r w:rsidRPr="009B6A13">
        <w:rPr>
          <w:rFonts w:ascii="Century Gothic" w:hAnsi="Century Gothic" w:cstheme="minorHAnsi"/>
          <w:sz w:val="22"/>
          <w:szCs w:val="22"/>
        </w:rPr>
        <w:t>heliportom</w:t>
      </w:r>
      <w:proofErr w:type="spellEnd"/>
      <w:r w:rsidRPr="009B6A13">
        <w:rPr>
          <w:rFonts w:ascii="Century Gothic" w:hAnsi="Century Gothic" w:cstheme="minorHAnsi"/>
          <w:sz w:val="22"/>
          <w:szCs w:val="22"/>
        </w:rPr>
        <w:t xml:space="preserve"> a pod. </w:t>
      </w:r>
      <w:r w:rsidR="00A6113B">
        <w:rPr>
          <w:rFonts w:ascii="Century Gothic" w:hAnsi="Century Gothic" w:cstheme="minorHAnsi"/>
          <w:sz w:val="22"/>
          <w:szCs w:val="22"/>
        </w:rPr>
        <w:t>Išlo</w:t>
      </w:r>
      <w:r w:rsidRPr="009B6A13">
        <w:rPr>
          <w:rFonts w:ascii="Century Gothic" w:hAnsi="Century Gothic" w:cstheme="minorHAnsi"/>
          <w:sz w:val="22"/>
          <w:szCs w:val="22"/>
        </w:rPr>
        <w:t xml:space="preserve"> by </w:t>
      </w:r>
      <w:r w:rsidR="00A6113B">
        <w:rPr>
          <w:rFonts w:ascii="Century Gothic" w:hAnsi="Century Gothic" w:cstheme="minorHAnsi"/>
          <w:sz w:val="22"/>
          <w:szCs w:val="22"/>
        </w:rPr>
        <w:t>o</w:t>
      </w:r>
      <w:r w:rsidRPr="009B6A13">
        <w:rPr>
          <w:rFonts w:ascii="Century Gothic" w:hAnsi="Century Gothic" w:cstheme="minorHAnsi"/>
          <w:sz w:val="22"/>
          <w:szCs w:val="22"/>
        </w:rPr>
        <w:t xml:space="preserve"> približne 370 lôžok až 420 lôžok, ktoré by boli čisto urgentného charakteru. Ostatné budovy v areáli by sa po rekonštrukcii použili na následnú zdravotnú starostlivosť s chronickými lôžkami. Časť nemocničnej infraštruktúry by zostala v pôvodných priestoroch, ako sú práčovňa pre chronické lôžka, nemocničná lekáreň, jedáleň a pod. Celkový investičný náklad na výstavbu nového pavilónu by sa mal pohybovať medzi 150 mil. EUR až 200 mil. EUR  vrátane rekonštrukcie pavilónu ambulantnej starostlivosti, ktorý by zostal tiež v pôvodných priestoroch, spolu so všetkými ambulanciami. </w:t>
      </w:r>
    </w:p>
    <w:p w14:paraId="6D88C496" w14:textId="77777777" w:rsidR="007B7154" w:rsidRPr="009B6A13" w:rsidRDefault="007B7154" w:rsidP="007B7154">
      <w:pPr>
        <w:spacing w:line="240" w:lineRule="auto"/>
        <w:rPr>
          <w:rFonts w:ascii="Century Gothic" w:hAnsi="Century Gothic" w:cstheme="majorHAnsi"/>
          <w:b/>
          <w:sz w:val="22"/>
          <w:szCs w:val="22"/>
        </w:rPr>
      </w:pPr>
    </w:p>
    <w:p w14:paraId="32EAA28F"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Z dostupných dát a možností, ktoré prichádzajú do úvahy sme uvažovali nad dvoma základnými možnosťami:</w:t>
      </w:r>
    </w:p>
    <w:p w14:paraId="6E6B095C" w14:textId="6CC168FB" w:rsidR="007B7154" w:rsidRPr="009B6A13" w:rsidRDefault="007B7154" w:rsidP="007F681B">
      <w:pPr>
        <w:pStyle w:val="Odsekzoznamu"/>
        <w:numPr>
          <w:ilvl w:val="2"/>
          <w:numId w:val="42"/>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Rozsiahla rekonštrukcia väčšiny budov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w:t>
      </w:r>
      <w:r w:rsidR="00917BB7">
        <w:rPr>
          <w:rFonts w:ascii="Century Gothic" w:hAnsi="Century Gothic" w:cstheme="minorHAnsi"/>
          <w:sz w:val="22"/>
          <w:szCs w:val="22"/>
        </w:rPr>
        <w:t>Žilina</w:t>
      </w:r>
      <w:r w:rsidRPr="009B6A13">
        <w:rPr>
          <w:rFonts w:ascii="Century Gothic" w:hAnsi="Century Gothic" w:cstheme="minorHAnsi"/>
          <w:sz w:val="22"/>
          <w:szCs w:val="22"/>
        </w:rPr>
        <w:t xml:space="preserve"> vrátane komplexného riešenia parkovania v areáli nemocnice.</w:t>
      </w:r>
    </w:p>
    <w:p w14:paraId="1B52FE38" w14:textId="12E87C8F" w:rsidR="007B7154" w:rsidRPr="009B6A13" w:rsidRDefault="007B7154" w:rsidP="007F681B">
      <w:pPr>
        <w:pStyle w:val="Odsekzoznamu"/>
        <w:numPr>
          <w:ilvl w:val="2"/>
          <w:numId w:val="42"/>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Výstavba novej nemocnice resp. nového </w:t>
      </w:r>
      <w:r w:rsidR="007756C0">
        <w:rPr>
          <w:rFonts w:ascii="Century Gothic" w:hAnsi="Century Gothic" w:cstheme="minorHAnsi"/>
          <w:sz w:val="22"/>
          <w:szCs w:val="22"/>
        </w:rPr>
        <w:t>P</w:t>
      </w:r>
      <w:r w:rsidRPr="009B6A13">
        <w:rPr>
          <w:rFonts w:ascii="Century Gothic" w:hAnsi="Century Gothic" w:cstheme="minorHAnsi"/>
          <w:sz w:val="22"/>
          <w:szCs w:val="22"/>
        </w:rPr>
        <w:t>avilónu urgentnej medicíny (ďalej UM).</w:t>
      </w:r>
    </w:p>
    <w:p w14:paraId="59EF5E1E" w14:textId="77777777" w:rsidR="007B7154" w:rsidRPr="009B6A13" w:rsidRDefault="007B7154" w:rsidP="007B7154">
      <w:pPr>
        <w:spacing w:line="240" w:lineRule="auto"/>
        <w:rPr>
          <w:rFonts w:ascii="Century Gothic" w:hAnsi="Century Gothic" w:cstheme="minorHAnsi"/>
          <w:sz w:val="22"/>
          <w:szCs w:val="22"/>
        </w:rPr>
      </w:pPr>
    </w:p>
    <w:p w14:paraId="4EFA9271" w14:textId="5C44986C"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Po zvážení technického stavu existujúcich budov, ich energetickej náročnosti, možností modernizácie, nákladov na opravy a údržbu, či už pri rekonštrukcii, ale aj v následnej prevádzke na niekoľko desaťročí, možností optimalizácie procesov, digitalizácie a aplikácie efektívnych zelených riešení sme došli k záveru, že požadovaný stav hlavne kvality medicínskej úrovne poskytovaných služieb vieme dosiahnuť iba v novej komplexnej budove, kde budeme sústrediť všetky  kapacity pre riešenie urgentných stavov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okrem ambulantného traktu, ktorý by zostal v pôvodných priestoroch a bol by zahrnutý do kompletnej  rekonštrukcie spolu s výstavbou </w:t>
      </w:r>
      <w:r w:rsidR="007756C0">
        <w:rPr>
          <w:rFonts w:ascii="Century Gothic" w:hAnsi="Century Gothic" w:cstheme="minorHAnsi"/>
          <w:sz w:val="22"/>
          <w:szCs w:val="22"/>
        </w:rPr>
        <w:t>P</w:t>
      </w:r>
      <w:r w:rsidRPr="009B6A13">
        <w:rPr>
          <w:rFonts w:ascii="Century Gothic" w:hAnsi="Century Gothic" w:cstheme="minorHAnsi"/>
          <w:sz w:val="22"/>
          <w:szCs w:val="22"/>
        </w:rPr>
        <w:t>avilónu UM.</w:t>
      </w:r>
    </w:p>
    <w:p w14:paraId="526D6183"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Akékoľvek iné riešenie nám príde z pohľadu hodnoty za peniaze (benefitov plynúcich z investovaných zdrojov) ako menej efektívne. Ambulantný trakt je v stave a kapacitnom nastavení, že po cielenej rekonštrukcii vie zachovať hodnotu budovy. Jeho strategická lokalizácia na pešom vstupe do areálu resp. v blízkosti parkovacích kapacít  je jeho hlavnou výhodou. V ďalšej etape po dohode s MZ SR je možné zvážiť v prípade novej nemocnice presun sídla vedenia nemocnice do novej budovy, čím sa zároveň uvoľní priestor na rozvoj ambulantných priestorov a služieb pre verejnosť/pacientov. </w:t>
      </w:r>
    </w:p>
    <w:p w14:paraId="4942C29E" w14:textId="77777777" w:rsidR="007B7154" w:rsidRPr="009B6A13" w:rsidRDefault="007B7154" w:rsidP="007B7154">
      <w:pPr>
        <w:spacing w:line="240" w:lineRule="auto"/>
        <w:rPr>
          <w:rFonts w:ascii="Century Gothic" w:hAnsi="Century Gothic" w:cstheme="minorHAnsi"/>
          <w:sz w:val="22"/>
          <w:szCs w:val="22"/>
        </w:rPr>
      </w:pPr>
    </w:p>
    <w:p w14:paraId="2131140C"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Nová budova by bola postavená ako komplexná budova, kde by sme nastavili nový procesný model fungovania zdravotnej starostlivosti založený na sústredených a zdieľaných kapacitách. Konkrétne:</w:t>
      </w:r>
    </w:p>
    <w:p w14:paraId="72DAD25E" w14:textId="18539BBA" w:rsidR="007B7154" w:rsidRPr="009B6A13" w:rsidRDefault="007B7154" w:rsidP="007F681B">
      <w:pPr>
        <w:pStyle w:val="Odsekzoznamu"/>
        <w:numPr>
          <w:ilvl w:val="2"/>
          <w:numId w:val="43"/>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Centrálne operačné sály (vrátane </w:t>
      </w:r>
      <w:proofErr w:type="spellStart"/>
      <w:r w:rsidRPr="009B6A13">
        <w:rPr>
          <w:rFonts w:ascii="Century Gothic" w:hAnsi="Century Gothic" w:cstheme="minorHAnsi"/>
          <w:sz w:val="22"/>
          <w:szCs w:val="22"/>
        </w:rPr>
        <w:t>odsávačiek</w:t>
      </w:r>
      <w:proofErr w:type="spellEnd"/>
      <w:r w:rsidRPr="009B6A13">
        <w:rPr>
          <w:rFonts w:ascii="Century Gothic" w:hAnsi="Century Gothic" w:cstheme="minorHAnsi"/>
          <w:sz w:val="22"/>
          <w:szCs w:val="22"/>
        </w:rPr>
        <w:t>)</w:t>
      </w:r>
      <w:r w:rsidR="00026227">
        <w:rPr>
          <w:rFonts w:ascii="Century Gothic" w:hAnsi="Century Gothic" w:cstheme="minorHAnsi"/>
          <w:sz w:val="22"/>
          <w:szCs w:val="22"/>
        </w:rPr>
        <w:t>.</w:t>
      </w:r>
    </w:p>
    <w:p w14:paraId="4FC56153" w14:textId="64D89450" w:rsidR="007B7154" w:rsidRPr="009B6A13" w:rsidRDefault="007B7154" w:rsidP="007F681B">
      <w:pPr>
        <w:pStyle w:val="Odsekzoznamu"/>
        <w:numPr>
          <w:ilvl w:val="2"/>
          <w:numId w:val="43"/>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Centrálne JIS lôžka</w:t>
      </w:r>
      <w:r w:rsidR="00026227">
        <w:rPr>
          <w:rFonts w:ascii="Century Gothic" w:hAnsi="Century Gothic" w:cstheme="minorHAnsi"/>
          <w:sz w:val="22"/>
          <w:szCs w:val="22"/>
        </w:rPr>
        <w:t>.</w:t>
      </w:r>
    </w:p>
    <w:p w14:paraId="62338CAF" w14:textId="427DA865" w:rsidR="007B7154" w:rsidRPr="009B6A13" w:rsidRDefault="007B7154" w:rsidP="007F681B">
      <w:pPr>
        <w:pStyle w:val="Odsekzoznamu"/>
        <w:numPr>
          <w:ilvl w:val="2"/>
          <w:numId w:val="43"/>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Jednodňová zdravotná starostlivosť vrátane </w:t>
      </w:r>
      <w:proofErr w:type="spellStart"/>
      <w:r w:rsidRPr="009B6A13">
        <w:rPr>
          <w:rFonts w:ascii="Century Gothic" w:hAnsi="Century Gothic" w:cstheme="minorHAnsi"/>
          <w:sz w:val="22"/>
          <w:szCs w:val="22"/>
        </w:rPr>
        <w:t>zákrokových</w:t>
      </w:r>
      <w:proofErr w:type="spellEnd"/>
      <w:r w:rsidRPr="009B6A13">
        <w:rPr>
          <w:rFonts w:ascii="Century Gothic" w:hAnsi="Century Gothic" w:cstheme="minorHAnsi"/>
          <w:sz w:val="22"/>
          <w:szCs w:val="22"/>
        </w:rPr>
        <w:t xml:space="preserve"> sál</w:t>
      </w:r>
      <w:r w:rsidR="00026227">
        <w:rPr>
          <w:rFonts w:ascii="Century Gothic" w:hAnsi="Century Gothic" w:cstheme="minorHAnsi"/>
          <w:sz w:val="22"/>
          <w:szCs w:val="22"/>
        </w:rPr>
        <w:t>.</w:t>
      </w:r>
    </w:p>
    <w:p w14:paraId="6EA9061D" w14:textId="7564D28B" w:rsidR="007B7154" w:rsidRPr="009B6A13" w:rsidRDefault="007B7154" w:rsidP="007F681B">
      <w:pPr>
        <w:pStyle w:val="Odsekzoznamu"/>
        <w:numPr>
          <w:ilvl w:val="2"/>
          <w:numId w:val="43"/>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Centrálne diagnostické a zobrazovacie zložky</w:t>
      </w:r>
      <w:r w:rsidR="00026227">
        <w:rPr>
          <w:rFonts w:ascii="Century Gothic" w:hAnsi="Century Gothic" w:cstheme="minorHAnsi"/>
          <w:sz w:val="22"/>
          <w:szCs w:val="22"/>
        </w:rPr>
        <w:t>.</w:t>
      </w:r>
    </w:p>
    <w:p w14:paraId="655C7FFE" w14:textId="158B90EF" w:rsidR="007B7154" w:rsidRPr="009B6A13" w:rsidRDefault="007B7154" w:rsidP="007F681B">
      <w:pPr>
        <w:pStyle w:val="Odsekzoznamu"/>
        <w:numPr>
          <w:ilvl w:val="2"/>
          <w:numId w:val="43"/>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Centrálne laboratória</w:t>
      </w:r>
      <w:r w:rsidR="00026227">
        <w:rPr>
          <w:rFonts w:ascii="Century Gothic" w:hAnsi="Century Gothic" w:cstheme="minorHAnsi"/>
          <w:sz w:val="22"/>
          <w:szCs w:val="22"/>
        </w:rPr>
        <w:t>.</w:t>
      </w:r>
    </w:p>
    <w:p w14:paraId="28A71E0C" w14:textId="440B1EFA" w:rsidR="007B7154" w:rsidRPr="009B6A13" w:rsidRDefault="007B7154" w:rsidP="007F681B">
      <w:pPr>
        <w:pStyle w:val="Odsekzoznamu"/>
        <w:numPr>
          <w:ilvl w:val="2"/>
          <w:numId w:val="43"/>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Kompletná, sústredená a hlavne zdieľaná lôžková časť</w:t>
      </w:r>
      <w:r w:rsidR="00026227">
        <w:rPr>
          <w:rFonts w:ascii="Century Gothic" w:hAnsi="Century Gothic" w:cstheme="minorHAnsi"/>
          <w:sz w:val="22"/>
          <w:szCs w:val="22"/>
        </w:rPr>
        <w:t>.</w:t>
      </w:r>
    </w:p>
    <w:p w14:paraId="2E3885FB" w14:textId="77777777" w:rsidR="007B7154" w:rsidRPr="009B6A13" w:rsidRDefault="007B7154" w:rsidP="007B7154">
      <w:pPr>
        <w:spacing w:line="240" w:lineRule="auto"/>
        <w:rPr>
          <w:rFonts w:ascii="Century Gothic" w:hAnsi="Century Gothic" w:cstheme="majorHAnsi"/>
          <w:b/>
          <w:sz w:val="22"/>
          <w:szCs w:val="22"/>
        </w:rPr>
      </w:pPr>
    </w:p>
    <w:p w14:paraId="4978BCEF" w14:textId="77777777" w:rsidR="007B7154" w:rsidRPr="009B6A13" w:rsidRDefault="007B7154" w:rsidP="006B0846">
      <w:pPr>
        <w:spacing w:line="240" w:lineRule="auto"/>
        <w:rPr>
          <w:rFonts w:ascii="Century Gothic" w:hAnsi="Century Gothic" w:cstheme="minorHAnsi"/>
          <w:sz w:val="22"/>
          <w:szCs w:val="22"/>
        </w:rPr>
      </w:pPr>
      <w:r w:rsidRPr="009B6A13">
        <w:rPr>
          <w:rFonts w:ascii="Century Gothic" w:hAnsi="Century Gothic" w:cstheme="minorHAnsi"/>
          <w:sz w:val="22"/>
          <w:szCs w:val="22"/>
        </w:rPr>
        <w:t>Cieľom je nielen dosiahnutie krajších, modernejších priestorov pre pacientov, zamestnancov, či zníženie energetickej náročnosti budov, ale hlavne efektívnejšie prevádzkovanie poskytovania zdravotnej starostlivosti. Zvýšenie efektívnosti, hospodárnosti a hlavne kvality poskytovanej ZS chceme dosiahnuť najmä:</w:t>
      </w:r>
    </w:p>
    <w:p w14:paraId="37F4F2FE"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Kompletnú investíciu vieme realizovať na strategicky dôležitom území, v areáli nemocnice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v súlade s územným plánom mesta Žilina, pričom  pozemky, ktoré nie sú vo vlastníctve bude potrebné vykúpiť vo verejnom záujme. </w:t>
      </w:r>
    </w:p>
    <w:p w14:paraId="4B1ACFC4"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Novú nemocnicu vieme lokalizovať v tesnej blízkosti existujúceho </w:t>
      </w:r>
      <w:proofErr w:type="spellStart"/>
      <w:r w:rsidRPr="009B6A13">
        <w:rPr>
          <w:rFonts w:ascii="Century Gothic" w:hAnsi="Century Gothic" w:cstheme="minorHAnsi"/>
          <w:sz w:val="22"/>
          <w:szCs w:val="22"/>
        </w:rPr>
        <w:t>heliportu</w:t>
      </w:r>
      <w:proofErr w:type="spellEnd"/>
      <w:r w:rsidRPr="009B6A13">
        <w:rPr>
          <w:rFonts w:ascii="Century Gothic" w:hAnsi="Century Gothic" w:cstheme="minorHAnsi"/>
          <w:sz w:val="22"/>
          <w:szCs w:val="22"/>
        </w:rPr>
        <w:t xml:space="preserve"> </w:t>
      </w:r>
      <w:proofErr w:type="spellStart"/>
      <w:r w:rsidRPr="009B6A13">
        <w:rPr>
          <w:rFonts w:ascii="Century Gothic" w:hAnsi="Century Gothic" w:cstheme="minorHAnsi"/>
          <w:sz w:val="22"/>
          <w:szCs w:val="22"/>
        </w:rPr>
        <w:t>t.j</w:t>
      </w:r>
      <w:proofErr w:type="spellEnd"/>
      <w:r w:rsidRPr="009B6A13">
        <w:rPr>
          <w:rFonts w:ascii="Century Gothic" w:hAnsi="Century Gothic" w:cstheme="minorHAnsi"/>
          <w:sz w:val="22"/>
          <w:szCs w:val="22"/>
        </w:rPr>
        <w:t xml:space="preserve">. využiť existujúci </w:t>
      </w:r>
      <w:proofErr w:type="spellStart"/>
      <w:r w:rsidRPr="009B6A13">
        <w:rPr>
          <w:rFonts w:ascii="Century Gothic" w:hAnsi="Century Gothic" w:cstheme="minorHAnsi"/>
          <w:sz w:val="22"/>
          <w:szCs w:val="22"/>
        </w:rPr>
        <w:t>heliport</w:t>
      </w:r>
      <w:proofErr w:type="spellEnd"/>
      <w:r w:rsidRPr="009B6A13">
        <w:rPr>
          <w:rFonts w:ascii="Century Gothic" w:hAnsi="Century Gothic" w:cstheme="minorHAnsi"/>
          <w:sz w:val="22"/>
          <w:szCs w:val="22"/>
        </w:rPr>
        <w:t xml:space="preserve"> s riešením transportu pacienta v zmysle aktuálnych požiadaviek.</w:t>
      </w:r>
    </w:p>
    <w:p w14:paraId="5EA175B5"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Centrálne operačné sály a JIS lôžka s potenciálom šetriť  nielen na efektivite prevádzky (energie, plánovanie operácii a využiteľnosť sál a pod.), ale hlavne na personálom zabezpečení ich prevádzky, čo sa javí ako kľúčový faktor na minimálne niekoľko rokov.</w:t>
      </w:r>
    </w:p>
    <w:p w14:paraId="732D82FB"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 xml:space="preserve">Vybudovaním centrálnych laboratórií resp. kapacít na realizáciu </w:t>
      </w:r>
      <w:proofErr w:type="spellStart"/>
      <w:r w:rsidRPr="009B6A13">
        <w:rPr>
          <w:rFonts w:ascii="Century Gothic" w:hAnsi="Century Gothic" w:cstheme="minorHAnsi"/>
          <w:sz w:val="22"/>
          <w:szCs w:val="22"/>
        </w:rPr>
        <w:t>SVaLZ</w:t>
      </w:r>
      <w:proofErr w:type="spellEnd"/>
      <w:r w:rsidRPr="009B6A13">
        <w:rPr>
          <w:rFonts w:ascii="Century Gothic" w:hAnsi="Century Gothic" w:cstheme="minorHAnsi"/>
          <w:sz w:val="22"/>
          <w:szCs w:val="22"/>
        </w:rPr>
        <w:t xml:space="preserve">  výkonov, vieme navýšiť príjmovú časť prevádzky nemocnice.</w:t>
      </w:r>
    </w:p>
    <w:p w14:paraId="3406DC68"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Vybudovaním lôžkovej časti na princípe tzv. „plávajúcich lôžok“ vieme efektívne riadiť využiteľnosť/efektívnosť hospitalizácií.</w:t>
      </w:r>
    </w:p>
    <w:p w14:paraId="06425A20"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Kvalitným riešením diagnostických a zobrazovacích metód (v kombinácii s laboratórny traktom) vieme efektívne riadiť hlavne rýchlosť diagnostiky pacienta, stanovenie diagnózy a nastavenie správnej a kvalitnej liečby.</w:t>
      </w:r>
    </w:p>
    <w:p w14:paraId="3A883705"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lastRenderedPageBreak/>
        <w:t xml:space="preserve">Novými priestormi najvyššej hygienickej triedy čistoty vieme radikálne znížiť </w:t>
      </w:r>
      <w:proofErr w:type="spellStart"/>
      <w:r w:rsidRPr="009B6A13">
        <w:rPr>
          <w:rFonts w:ascii="Century Gothic" w:hAnsi="Century Gothic" w:cstheme="minorHAnsi"/>
          <w:sz w:val="22"/>
          <w:szCs w:val="22"/>
        </w:rPr>
        <w:t>nozokomiálne</w:t>
      </w:r>
      <w:proofErr w:type="spellEnd"/>
      <w:r w:rsidRPr="009B6A13">
        <w:rPr>
          <w:rFonts w:ascii="Century Gothic" w:hAnsi="Century Gothic" w:cstheme="minorHAnsi"/>
          <w:sz w:val="22"/>
          <w:szCs w:val="22"/>
        </w:rPr>
        <w:t xml:space="preserve"> nákazy a tým eliminovať náklady potrebné na ich liečbu. </w:t>
      </w:r>
    </w:p>
    <w:p w14:paraId="16B399E7"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Digitalizácia prinesie efektívnosť do všetkých oblastí nemocnice (množstvo administratívy, kontrola spotreby liekov, ŠZM, energií a pod.).</w:t>
      </w:r>
    </w:p>
    <w:p w14:paraId="0323F9A8"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Nová budova poskytne riešenia resp. stav, ktorý vieme ťažko dosiahnuť v existujúcich budovách (aktuálne - kyslík na každom lôžku, prevažne jednoposteľové izby s možnosťou izolácie, dostatočné kapacity infekčných lôžok a pod.).</w:t>
      </w:r>
    </w:p>
    <w:p w14:paraId="162D4121" w14:textId="77777777" w:rsidR="007B7154" w:rsidRPr="009B6A13" w:rsidRDefault="007B7154" w:rsidP="007F681B">
      <w:pPr>
        <w:pStyle w:val="Odsekzoznamu"/>
        <w:numPr>
          <w:ilvl w:val="2"/>
          <w:numId w:val="44"/>
        </w:numPr>
        <w:spacing w:line="240" w:lineRule="auto"/>
        <w:ind w:left="709" w:hanging="425"/>
        <w:rPr>
          <w:rFonts w:ascii="Century Gothic" w:hAnsi="Century Gothic" w:cstheme="minorHAnsi"/>
          <w:sz w:val="22"/>
          <w:szCs w:val="22"/>
        </w:rPr>
      </w:pPr>
      <w:r w:rsidRPr="009B6A13">
        <w:rPr>
          <w:rFonts w:ascii="Century Gothic" w:hAnsi="Century Gothic" w:cstheme="minorHAnsi"/>
          <w:sz w:val="22"/>
          <w:szCs w:val="22"/>
        </w:rPr>
        <w:t>Využitie existujúcich budov na riešenie chýbajúcich kapacít v rámci slovenského zdravotníckeho systému ako sú geriatrická a paliatívna starostlivosť, dlhodobé chronické lôžka, ale aj napr. rezervné kapacity pre prípadné budúce pandémie.</w:t>
      </w:r>
    </w:p>
    <w:p w14:paraId="61285113" w14:textId="77777777" w:rsidR="007B7154" w:rsidRPr="009B6A13" w:rsidRDefault="007B7154" w:rsidP="007B7154">
      <w:pPr>
        <w:spacing w:line="240" w:lineRule="auto"/>
        <w:rPr>
          <w:rFonts w:ascii="Century Gothic" w:hAnsi="Century Gothic" w:cstheme="majorHAnsi"/>
          <w:b/>
          <w:sz w:val="22"/>
          <w:szCs w:val="22"/>
        </w:rPr>
      </w:pPr>
    </w:p>
    <w:p w14:paraId="62BB3EAF" w14:textId="77777777" w:rsidR="007B7154" w:rsidRPr="009B6A13" w:rsidRDefault="007B7154" w:rsidP="007B7154">
      <w:pPr>
        <w:spacing w:line="240" w:lineRule="auto"/>
        <w:rPr>
          <w:rFonts w:ascii="Century Gothic" w:hAnsi="Century Gothic" w:cstheme="majorHAnsi"/>
          <w:sz w:val="22"/>
          <w:szCs w:val="22"/>
        </w:rPr>
      </w:pPr>
      <w:r w:rsidRPr="009B6A13">
        <w:rPr>
          <w:rFonts w:ascii="Century Gothic" w:hAnsi="Century Gothic" w:cstheme="majorHAnsi"/>
          <w:sz w:val="22"/>
          <w:szCs w:val="22"/>
        </w:rPr>
        <w:t xml:space="preserve">Celková vízia je znázornená na nasledujúcom obrázku: </w:t>
      </w:r>
    </w:p>
    <w:p w14:paraId="4460B849" w14:textId="065E5641" w:rsidR="007B7154" w:rsidRDefault="007B7154" w:rsidP="007B7154">
      <w:pPr>
        <w:spacing w:line="240" w:lineRule="auto"/>
        <w:rPr>
          <w:rFonts w:ascii="Century Gothic" w:hAnsi="Century Gothic" w:cstheme="majorHAnsi"/>
        </w:rPr>
      </w:pPr>
    </w:p>
    <w:p w14:paraId="6C1FB289" w14:textId="1FFA0BDD" w:rsidR="00767DCE" w:rsidRPr="00767DCE" w:rsidRDefault="00377663" w:rsidP="00377663">
      <w:pPr>
        <w:pStyle w:val="Popis"/>
        <w:rPr>
          <w:rFonts w:ascii="Century Gothic" w:hAnsi="Century Gothic"/>
          <w:b w:val="0"/>
          <w:i/>
        </w:rPr>
      </w:pPr>
      <w:bookmarkStart w:id="133" w:name="_Toc145219858"/>
      <w:r w:rsidRPr="00377663">
        <w:rPr>
          <w:rFonts w:ascii="Century Gothic" w:hAnsi="Century Gothic"/>
          <w:b w:val="0"/>
          <w:i/>
        </w:rPr>
        <w:t xml:space="preserve">Obrázok </w:t>
      </w:r>
      <w:r w:rsidRPr="00377663">
        <w:rPr>
          <w:rFonts w:ascii="Century Gothic" w:hAnsi="Century Gothic"/>
          <w:b w:val="0"/>
          <w:i/>
        </w:rPr>
        <w:fldChar w:fldCharType="begin"/>
      </w:r>
      <w:r w:rsidRPr="00377663">
        <w:rPr>
          <w:rFonts w:ascii="Century Gothic" w:hAnsi="Century Gothic"/>
          <w:b w:val="0"/>
          <w:i/>
        </w:rPr>
        <w:instrText xml:space="preserve"> SEQ Obrázok \* ARABIC </w:instrText>
      </w:r>
      <w:r w:rsidRPr="00377663">
        <w:rPr>
          <w:rFonts w:ascii="Century Gothic" w:hAnsi="Century Gothic"/>
          <w:b w:val="0"/>
          <w:i/>
        </w:rPr>
        <w:fldChar w:fldCharType="separate"/>
      </w:r>
      <w:r w:rsidR="007D6A44">
        <w:rPr>
          <w:rFonts w:ascii="Century Gothic" w:hAnsi="Century Gothic"/>
          <w:b w:val="0"/>
          <w:i/>
          <w:noProof/>
        </w:rPr>
        <w:t>6</w:t>
      </w:r>
      <w:r w:rsidRPr="00377663">
        <w:rPr>
          <w:rFonts w:ascii="Century Gothic" w:hAnsi="Century Gothic"/>
          <w:b w:val="0"/>
          <w:i/>
        </w:rPr>
        <w:fldChar w:fldCharType="end"/>
      </w:r>
      <w:r w:rsidRPr="00377663">
        <w:rPr>
          <w:rFonts w:ascii="Century Gothic" w:hAnsi="Century Gothic"/>
          <w:b w:val="0"/>
          <w:i/>
        </w:rPr>
        <w:t xml:space="preserve"> </w:t>
      </w:r>
      <w:r w:rsidR="00767DCE" w:rsidRPr="00767DCE">
        <w:rPr>
          <w:rFonts w:ascii="Century Gothic" w:hAnsi="Century Gothic"/>
          <w:b w:val="0"/>
          <w:i/>
        </w:rPr>
        <w:t xml:space="preserve">Vízia nového </w:t>
      </w:r>
      <w:r w:rsidR="007756C0">
        <w:rPr>
          <w:rFonts w:ascii="Century Gothic" w:hAnsi="Century Gothic"/>
          <w:b w:val="0"/>
          <w:i/>
        </w:rPr>
        <w:t>P</w:t>
      </w:r>
      <w:r w:rsidR="00767DCE" w:rsidRPr="00767DCE">
        <w:rPr>
          <w:rFonts w:ascii="Century Gothic" w:hAnsi="Century Gothic"/>
          <w:b w:val="0"/>
          <w:i/>
        </w:rPr>
        <w:t>avilónu urgentnej medicíny</w:t>
      </w:r>
      <w:bookmarkEnd w:id="133"/>
    </w:p>
    <w:p w14:paraId="4D8A93E6" w14:textId="77777777" w:rsidR="007B7154" w:rsidRDefault="007B7154" w:rsidP="007B7154">
      <w:pPr>
        <w:spacing w:line="240" w:lineRule="auto"/>
        <w:rPr>
          <w:rFonts w:ascii="Century Gothic" w:hAnsi="Century Gothic"/>
          <w:b/>
        </w:rPr>
      </w:pPr>
      <w:r>
        <w:rPr>
          <w:noProof/>
        </w:rPr>
        <w:drawing>
          <wp:inline distT="0" distB="0" distL="0" distR="0" wp14:anchorId="15FA2DC9" wp14:editId="39BB3251">
            <wp:extent cx="5760720" cy="2543175"/>
            <wp:effectExtent l="0" t="0" r="0" b="9525"/>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720" cy="2543175"/>
                    </a:xfrm>
                    <a:prstGeom prst="rect">
                      <a:avLst/>
                    </a:prstGeom>
                  </pic:spPr>
                </pic:pic>
              </a:graphicData>
            </a:graphic>
          </wp:inline>
        </w:drawing>
      </w:r>
    </w:p>
    <w:p w14:paraId="5858AE0D" w14:textId="77777777" w:rsidR="007B7154" w:rsidRDefault="007B7154" w:rsidP="007B7154">
      <w:pPr>
        <w:spacing w:line="240" w:lineRule="auto"/>
        <w:rPr>
          <w:rFonts w:ascii="Century Gothic" w:hAnsi="Century Gothic"/>
          <w:b/>
        </w:rPr>
      </w:pPr>
    </w:p>
    <w:p w14:paraId="5D1A1E35" w14:textId="77777777" w:rsidR="007B7154" w:rsidRPr="009B6A13" w:rsidRDefault="007B7154" w:rsidP="007B7154">
      <w:pPr>
        <w:spacing w:line="240" w:lineRule="auto"/>
        <w:rPr>
          <w:rFonts w:ascii="Century Gothic" w:hAnsi="Century Gothic" w:cstheme="majorHAnsi"/>
          <w:sz w:val="22"/>
          <w:szCs w:val="22"/>
        </w:rPr>
      </w:pPr>
      <w:r w:rsidRPr="009B6A13">
        <w:rPr>
          <w:rFonts w:ascii="Century Gothic" w:hAnsi="Century Gothic" w:cstheme="majorHAnsi"/>
          <w:sz w:val="22"/>
          <w:szCs w:val="22"/>
        </w:rPr>
        <w:t>Atomizovaná vízia: definovanie medicínskych potrieb – Oddelenie urgentnej medicíny:</w:t>
      </w:r>
    </w:p>
    <w:p w14:paraId="4E05D043" w14:textId="77777777" w:rsidR="007B7154" w:rsidRDefault="007B7154" w:rsidP="007B7154">
      <w:pPr>
        <w:spacing w:line="240" w:lineRule="auto"/>
        <w:rPr>
          <w:rFonts w:ascii="Century Gothic" w:hAnsi="Century Gothic"/>
          <w:b/>
        </w:rPr>
      </w:pPr>
    </w:p>
    <w:p w14:paraId="50138197" w14:textId="77777777" w:rsidR="007B7154" w:rsidRDefault="007B7154" w:rsidP="007B7154">
      <w:pPr>
        <w:spacing w:line="240" w:lineRule="auto"/>
        <w:rPr>
          <w:rFonts w:ascii="Century Gothic" w:hAnsi="Century Gothic"/>
          <w:b/>
        </w:rPr>
      </w:pPr>
      <w:r>
        <w:rPr>
          <w:noProof/>
        </w:rPr>
        <w:drawing>
          <wp:inline distT="0" distB="0" distL="0" distR="0" wp14:anchorId="5D860D0A" wp14:editId="7AAF1AA3">
            <wp:extent cx="5760720" cy="2082165"/>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082165"/>
                    </a:xfrm>
                    <a:prstGeom prst="rect">
                      <a:avLst/>
                    </a:prstGeom>
                  </pic:spPr>
                </pic:pic>
              </a:graphicData>
            </a:graphic>
          </wp:inline>
        </w:drawing>
      </w:r>
    </w:p>
    <w:p w14:paraId="175F633C" w14:textId="77777777" w:rsidR="007B7154" w:rsidRDefault="007B7154" w:rsidP="007B7154">
      <w:pPr>
        <w:spacing w:line="240" w:lineRule="auto"/>
        <w:rPr>
          <w:rFonts w:ascii="Century Gothic" w:hAnsi="Century Gothic" w:cstheme="majorHAnsi"/>
        </w:rPr>
      </w:pPr>
    </w:p>
    <w:p w14:paraId="416EC56C" w14:textId="77777777" w:rsidR="007B7154" w:rsidRPr="009B6A13" w:rsidRDefault="007B7154" w:rsidP="007B7154">
      <w:pPr>
        <w:spacing w:line="240" w:lineRule="auto"/>
        <w:rPr>
          <w:rFonts w:ascii="Century Gothic" w:hAnsi="Century Gothic" w:cstheme="majorHAnsi"/>
          <w:sz w:val="22"/>
          <w:szCs w:val="22"/>
        </w:rPr>
      </w:pPr>
      <w:r w:rsidRPr="009B6A13">
        <w:rPr>
          <w:rFonts w:ascii="Century Gothic" w:hAnsi="Century Gothic" w:cstheme="majorHAnsi"/>
          <w:sz w:val="22"/>
          <w:szCs w:val="22"/>
        </w:rPr>
        <w:t>Atomizovaná vízia: definovanie medicínskych potrieb – Chirurgické oddelenie:</w:t>
      </w:r>
    </w:p>
    <w:p w14:paraId="519884CB" w14:textId="229C937C" w:rsidR="007B7154" w:rsidRDefault="007B7154" w:rsidP="007B7154">
      <w:pPr>
        <w:spacing w:line="240" w:lineRule="auto"/>
        <w:rPr>
          <w:rFonts w:ascii="Century Gothic" w:hAnsi="Century Gothic" w:cstheme="majorHAnsi"/>
        </w:rPr>
      </w:pPr>
      <w:r>
        <w:rPr>
          <w:noProof/>
        </w:rPr>
        <w:lastRenderedPageBreak/>
        <w:drawing>
          <wp:inline distT="0" distB="0" distL="0" distR="0" wp14:anchorId="2A9DCF89" wp14:editId="032F790A">
            <wp:extent cx="5760720" cy="2741930"/>
            <wp:effectExtent l="0" t="0" r="0" b="1270"/>
            <wp:docPr id="93" name="Obrázo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741930"/>
                    </a:xfrm>
                    <a:prstGeom prst="rect">
                      <a:avLst/>
                    </a:prstGeom>
                  </pic:spPr>
                </pic:pic>
              </a:graphicData>
            </a:graphic>
          </wp:inline>
        </w:drawing>
      </w:r>
    </w:p>
    <w:p w14:paraId="6BD2C7DF" w14:textId="21A82940" w:rsidR="00767DCE" w:rsidRPr="00767DCE" w:rsidRDefault="00767DCE" w:rsidP="007B7154">
      <w:pPr>
        <w:spacing w:line="240" w:lineRule="auto"/>
        <w:rPr>
          <w:rFonts w:ascii="Century Gothic" w:hAnsi="Century Gothic" w:cstheme="majorHAnsi"/>
          <w:i/>
          <w:sz w:val="20"/>
          <w:szCs w:val="20"/>
        </w:rPr>
      </w:pPr>
      <w:r w:rsidRPr="00767DCE">
        <w:rPr>
          <w:rFonts w:ascii="Century Gothic" w:hAnsi="Century Gothic" w:cstheme="majorHAnsi"/>
          <w:i/>
          <w:sz w:val="20"/>
          <w:szCs w:val="20"/>
        </w:rPr>
        <w:t xml:space="preserve">Zdroj: vlastné spracovanie </w:t>
      </w:r>
    </w:p>
    <w:p w14:paraId="535E26D0" w14:textId="77777777" w:rsidR="00A62CD9" w:rsidRDefault="00A62CD9" w:rsidP="007B7154">
      <w:pPr>
        <w:spacing w:line="240" w:lineRule="auto"/>
        <w:rPr>
          <w:rFonts w:ascii="Century Gothic" w:hAnsi="Century Gothic"/>
          <w:b/>
        </w:rPr>
      </w:pPr>
    </w:p>
    <w:p w14:paraId="0D7513D9" w14:textId="77777777" w:rsidR="007B7154" w:rsidRPr="00E0451E"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34" w:name="_Toc145219965"/>
      <w:r w:rsidRPr="00E0451E">
        <w:rPr>
          <w:rFonts w:ascii="Century Gothic" w:hAnsi="Century Gothic" w:cs="Calibri Light"/>
          <w:b w:val="0"/>
          <w:bCs w:val="0"/>
          <w:color w:val="365F91" w:themeColor="accent1" w:themeShade="BF"/>
          <w:lang w:eastAsia="en-US"/>
        </w:rPr>
        <w:t>Cieľové skupiny</w:t>
      </w:r>
      <w:bookmarkEnd w:id="134"/>
    </w:p>
    <w:p w14:paraId="5F871C62" w14:textId="77777777" w:rsidR="007B7154" w:rsidRPr="0030252F" w:rsidRDefault="007B7154" w:rsidP="007B7154">
      <w:pPr>
        <w:spacing w:line="240" w:lineRule="auto"/>
        <w:rPr>
          <w:rFonts w:ascii="Century Gothic" w:hAnsi="Century Gothic"/>
          <w:b/>
        </w:rPr>
      </w:pPr>
    </w:p>
    <w:p w14:paraId="5D58D06A"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Hlavnými cieľovými skupinami </w:t>
      </w:r>
      <w:proofErr w:type="spellStart"/>
      <w:r w:rsidRPr="009B6A13">
        <w:rPr>
          <w:rFonts w:ascii="Century Gothic" w:hAnsi="Century Gothic" w:cstheme="minorHAnsi"/>
          <w:color w:val="000000"/>
          <w:sz w:val="22"/>
          <w:szCs w:val="22"/>
        </w:rPr>
        <w:t>FNsP</w:t>
      </w:r>
      <w:proofErr w:type="spellEnd"/>
      <w:r w:rsidRPr="009B6A13">
        <w:rPr>
          <w:rFonts w:ascii="Century Gothic" w:hAnsi="Century Gothic" w:cstheme="minorHAnsi"/>
          <w:color w:val="000000"/>
          <w:sz w:val="22"/>
          <w:szCs w:val="22"/>
        </w:rPr>
        <w:t xml:space="preserve"> Žilina budú: </w:t>
      </w:r>
    </w:p>
    <w:p w14:paraId="3340532B"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p>
    <w:p w14:paraId="45C3583C" w14:textId="77777777" w:rsidR="007B7154" w:rsidRPr="009B6A13" w:rsidRDefault="007B7154" w:rsidP="002A5F23">
      <w:pPr>
        <w:pStyle w:val="Odsekzoznamu"/>
        <w:numPr>
          <w:ilvl w:val="0"/>
          <w:numId w:val="19"/>
        </w:numPr>
        <w:autoSpaceDE w:val="0"/>
        <w:autoSpaceDN w:val="0"/>
        <w:adjustRightInd w:val="0"/>
        <w:spacing w:line="240" w:lineRule="auto"/>
        <w:jc w:val="left"/>
        <w:rPr>
          <w:rFonts w:ascii="Century Gothic" w:hAnsi="Century Gothic" w:cstheme="minorHAnsi"/>
          <w:b/>
          <w:color w:val="000000"/>
          <w:sz w:val="22"/>
          <w:szCs w:val="22"/>
        </w:rPr>
      </w:pPr>
      <w:r w:rsidRPr="009B6A13">
        <w:rPr>
          <w:rFonts w:ascii="Century Gothic" w:hAnsi="Century Gothic" w:cstheme="minorHAnsi"/>
          <w:b/>
          <w:color w:val="000000"/>
          <w:sz w:val="22"/>
          <w:szCs w:val="22"/>
        </w:rPr>
        <w:t xml:space="preserve">Pacienti / klienti nemocnice </w:t>
      </w:r>
    </w:p>
    <w:p w14:paraId="721CD7CD"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p>
    <w:p w14:paraId="578FC3CA" w14:textId="77777777" w:rsidR="007B7154" w:rsidRPr="009B6A13" w:rsidRDefault="007B7154" w:rsidP="002A5F23">
      <w:pPr>
        <w:pStyle w:val="Odsekzoznamu"/>
        <w:numPr>
          <w:ilvl w:val="0"/>
          <w:numId w:val="19"/>
        </w:numPr>
        <w:autoSpaceDE w:val="0"/>
        <w:autoSpaceDN w:val="0"/>
        <w:adjustRightInd w:val="0"/>
        <w:spacing w:line="240" w:lineRule="auto"/>
        <w:jc w:val="left"/>
        <w:rPr>
          <w:rFonts w:ascii="Century Gothic" w:hAnsi="Century Gothic" w:cstheme="minorHAnsi"/>
          <w:b/>
          <w:color w:val="000000"/>
          <w:sz w:val="22"/>
          <w:szCs w:val="22"/>
        </w:rPr>
      </w:pPr>
      <w:r w:rsidRPr="009B6A13">
        <w:rPr>
          <w:rFonts w:ascii="Century Gothic" w:hAnsi="Century Gothic" w:cstheme="minorHAnsi"/>
          <w:b/>
          <w:color w:val="000000"/>
          <w:sz w:val="22"/>
          <w:szCs w:val="22"/>
        </w:rPr>
        <w:t xml:space="preserve">Zamestnanci nemocnice a zdravotnícki pracovníci v rôznych profesiách: </w:t>
      </w:r>
    </w:p>
    <w:p w14:paraId="41570103"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lekár,</w:t>
      </w:r>
    </w:p>
    <w:p w14:paraId="41CEA7C2"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zdravotnícky záchranár, </w:t>
      </w:r>
    </w:p>
    <w:p w14:paraId="300684E2"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zubný lekár,</w:t>
      </w:r>
    </w:p>
    <w:p w14:paraId="0524AFEA"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zubný technik, </w:t>
      </w:r>
    </w:p>
    <w:p w14:paraId="6B7D675E"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farmaceut, </w:t>
      </w:r>
    </w:p>
    <w:p w14:paraId="44F3664D"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technik pre zdravotnícke pomôcky, </w:t>
      </w:r>
    </w:p>
    <w:p w14:paraId="48A87A34"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sestra, </w:t>
      </w:r>
    </w:p>
    <w:p w14:paraId="0264FBC1"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proofErr w:type="spellStart"/>
      <w:r w:rsidRPr="009B6A13">
        <w:rPr>
          <w:rFonts w:ascii="Century Gothic" w:hAnsi="Century Gothic" w:cstheme="minorHAnsi"/>
          <w:color w:val="000000"/>
          <w:sz w:val="22"/>
          <w:szCs w:val="22"/>
        </w:rPr>
        <w:t>optometrista</w:t>
      </w:r>
      <w:proofErr w:type="spellEnd"/>
      <w:r w:rsidRPr="009B6A13">
        <w:rPr>
          <w:rFonts w:ascii="Century Gothic" w:hAnsi="Century Gothic" w:cstheme="minorHAnsi"/>
          <w:color w:val="000000"/>
          <w:sz w:val="22"/>
          <w:szCs w:val="22"/>
        </w:rPr>
        <w:t xml:space="preserve">, </w:t>
      </w:r>
    </w:p>
    <w:p w14:paraId="771ACCF0"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pôrodná asistentka,</w:t>
      </w:r>
    </w:p>
    <w:p w14:paraId="5A350B60"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farmaceutický laborant, </w:t>
      </w:r>
    </w:p>
    <w:p w14:paraId="400239EB"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fyzioterapeut, </w:t>
      </w:r>
    </w:p>
    <w:p w14:paraId="3074B042"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masér, </w:t>
      </w:r>
    </w:p>
    <w:p w14:paraId="079A9D2F"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verejný zdravotník, </w:t>
      </w:r>
    </w:p>
    <w:p w14:paraId="518CD94F"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očný optik, </w:t>
      </w:r>
    </w:p>
    <w:p w14:paraId="23797F3F"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zdravotnícky laborant, </w:t>
      </w:r>
    </w:p>
    <w:p w14:paraId="07135BAC"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ortopedický technik, </w:t>
      </w:r>
    </w:p>
    <w:p w14:paraId="0CB0896A"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nutričný terapeut, </w:t>
      </w:r>
    </w:p>
    <w:p w14:paraId="6B945643"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zdravotnícky asistent, </w:t>
      </w:r>
    </w:p>
    <w:p w14:paraId="34BE2F5E"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dentálna hygienička, </w:t>
      </w:r>
    </w:p>
    <w:p w14:paraId="7F2BF9B1"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zubný asistent, </w:t>
      </w:r>
    </w:p>
    <w:p w14:paraId="5517059E"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rádiologický technik, </w:t>
      </w:r>
    </w:p>
    <w:p w14:paraId="6F3F6439"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sanitár, </w:t>
      </w:r>
    </w:p>
    <w:p w14:paraId="6DF4D923"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logopéd, </w:t>
      </w:r>
    </w:p>
    <w:p w14:paraId="653B0C6C"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psychológ, </w:t>
      </w:r>
    </w:p>
    <w:p w14:paraId="25587D0D"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liečebný pedagóg,</w:t>
      </w:r>
    </w:p>
    <w:p w14:paraId="4EC23230" w14:textId="77777777" w:rsidR="007B7154" w:rsidRPr="009B6A13" w:rsidRDefault="007B7154" w:rsidP="002A5F23">
      <w:pPr>
        <w:pStyle w:val="Odsekzoznamu"/>
        <w:numPr>
          <w:ilvl w:val="0"/>
          <w:numId w:val="20"/>
        </w:numPr>
        <w:autoSpaceDE w:val="0"/>
        <w:autoSpaceDN w:val="0"/>
        <w:adjustRightInd w:val="0"/>
        <w:spacing w:line="240" w:lineRule="auto"/>
        <w:jc w:val="left"/>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fyzik alebo laboratórny diagnostik v zdravotníckom zariadení. </w:t>
      </w:r>
    </w:p>
    <w:p w14:paraId="07C2C61F" w14:textId="77777777" w:rsidR="007B7154" w:rsidRPr="009B6A13" w:rsidRDefault="007B7154" w:rsidP="002A5F23">
      <w:pPr>
        <w:pStyle w:val="Odsekzoznamu"/>
        <w:numPr>
          <w:ilvl w:val="0"/>
          <w:numId w:val="19"/>
        </w:numPr>
        <w:autoSpaceDE w:val="0"/>
        <w:autoSpaceDN w:val="0"/>
        <w:adjustRightInd w:val="0"/>
        <w:spacing w:line="240" w:lineRule="auto"/>
        <w:jc w:val="left"/>
        <w:rPr>
          <w:rFonts w:ascii="Century Gothic" w:hAnsi="Century Gothic" w:cstheme="minorHAnsi"/>
          <w:b/>
          <w:color w:val="000000"/>
          <w:sz w:val="22"/>
          <w:szCs w:val="22"/>
        </w:rPr>
      </w:pPr>
      <w:r w:rsidRPr="009B6A13">
        <w:rPr>
          <w:rFonts w:ascii="Century Gothic" w:hAnsi="Century Gothic" w:cstheme="minorHAnsi"/>
          <w:b/>
          <w:color w:val="000000"/>
          <w:sz w:val="22"/>
          <w:szCs w:val="22"/>
        </w:rPr>
        <w:lastRenderedPageBreak/>
        <w:t xml:space="preserve">Dočasní a príležitostní vykonávatelia zdravotníckeho povolania - dočasná odborná stáž </w:t>
      </w:r>
    </w:p>
    <w:p w14:paraId="563756C5" w14:textId="4D2B8DFE" w:rsidR="007B7154" w:rsidRDefault="007B7154" w:rsidP="007B7154">
      <w:pPr>
        <w:spacing w:line="240" w:lineRule="auto"/>
        <w:rPr>
          <w:rFonts w:ascii="Century Gothic" w:hAnsi="Century Gothic"/>
          <w:b/>
        </w:rPr>
      </w:pPr>
    </w:p>
    <w:p w14:paraId="2408B6A9" w14:textId="77777777" w:rsidR="007B7154" w:rsidRPr="009B6A13"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35" w:name="_Toc145219966"/>
      <w:r w:rsidRPr="009B6A13">
        <w:rPr>
          <w:rFonts w:ascii="Century Gothic" w:hAnsi="Century Gothic" w:cs="Calibri Light"/>
          <w:b w:val="0"/>
          <w:bCs w:val="0"/>
          <w:color w:val="365F91" w:themeColor="accent1" w:themeShade="BF"/>
          <w:lang w:eastAsia="en-US"/>
        </w:rPr>
        <w:t>Súlad so strategickými dokumentmi</w:t>
      </w:r>
      <w:bookmarkEnd w:id="135"/>
    </w:p>
    <w:p w14:paraId="7D5424DE" w14:textId="77777777" w:rsidR="007B7154" w:rsidRPr="009B6A13" w:rsidRDefault="007B7154" w:rsidP="007B7154">
      <w:pPr>
        <w:spacing w:line="240" w:lineRule="auto"/>
        <w:rPr>
          <w:rFonts w:ascii="Century Gothic" w:hAnsi="Century Gothic" w:cstheme="majorHAnsi"/>
        </w:rPr>
      </w:pPr>
    </w:p>
    <w:p w14:paraId="201750B0" w14:textId="3D07D9CE"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Koncept </w:t>
      </w:r>
      <w:r w:rsidR="007756C0">
        <w:rPr>
          <w:rFonts w:ascii="Century Gothic" w:hAnsi="Century Gothic" w:cstheme="majorHAnsi"/>
          <w:bCs/>
          <w:sz w:val="22"/>
          <w:szCs w:val="22"/>
        </w:rPr>
        <w:t>n</w:t>
      </w:r>
      <w:r w:rsidRPr="009B6A13">
        <w:rPr>
          <w:rFonts w:ascii="Century Gothic" w:hAnsi="Century Gothic" w:cstheme="majorHAnsi"/>
          <w:bCs/>
          <w:sz w:val="22"/>
          <w:szCs w:val="22"/>
        </w:rPr>
        <w:t xml:space="preserve">ového </w:t>
      </w:r>
      <w:r w:rsidR="007756C0">
        <w:rPr>
          <w:rFonts w:ascii="Century Gothic" w:hAnsi="Century Gothic" w:cstheme="majorHAnsi"/>
          <w:bCs/>
          <w:sz w:val="22"/>
          <w:szCs w:val="22"/>
        </w:rPr>
        <w:t>P</w:t>
      </w:r>
      <w:r w:rsidRPr="009B6A13">
        <w:rPr>
          <w:rFonts w:ascii="Century Gothic" w:hAnsi="Century Gothic" w:cstheme="majorHAnsi"/>
          <w:bCs/>
          <w:sz w:val="22"/>
          <w:szCs w:val="22"/>
        </w:rPr>
        <w:t>avilónu urgentnej medicíny v Žiline</w:t>
      </w:r>
      <w:r w:rsidRPr="009B6A13">
        <w:rPr>
          <w:rFonts w:ascii="Century Gothic" w:hAnsi="Century Gothic" w:cstheme="majorHAnsi"/>
          <w:b/>
          <w:bCs/>
          <w:sz w:val="22"/>
          <w:szCs w:val="22"/>
        </w:rPr>
        <w:t xml:space="preserve"> </w:t>
      </w:r>
      <w:r w:rsidRPr="009B6A13">
        <w:rPr>
          <w:rFonts w:ascii="Century Gothic" w:hAnsi="Century Gothic" w:cstheme="minorHAnsi"/>
          <w:color w:val="000000"/>
          <w:sz w:val="22"/>
          <w:szCs w:val="22"/>
        </w:rPr>
        <w:t>je v súlade s týmito dokumentmi:</w:t>
      </w:r>
    </w:p>
    <w:p w14:paraId="397F231D"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p>
    <w:p w14:paraId="5D72EBB2" w14:textId="77777777" w:rsidR="007B7154" w:rsidRPr="009B6A13" w:rsidRDefault="007B7154" w:rsidP="002A5F23">
      <w:pPr>
        <w:pStyle w:val="Odsekzoznamu"/>
        <w:numPr>
          <w:ilvl w:val="0"/>
          <w:numId w:val="16"/>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323232"/>
          <w:sz w:val="22"/>
          <w:szCs w:val="22"/>
        </w:rPr>
        <w:t xml:space="preserve">Globálna stratégia Organizácie spojených národov </w:t>
      </w:r>
      <w:r w:rsidRPr="009B6A13">
        <w:rPr>
          <w:rFonts w:ascii="Century Gothic" w:hAnsi="Century Gothic" w:cstheme="minorHAnsi"/>
          <w:iCs/>
          <w:color w:val="323232"/>
          <w:sz w:val="22"/>
          <w:szCs w:val="22"/>
        </w:rPr>
        <w:t>Agenda 2030 pre udržateľný rozvoj</w:t>
      </w:r>
    </w:p>
    <w:p w14:paraId="1CC8F58A" w14:textId="77777777" w:rsidR="007B7154" w:rsidRPr="009B6A13" w:rsidRDefault="007B7154" w:rsidP="002A5F23">
      <w:pPr>
        <w:pStyle w:val="Odsekzoznamu"/>
        <w:numPr>
          <w:ilvl w:val="0"/>
          <w:numId w:val="16"/>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iCs/>
          <w:sz w:val="22"/>
          <w:szCs w:val="22"/>
        </w:rPr>
        <w:t>Vízia a stratégia rozvoja Slovenska do roku 2030.</w:t>
      </w:r>
      <w:r w:rsidRPr="009B6A13">
        <w:rPr>
          <w:rFonts w:ascii="Century Gothic" w:hAnsi="Century Gothic" w:cstheme="minorHAnsi"/>
          <w:iCs/>
          <w:color w:val="323232"/>
          <w:sz w:val="22"/>
          <w:szCs w:val="22"/>
        </w:rPr>
        <w:t xml:space="preserve"> </w:t>
      </w:r>
    </w:p>
    <w:p w14:paraId="64807BDC" w14:textId="77777777" w:rsidR="007B7154" w:rsidRPr="009B6A13" w:rsidRDefault="007B7154" w:rsidP="002A5F23">
      <w:pPr>
        <w:pStyle w:val="Odsekzoznamu"/>
        <w:numPr>
          <w:ilvl w:val="0"/>
          <w:numId w:val="16"/>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sz w:val="22"/>
          <w:szCs w:val="22"/>
        </w:rPr>
        <w:t>Zdravie 2020 (</w:t>
      </w:r>
      <w:proofErr w:type="spellStart"/>
      <w:r w:rsidRPr="009B6A13">
        <w:rPr>
          <w:rFonts w:ascii="Century Gothic" w:hAnsi="Century Gothic" w:cstheme="minorHAnsi"/>
          <w:sz w:val="22"/>
          <w:szCs w:val="22"/>
        </w:rPr>
        <w:t>Health</w:t>
      </w:r>
      <w:proofErr w:type="spellEnd"/>
      <w:r w:rsidRPr="009B6A13">
        <w:rPr>
          <w:rFonts w:ascii="Century Gothic" w:hAnsi="Century Gothic" w:cstheme="minorHAnsi"/>
          <w:sz w:val="22"/>
          <w:szCs w:val="22"/>
        </w:rPr>
        <w:t xml:space="preserve"> 2020).</w:t>
      </w:r>
    </w:p>
    <w:p w14:paraId="301C80C3" w14:textId="77777777" w:rsidR="007B7154" w:rsidRPr="009B6A13" w:rsidRDefault="007B7154" w:rsidP="002A5F23">
      <w:pPr>
        <w:pStyle w:val="Odsekzoznamu"/>
        <w:numPr>
          <w:ilvl w:val="0"/>
          <w:numId w:val="16"/>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bCs/>
          <w:sz w:val="22"/>
          <w:szCs w:val="22"/>
        </w:rPr>
        <w:t>Strategický rámec starostlivosti o zdravie pre roky 2013 – 2030.</w:t>
      </w:r>
    </w:p>
    <w:p w14:paraId="50848A83" w14:textId="0D86018B" w:rsidR="007B7154" w:rsidRDefault="007B7154" w:rsidP="007B7154">
      <w:pPr>
        <w:autoSpaceDE w:val="0"/>
        <w:autoSpaceDN w:val="0"/>
        <w:adjustRightInd w:val="0"/>
        <w:spacing w:line="240" w:lineRule="auto"/>
        <w:rPr>
          <w:rFonts w:ascii="Century Gothic" w:hAnsi="Century Gothic" w:cstheme="minorHAnsi"/>
          <w:color w:val="000000"/>
          <w:sz w:val="22"/>
          <w:szCs w:val="22"/>
        </w:rPr>
      </w:pPr>
    </w:p>
    <w:p w14:paraId="7F247B89" w14:textId="22AEDD80" w:rsidR="00DC5404" w:rsidRPr="00DC5404" w:rsidRDefault="00DC5404" w:rsidP="00DC5404">
      <w:pPr>
        <w:autoSpaceDE w:val="0"/>
        <w:autoSpaceDN w:val="0"/>
        <w:adjustRightInd w:val="0"/>
        <w:spacing w:line="240" w:lineRule="auto"/>
        <w:rPr>
          <w:rFonts w:ascii="Century Gothic" w:hAnsi="Century Gothic" w:cstheme="minorHAnsi"/>
          <w:color w:val="000000"/>
          <w:sz w:val="22"/>
          <w:szCs w:val="22"/>
        </w:rPr>
      </w:pPr>
      <w:r w:rsidRPr="00DC5404">
        <w:rPr>
          <w:rFonts w:ascii="Century Gothic" w:hAnsi="Century Gothic" w:cstheme="minorHAnsi"/>
          <w:color w:val="000000"/>
          <w:sz w:val="22"/>
          <w:szCs w:val="22"/>
        </w:rPr>
        <w:t>V globálnej stratégii Organizácie</w:t>
      </w:r>
      <w:r>
        <w:rPr>
          <w:rFonts w:ascii="Century Gothic" w:hAnsi="Century Gothic" w:cstheme="minorHAnsi"/>
          <w:color w:val="000000"/>
          <w:sz w:val="22"/>
          <w:szCs w:val="22"/>
        </w:rPr>
        <w:t xml:space="preserve"> spojených národov </w:t>
      </w:r>
      <w:r w:rsidRPr="00DC5404">
        <w:rPr>
          <w:rFonts w:ascii="Century Gothic" w:hAnsi="Century Gothic" w:cstheme="minorHAnsi"/>
          <w:color w:val="000000"/>
          <w:sz w:val="22"/>
          <w:szCs w:val="22"/>
        </w:rPr>
        <w:t xml:space="preserve">Agenda 2030 pre udržateľný rozvoj v rámci 17 </w:t>
      </w:r>
      <w:proofErr w:type="spellStart"/>
      <w:r w:rsidRPr="00DC5404">
        <w:rPr>
          <w:rFonts w:ascii="Century Gothic" w:hAnsi="Century Gothic" w:cstheme="minorHAnsi"/>
          <w:color w:val="000000"/>
          <w:sz w:val="22"/>
          <w:szCs w:val="22"/>
        </w:rPr>
        <w:t>t</w:t>
      </w:r>
      <w:r w:rsidR="007756C0">
        <w:rPr>
          <w:rFonts w:ascii="Century Gothic" w:hAnsi="Century Gothic" w:cstheme="minorHAnsi"/>
          <w:color w:val="000000"/>
          <w:sz w:val="22"/>
          <w:szCs w:val="22"/>
        </w:rPr>
        <w:t>é</w:t>
      </w:r>
      <w:r w:rsidRPr="00DC5404">
        <w:rPr>
          <w:rFonts w:ascii="Century Gothic" w:hAnsi="Century Gothic" w:cstheme="minorHAnsi"/>
          <w:color w:val="000000"/>
          <w:sz w:val="22"/>
          <w:szCs w:val="22"/>
        </w:rPr>
        <w:t>matických</w:t>
      </w:r>
      <w:proofErr w:type="spellEnd"/>
      <w:r w:rsidRPr="00DC5404">
        <w:rPr>
          <w:rFonts w:ascii="Century Gothic" w:hAnsi="Century Gothic" w:cstheme="minorHAnsi"/>
          <w:color w:val="000000"/>
          <w:sz w:val="22"/>
          <w:szCs w:val="22"/>
        </w:rPr>
        <w:t xml:space="preserve"> oblastí sú viaceré čiastkové ciele, ktoré sa podstatne týkajú aj zdravia. Sú to najmä: </w:t>
      </w:r>
    </w:p>
    <w:p w14:paraId="35A422AB" w14:textId="1CC8E2F3"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DC5404">
        <w:rPr>
          <w:rFonts w:ascii="Century Gothic" w:hAnsi="Century Gothic" w:cstheme="minorHAnsi"/>
          <w:bCs/>
          <w:sz w:val="22"/>
          <w:szCs w:val="22"/>
        </w:rPr>
        <w:t>Zdravie počas celého života (zdravie matiek, novorodencov, reprodukč</w:t>
      </w:r>
      <w:r>
        <w:rPr>
          <w:rFonts w:ascii="Century Gothic" w:hAnsi="Century Gothic" w:cstheme="minorHAnsi"/>
          <w:bCs/>
          <w:sz w:val="22"/>
          <w:szCs w:val="22"/>
        </w:rPr>
        <w:t>né zdravie, zdravie migrantov).</w:t>
      </w:r>
    </w:p>
    <w:p w14:paraId="74D2C32C" w14:textId="0BEB8F51"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DC5404">
        <w:rPr>
          <w:rFonts w:ascii="Century Gothic" w:hAnsi="Century Gothic" w:cstheme="minorHAnsi"/>
          <w:bCs/>
          <w:sz w:val="22"/>
          <w:szCs w:val="22"/>
        </w:rPr>
        <w:t>Infekčné choroby (ukončenie epidémií najvýznamnejších infekčných chorôb – AIDS, TBC, malária, tropické choroby, hepatitída, vodou a inak prenosné oc</w:t>
      </w:r>
      <w:r>
        <w:rPr>
          <w:rFonts w:ascii="Century Gothic" w:hAnsi="Century Gothic" w:cstheme="minorHAnsi"/>
          <w:bCs/>
          <w:sz w:val="22"/>
          <w:szCs w:val="22"/>
        </w:rPr>
        <w:t>horenia).</w:t>
      </w:r>
    </w:p>
    <w:p w14:paraId="54967302" w14:textId="284ED0B6"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DC5404">
        <w:rPr>
          <w:rFonts w:ascii="Century Gothic" w:hAnsi="Century Gothic" w:cstheme="minorHAnsi"/>
          <w:bCs/>
          <w:sz w:val="22"/>
          <w:szCs w:val="22"/>
        </w:rPr>
        <w:t>Zranenia a násilie (znižovanie úmrtí a zranení spôsobných dopravnými nehodami, násilie a zvlá</w:t>
      </w:r>
      <w:r>
        <w:rPr>
          <w:rFonts w:ascii="Century Gothic" w:hAnsi="Century Gothic" w:cstheme="minorHAnsi"/>
          <w:bCs/>
          <w:sz w:val="22"/>
          <w:szCs w:val="22"/>
        </w:rPr>
        <w:t>šť násilie na ženách a deťoch).</w:t>
      </w:r>
    </w:p>
    <w:p w14:paraId="2AC6EFAA" w14:textId="6B707C94"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DC5404">
        <w:rPr>
          <w:rFonts w:ascii="Century Gothic" w:hAnsi="Century Gothic" w:cstheme="minorHAnsi"/>
          <w:bCs/>
          <w:sz w:val="22"/>
          <w:szCs w:val="22"/>
        </w:rPr>
        <w:t>Neprenosné choroby, duševné zdravie a (</w:t>
      </w:r>
      <w:proofErr w:type="spellStart"/>
      <w:r w:rsidRPr="00DC5404">
        <w:rPr>
          <w:rFonts w:ascii="Century Gothic" w:hAnsi="Century Gothic" w:cstheme="minorHAnsi"/>
          <w:bCs/>
          <w:sz w:val="22"/>
          <w:szCs w:val="22"/>
        </w:rPr>
        <w:t>behaviorálne</w:t>
      </w:r>
      <w:proofErr w:type="spellEnd"/>
      <w:r w:rsidRPr="00DC5404">
        <w:rPr>
          <w:rFonts w:ascii="Century Gothic" w:hAnsi="Century Gothic" w:cstheme="minorHAnsi"/>
          <w:bCs/>
          <w:sz w:val="22"/>
          <w:szCs w:val="22"/>
        </w:rPr>
        <w:t>) rizikové faktory (odvrátiteľné a predčasné úmrtia, prevencia a liečba závislostí na návykových a omamných látkach, alkoholizmus, t</w:t>
      </w:r>
      <w:r>
        <w:rPr>
          <w:rFonts w:ascii="Century Gothic" w:hAnsi="Century Gothic" w:cstheme="minorHAnsi"/>
          <w:bCs/>
          <w:sz w:val="22"/>
          <w:szCs w:val="22"/>
        </w:rPr>
        <w:t>abakizmus, podvýživa, obezita).</w:t>
      </w:r>
    </w:p>
    <w:p w14:paraId="2CE521BA" w14:textId="3B7EAB6C"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DC5404">
        <w:rPr>
          <w:rFonts w:ascii="Century Gothic" w:hAnsi="Century Gothic" w:cstheme="minorHAnsi"/>
          <w:bCs/>
          <w:sz w:val="22"/>
          <w:szCs w:val="22"/>
        </w:rPr>
        <w:t>Systémy zdravotnej starostlivosti a univerzálne zdravotné poistenie (prístup ku kvalitným základným službám ZS; prístup k bezpečným, účinným, kvalitným a cenovo dostupným základným liekom a vakcínam pre všetkých; výskum a vývoj liekov a vakcín; zvýšenie financovania zdravotníctva, výpomoc pri príprave profesionálo</w:t>
      </w:r>
      <w:r>
        <w:rPr>
          <w:rFonts w:ascii="Century Gothic" w:hAnsi="Century Gothic" w:cstheme="minorHAnsi"/>
          <w:bCs/>
          <w:sz w:val="22"/>
          <w:szCs w:val="22"/>
        </w:rPr>
        <w:t>v pre menej rozvinuté krajiny).</w:t>
      </w:r>
    </w:p>
    <w:p w14:paraId="6D4BB5A8" w14:textId="2C085B57"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Pr>
          <w:rFonts w:ascii="Century Gothic" w:hAnsi="Century Gothic" w:cstheme="minorHAnsi"/>
          <w:bCs/>
          <w:sz w:val="22"/>
          <w:szCs w:val="22"/>
        </w:rPr>
        <w:t>Životné prostredie a zdravie.</w:t>
      </w:r>
    </w:p>
    <w:p w14:paraId="0C84ED1D" w14:textId="0D8B0570" w:rsidR="00DC5404" w:rsidRPr="00DC5404" w:rsidRDefault="00DC5404" w:rsidP="00DC5404">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DC5404">
        <w:rPr>
          <w:rFonts w:ascii="Century Gothic" w:hAnsi="Century Gothic" w:cstheme="minorHAnsi"/>
          <w:bCs/>
          <w:sz w:val="22"/>
          <w:szCs w:val="22"/>
        </w:rPr>
        <w:t>Pripravenosť na mimoriadne situácie a katastrofy (posilnenie kapacít včasného varovania, zní</w:t>
      </w:r>
      <w:r>
        <w:rPr>
          <w:rFonts w:ascii="Century Gothic" w:hAnsi="Century Gothic" w:cstheme="minorHAnsi"/>
          <w:bCs/>
          <w:sz w:val="22"/>
          <w:szCs w:val="22"/>
        </w:rPr>
        <w:t>ženia rizika a riadenia rizík).</w:t>
      </w:r>
    </w:p>
    <w:p w14:paraId="62892768" w14:textId="77777777" w:rsidR="00DC5404" w:rsidRDefault="00DC5404" w:rsidP="00DC5404">
      <w:pPr>
        <w:pStyle w:val="Default"/>
        <w:rPr>
          <w:sz w:val="23"/>
          <w:szCs w:val="23"/>
        </w:rPr>
      </w:pPr>
    </w:p>
    <w:p w14:paraId="68F5DD67" w14:textId="5462795C" w:rsidR="00DC5404" w:rsidRDefault="00DC5404" w:rsidP="00DC5404">
      <w:pPr>
        <w:autoSpaceDE w:val="0"/>
        <w:autoSpaceDN w:val="0"/>
        <w:adjustRightInd w:val="0"/>
        <w:spacing w:line="240" w:lineRule="auto"/>
        <w:rPr>
          <w:rFonts w:ascii="Century Gothic" w:eastAsiaTheme="minorHAnsi" w:hAnsi="Century Gothic" w:cstheme="minorBidi"/>
          <w:sz w:val="22"/>
          <w:szCs w:val="22"/>
          <w:lang w:eastAsia="en-US"/>
        </w:rPr>
      </w:pPr>
      <w:r w:rsidRPr="00DC5404">
        <w:rPr>
          <w:rFonts w:ascii="Century Gothic" w:eastAsiaTheme="minorHAnsi" w:hAnsi="Century Gothic" w:cstheme="minorBidi"/>
          <w:sz w:val="22"/>
          <w:szCs w:val="22"/>
          <w:lang w:eastAsia="en-US"/>
        </w:rPr>
        <w:t>V kvantifikovaných čiastkových cieľoch Slovensko viaceré parametre na národnej úrovni spĺňa, zamerať sa musí však na rizikové skupiny a marginalizované a vylúčené rómske komunity.</w:t>
      </w:r>
    </w:p>
    <w:p w14:paraId="60D6A1DA" w14:textId="77777777" w:rsidR="00DC5404" w:rsidRPr="00DC5404" w:rsidRDefault="00DC5404" w:rsidP="00DC5404">
      <w:pPr>
        <w:autoSpaceDE w:val="0"/>
        <w:autoSpaceDN w:val="0"/>
        <w:adjustRightInd w:val="0"/>
        <w:spacing w:line="240" w:lineRule="auto"/>
        <w:rPr>
          <w:rFonts w:ascii="Century Gothic" w:eastAsiaTheme="minorHAnsi" w:hAnsi="Century Gothic" w:cstheme="minorBidi"/>
          <w:sz w:val="22"/>
          <w:szCs w:val="22"/>
          <w:lang w:eastAsia="en-US"/>
        </w:rPr>
      </w:pPr>
    </w:p>
    <w:p w14:paraId="07C29CFC" w14:textId="77777777" w:rsidR="007B7154" w:rsidRPr="009B6A13" w:rsidRDefault="007B7154" w:rsidP="007B7154">
      <w:pPr>
        <w:pStyle w:val="Default"/>
        <w:jc w:val="both"/>
        <w:rPr>
          <w:rFonts w:ascii="Century Gothic" w:hAnsi="Century Gothic" w:cstheme="minorBidi"/>
          <w:color w:val="auto"/>
          <w:sz w:val="22"/>
          <w:szCs w:val="22"/>
        </w:rPr>
      </w:pPr>
      <w:r w:rsidRPr="009B6A13">
        <w:rPr>
          <w:rFonts w:ascii="Century Gothic" w:hAnsi="Century Gothic" w:cstheme="minorBidi"/>
          <w:color w:val="auto"/>
          <w:sz w:val="22"/>
          <w:szCs w:val="22"/>
        </w:rPr>
        <w:t xml:space="preserve">Slovenská reakcia na globálnu stratégiu Agenda 2030 určila Dobré zdravie ako jednu z užších prioritných oblastí. V decembri 2020 prijatá Vízia a stratégia rozvoja Slovenska do roku 2030, ktorá okrem iného stanovuje: </w:t>
      </w:r>
    </w:p>
    <w:p w14:paraId="500D1768"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Zlepšiť zdravotný stav a dĺžku aktívneho života populácie.</w:t>
      </w:r>
    </w:p>
    <w:p w14:paraId="2147E2E6"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Zabezpečiť dostupnosť kvalitnej zdravotnej starostlivosti na celom území Slovenska vrátane adekvátneho personálneho, finančného a technického zabezpečenia vrátane podpory poskytovania zdravotnej starostlivosti aj digitálnymi technológiami.</w:t>
      </w:r>
    </w:p>
    <w:p w14:paraId="5DD85D88"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Rozvoj osvety – výchova a vzdelávanie bežnej populácie vo vzťahu k potrebám osôb s ťažkým zdravotným postihnutím a osôb odkázaných na pomoc iných.</w:t>
      </w:r>
    </w:p>
    <w:p w14:paraId="50890B4A"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lastRenderedPageBreak/>
        <w:t>Vytvoriť systém systematickej prevencie, včasnej diagnostiky a intervencie, vrátane systému výchovy a osvety v oblasti zdravého životného štýlu a duševného zdravia, vrátane boja so závislosťami.</w:t>
      </w:r>
    </w:p>
    <w:p w14:paraId="3482EA67"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Zvýšiť dostupnosť starostlivosti o duševné zdravie v kontinuu zdravie – porucha.</w:t>
      </w:r>
    </w:p>
    <w:p w14:paraId="1D674710"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Zlepšiť manažment dlhodobo chorých a využívanie vhodných foriem dlhodobej, následnej a paliatívnej zdravotnej starostlivosti a komunitnej rehabilitácie.</w:t>
      </w:r>
    </w:p>
    <w:p w14:paraId="1E1DFBE5"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Dôsledne uplatňovať práva pacienta na rovnaký prístup k zdrojom, solidaritu, bezpečnosť zdravotných postupov, dôstojné zaobchádzanie v rámci poskytovania zdravotnej starostlivosti vrátane zohľadnenia hodnoty každého jednotlivca vo všetkých prístupoch k pacientovi. Pri poskytovaní a riadení zdravotnej starostlivosti zohľadňovať naďalej etické princípy. Uplatňovať princíp zdravia vo všetkých politikách.</w:t>
      </w:r>
    </w:p>
    <w:p w14:paraId="7F5533D0"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Podporovať zdravý životný štýl a zodpovednosť za vlastné zdravie a prevenciu chorôb, vrátane zvýšenia úrovne zaočkovania populácie, zdravého stravovania a prevencie psychických porúch. </w:t>
      </w:r>
    </w:p>
    <w:p w14:paraId="02B1B88A"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p>
    <w:p w14:paraId="770130EA"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Vládou SR schválený </w:t>
      </w:r>
      <w:r w:rsidRPr="009B6A13">
        <w:rPr>
          <w:rFonts w:ascii="Century Gothic" w:hAnsi="Century Gothic" w:cstheme="minorHAnsi"/>
          <w:bCs/>
          <w:color w:val="000000"/>
          <w:sz w:val="22"/>
          <w:szCs w:val="22"/>
        </w:rPr>
        <w:t>Strategický rámec starostlivosti o zdravie pre roky 2013 – 2030</w:t>
      </w:r>
      <w:r w:rsidRPr="009B6A13">
        <w:rPr>
          <w:rFonts w:ascii="Century Gothic" w:hAnsi="Century Gothic" w:cstheme="minorHAnsi"/>
          <w:b/>
          <w:bCs/>
          <w:color w:val="000000"/>
          <w:sz w:val="22"/>
          <w:szCs w:val="22"/>
        </w:rPr>
        <w:t xml:space="preserve"> </w:t>
      </w:r>
      <w:r w:rsidRPr="009B6A13">
        <w:rPr>
          <w:rFonts w:ascii="Century Gothic" w:hAnsi="Century Gothic" w:cstheme="minorHAnsi"/>
          <w:color w:val="000000"/>
          <w:sz w:val="22"/>
          <w:szCs w:val="22"/>
        </w:rPr>
        <w:t xml:space="preserve">určuje pre strategickú oblasť </w:t>
      </w:r>
      <w:r w:rsidRPr="009B6A13">
        <w:rPr>
          <w:rFonts w:ascii="Century Gothic" w:hAnsi="Century Gothic" w:cstheme="minorHAnsi"/>
          <w:i/>
          <w:iCs/>
          <w:color w:val="000000"/>
          <w:sz w:val="22"/>
          <w:szCs w:val="22"/>
        </w:rPr>
        <w:t>Ústavná zdravotn</w:t>
      </w:r>
      <w:r w:rsidRPr="009B6A13">
        <w:rPr>
          <w:rFonts w:ascii="Century Gothic" w:hAnsi="Century Gothic" w:cs="Century Gothic"/>
          <w:i/>
          <w:iCs/>
          <w:color w:val="000000"/>
          <w:sz w:val="22"/>
          <w:szCs w:val="22"/>
        </w:rPr>
        <w:t>á</w:t>
      </w:r>
      <w:r w:rsidRPr="009B6A13">
        <w:rPr>
          <w:rFonts w:ascii="Century Gothic" w:hAnsi="Century Gothic" w:cstheme="minorHAnsi"/>
          <w:i/>
          <w:iCs/>
          <w:color w:val="000000"/>
          <w:sz w:val="22"/>
          <w:szCs w:val="22"/>
        </w:rPr>
        <w:t xml:space="preserve"> starostlivos</w:t>
      </w:r>
      <w:r w:rsidRPr="009B6A13">
        <w:rPr>
          <w:rFonts w:ascii="Century Gothic" w:hAnsi="Century Gothic" w:cs="Century Gothic"/>
          <w:i/>
          <w:iCs/>
          <w:color w:val="000000"/>
          <w:sz w:val="22"/>
          <w:szCs w:val="22"/>
        </w:rPr>
        <w:t>ť</w:t>
      </w:r>
      <w:r w:rsidRPr="009B6A13">
        <w:rPr>
          <w:rFonts w:ascii="Century Gothic" w:hAnsi="Century Gothic" w:cstheme="minorHAnsi"/>
          <w:i/>
          <w:iCs/>
          <w:color w:val="000000"/>
          <w:sz w:val="22"/>
          <w:szCs w:val="22"/>
        </w:rPr>
        <w:t xml:space="preserve"> </w:t>
      </w:r>
      <w:r w:rsidRPr="009B6A13">
        <w:rPr>
          <w:rFonts w:ascii="Century Gothic" w:hAnsi="Century Gothic" w:cstheme="minorHAnsi"/>
          <w:color w:val="000000"/>
          <w:sz w:val="22"/>
          <w:szCs w:val="22"/>
        </w:rPr>
        <w:t xml:space="preserve">tieto priority: </w:t>
      </w:r>
    </w:p>
    <w:p w14:paraId="03BE765A" w14:textId="77777777" w:rsidR="007B7154" w:rsidRPr="009B6A13" w:rsidRDefault="007B7154" w:rsidP="002A5F23">
      <w:pPr>
        <w:pStyle w:val="Odsekzoznamu"/>
        <w:numPr>
          <w:ilvl w:val="0"/>
          <w:numId w:val="17"/>
        </w:numPr>
        <w:autoSpaceDE w:val="0"/>
        <w:autoSpaceDN w:val="0"/>
        <w:adjustRightInd w:val="0"/>
        <w:spacing w:line="240" w:lineRule="auto"/>
        <w:rPr>
          <w:rFonts w:ascii="Century Gothic" w:hAnsi="Century Gothic" w:cstheme="minorHAnsi"/>
          <w:color w:val="000000"/>
          <w:sz w:val="22"/>
          <w:szCs w:val="22"/>
        </w:rPr>
      </w:pPr>
      <w:proofErr w:type="spellStart"/>
      <w:r w:rsidRPr="009B6A13">
        <w:rPr>
          <w:rFonts w:ascii="Century Gothic" w:hAnsi="Century Gothic" w:cstheme="minorHAnsi"/>
          <w:color w:val="000000"/>
          <w:sz w:val="22"/>
          <w:szCs w:val="22"/>
        </w:rPr>
        <w:t>Redefinovanie</w:t>
      </w:r>
      <w:proofErr w:type="spellEnd"/>
      <w:r w:rsidRPr="009B6A13">
        <w:rPr>
          <w:rFonts w:ascii="Century Gothic" w:hAnsi="Century Gothic" w:cstheme="minorHAnsi"/>
          <w:color w:val="000000"/>
          <w:sz w:val="22"/>
          <w:szCs w:val="22"/>
        </w:rPr>
        <w:t xml:space="preserve"> typov nemocníc a rozsahu nimi poskytovanej zdravotnej starostlivosti, určenie spádového územia, prehodnotenie existujúcich typov a organizačných štruktúr zdravotníckych zariadení ústavnej zdravotnej starostlivosti.</w:t>
      </w:r>
    </w:p>
    <w:p w14:paraId="3CCF101F" w14:textId="77777777" w:rsidR="007B7154" w:rsidRPr="009B6A13" w:rsidRDefault="007B7154" w:rsidP="002A5F23">
      <w:pPr>
        <w:pStyle w:val="Odsekzoznamu"/>
        <w:numPr>
          <w:ilvl w:val="0"/>
          <w:numId w:val="17"/>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000000"/>
          <w:sz w:val="22"/>
          <w:szCs w:val="22"/>
        </w:rPr>
        <w:t>Prehodnotenie počtu a štruktúr akútnych lôžok a posilnenie lôžok doliečovacích, rehabilitačných, ošetrovateľských a lôžok pre dlhodobo chorých.</w:t>
      </w:r>
    </w:p>
    <w:p w14:paraId="6EAA3C4B" w14:textId="77777777" w:rsidR="007B7154" w:rsidRPr="009B6A13" w:rsidRDefault="007B7154" w:rsidP="002A5F23">
      <w:pPr>
        <w:pStyle w:val="Odsekzoznamu"/>
        <w:numPr>
          <w:ilvl w:val="0"/>
          <w:numId w:val="17"/>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000000"/>
          <w:sz w:val="22"/>
          <w:szCs w:val="22"/>
        </w:rPr>
        <w:t>Realizácia programu obnovy zdravotníckej infraštruktúry nemocníc s cieľom efektívneho využívania ľudských zdrojov, budov a zdravotníckej prístrojovej techniky.</w:t>
      </w:r>
    </w:p>
    <w:p w14:paraId="13D7EA95" w14:textId="77777777" w:rsidR="007B7154" w:rsidRPr="009B6A13" w:rsidRDefault="007B7154" w:rsidP="002A5F23">
      <w:pPr>
        <w:pStyle w:val="Odsekzoznamu"/>
        <w:numPr>
          <w:ilvl w:val="0"/>
          <w:numId w:val="17"/>
        </w:numPr>
        <w:autoSpaceDE w:val="0"/>
        <w:autoSpaceDN w:val="0"/>
        <w:adjustRightInd w:val="0"/>
        <w:spacing w:line="240" w:lineRule="auto"/>
        <w:rPr>
          <w:rFonts w:ascii="Century Gothic" w:hAnsi="Century Gothic" w:cstheme="minorHAnsi"/>
          <w:color w:val="000000"/>
          <w:sz w:val="22"/>
          <w:szCs w:val="22"/>
        </w:rPr>
      </w:pPr>
      <w:r w:rsidRPr="009B6A13">
        <w:rPr>
          <w:rFonts w:ascii="Century Gothic" w:hAnsi="Century Gothic" w:cstheme="minorHAnsi"/>
          <w:color w:val="000000"/>
          <w:sz w:val="22"/>
          <w:szCs w:val="22"/>
        </w:rPr>
        <w:t xml:space="preserve">Funkčné prijímanie a odovzdávanie informácií (aj pomocou </w:t>
      </w:r>
      <w:proofErr w:type="spellStart"/>
      <w:r w:rsidRPr="009B6A13">
        <w:rPr>
          <w:rFonts w:ascii="Century Gothic" w:hAnsi="Century Gothic" w:cstheme="minorHAnsi"/>
          <w:color w:val="000000"/>
          <w:sz w:val="22"/>
          <w:szCs w:val="22"/>
        </w:rPr>
        <w:t>eHealth</w:t>
      </w:r>
      <w:proofErr w:type="spellEnd"/>
      <w:r w:rsidRPr="009B6A13">
        <w:rPr>
          <w:rFonts w:ascii="Century Gothic" w:hAnsi="Century Gothic" w:cstheme="minorHAnsi"/>
          <w:color w:val="000000"/>
          <w:sz w:val="22"/>
          <w:szCs w:val="22"/>
        </w:rPr>
        <w:t xml:space="preserve">) medzi nemocnicami a inými zdravotníckymi zariadeniami ústavnej a ambulantnej zdravotnej starostlivosti, pričom bude kladený dôraz na kontinuitu zdravotnej starostlivosti a komplexný manažment pacienta. </w:t>
      </w:r>
    </w:p>
    <w:p w14:paraId="5D4F07CE" w14:textId="77777777" w:rsidR="007B7154" w:rsidRPr="009B6A13" w:rsidRDefault="007B7154" w:rsidP="007B7154">
      <w:pPr>
        <w:autoSpaceDE w:val="0"/>
        <w:autoSpaceDN w:val="0"/>
        <w:adjustRightInd w:val="0"/>
        <w:spacing w:line="240" w:lineRule="auto"/>
        <w:rPr>
          <w:rFonts w:ascii="Century Gothic" w:hAnsi="Century Gothic" w:cstheme="minorHAnsi"/>
          <w:color w:val="000000"/>
          <w:sz w:val="22"/>
          <w:szCs w:val="22"/>
        </w:rPr>
      </w:pPr>
    </w:p>
    <w:p w14:paraId="3BEB5416" w14:textId="77777777" w:rsidR="007B7154" w:rsidRPr="009B6A13" w:rsidRDefault="007B7154" w:rsidP="007B7154">
      <w:p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Ďalšie medzinárodne dokumenty, ktoré sa venujú riešenej problematike a na ktoré je výstavba novej nemocnice priamo prepojená sú napr.: </w:t>
      </w:r>
    </w:p>
    <w:p w14:paraId="4E059932"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Európska komisia. Opätovné nájdenie priemyslu. Správa strategickej skupiny pre priemyselné technológie, 2018. </w:t>
      </w:r>
    </w:p>
    <w:p w14:paraId="47D2FEC3"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Aliancia M8. Vyhlásenie Aliancie M8. Svetový samit o zdraví 2017. Zdravie je politická voľba, 2017. </w:t>
      </w:r>
    </w:p>
    <w:p w14:paraId="04845264"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Svetové ekonomické fórum. Hodnota v zdravotnej starostlivosti, 2018. </w:t>
      </w:r>
    </w:p>
    <w:p w14:paraId="635967BF" w14:textId="77777777" w:rsidR="007B7154" w:rsidRPr="009B6A13" w:rsidRDefault="007B7154" w:rsidP="002A5F23">
      <w:pPr>
        <w:pStyle w:val="Odsekzoznamu"/>
        <w:numPr>
          <w:ilvl w:val="0"/>
          <w:numId w:val="18"/>
        </w:num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Globálna cestovná mapa pre dekarbonizáciu zdravotnej starostlivosti - Navigačný nástroj na dosiahnutie nulových emisií s odolnosťou voči zmene klímy a rovnosťou v oblasti zdravia a iné. </w:t>
      </w:r>
    </w:p>
    <w:p w14:paraId="77EDE4AC" w14:textId="77777777" w:rsidR="007B7154" w:rsidRPr="009B6A13" w:rsidRDefault="007B7154" w:rsidP="007B7154">
      <w:pPr>
        <w:spacing w:line="240" w:lineRule="auto"/>
        <w:rPr>
          <w:rFonts w:ascii="Century Gothic" w:hAnsi="Century Gothic" w:cstheme="minorHAnsi"/>
          <w:b/>
          <w:bCs/>
          <w:sz w:val="22"/>
          <w:szCs w:val="22"/>
        </w:rPr>
      </w:pPr>
    </w:p>
    <w:p w14:paraId="7C6A95F6" w14:textId="614E3C8B" w:rsidR="007B7154" w:rsidRPr="009B6A13" w:rsidRDefault="007B7154" w:rsidP="007B7154">
      <w:p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 xml:space="preserve">Projekt je v súlade s aktuálnou európskou stratégiou „EU4Health 2021 – 2027: vízia zdravšej Európskej únie“. Tento program je ambicióznou reakciou EÚ na ochorenie </w:t>
      </w:r>
      <w:r w:rsidR="00A37F39">
        <w:rPr>
          <w:rFonts w:ascii="Century Gothic" w:hAnsi="Century Gothic" w:cstheme="minorHAnsi"/>
          <w:bCs/>
          <w:sz w:val="22"/>
          <w:szCs w:val="22"/>
        </w:rPr>
        <w:t>COVID. Pandémia ochorenia COVID</w:t>
      </w:r>
      <w:r w:rsidRPr="009B6A13">
        <w:rPr>
          <w:rFonts w:ascii="Century Gothic" w:hAnsi="Century Gothic" w:cstheme="minorHAnsi"/>
          <w:bCs/>
          <w:sz w:val="22"/>
          <w:szCs w:val="22"/>
        </w:rPr>
        <w:t xml:space="preserve"> má veľký vplyv na lekársky a iný zdravotnícky personál, pacientov a zdravotnícke systémy v Európe. Nový program EU4Health bude presahovať rámec reakcie na krízy s cieľom riešiť odolnosť systémov zdravotnej starostlivosti</w:t>
      </w:r>
    </w:p>
    <w:p w14:paraId="6FB7E206" w14:textId="77777777" w:rsidR="007B7154" w:rsidRPr="009B6A13" w:rsidRDefault="007B7154" w:rsidP="007B7154">
      <w:pPr>
        <w:autoSpaceDE w:val="0"/>
        <w:autoSpaceDN w:val="0"/>
        <w:adjustRightInd w:val="0"/>
        <w:spacing w:line="240" w:lineRule="auto"/>
        <w:rPr>
          <w:rFonts w:ascii="Century Gothic" w:hAnsi="Century Gothic"/>
          <w:sz w:val="22"/>
          <w:szCs w:val="22"/>
        </w:rPr>
      </w:pPr>
      <w:r w:rsidRPr="009B6A13">
        <w:rPr>
          <w:rFonts w:ascii="Century Gothic" w:hAnsi="Century Gothic"/>
          <w:sz w:val="22"/>
          <w:szCs w:val="22"/>
        </w:rPr>
        <w:lastRenderedPageBreak/>
        <w:t>Projekt by mohol byť realizovaný v súlade s „</w:t>
      </w:r>
      <w:r w:rsidRPr="009B6A13">
        <w:rPr>
          <w:rFonts w:ascii="Century Gothic" w:hAnsi="Century Gothic"/>
          <w:i/>
          <w:iCs/>
          <w:sz w:val="22"/>
          <w:szCs w:val="22"/>
        </w:rPr>
        <w:t xml:space="preserve">Plánom obnovy a odolnosti, Komponentom 11 – Ústavná zdravotná starostlivosť“ </w:t>
      </w:r>
      <w:r w:rsidRPr="009B6A13">
        <w:rPr>
          <w:rFonts w:ascii="Century Gothic" w:hAnsi="Century Gothic"/>
          <w:sz w:val="22"/>
          <w:szCs w:val="22"/>
        </w:rPr>
        <w:t>a jeho cieľom - vytvoriť modernú, dostupnú a efektívnu sieť nemocníc, ktorá zabezpečí kvalitnú zdravotnú starostlivosť, atraktívne prostredie pre personál, efektívne procesy a zdravé hospodárenie. Cieľ je tiež zvýšiť dostupnosť záchrannej zdravotnej služby, ktorá bude nadväzovať na potreby novej siete nemocníc a posilniť primárnu starostlivosť, ktorá má byť základným integračným bodom zdravotnej starostlivosti o pacienta.</w:t>
      </w:r>
    </w:p>
    <w:p w14:paraId="7C66E421" w14:textId="77777777" w:rsidR="007B7154" w:rsidRPr="009B6A13" w:rsidRDefault="007B7154" w:rsidP="007B7154">
      <w:pPr>
        <w:autoSpaceDE w:val="0"/>
        <w:autoSpaceDN w:val="0"/>
        <w:adjustRightInd w:val="0"/>
        <w:spacing w:line="240" w:lineRule="auto"/>
        <w:rPr>
          <w:rFonts w:ascii="Century Gothic" w:hAnsi="Century Gothic"/>
          <w:sz w:val="22"/>
          <w:szCs w:val="22"/>
        </w:rPr>
      </w:pPr>
    </w:p>
    <w:p w14:paraId="124AD22F" w14:textId="77777777" w:rsidR="007B7154" w:rsidRPr="009B6A13" w:rsidRDefault="007B7154" w:rsidP="007B7154">
      <w:pPr>
        <w:autoSpaceDE w:val="0"/>
        <w:autoSpaceDN w:val="0"/>
        <w:adjustRightInd w:val="0"/>
        <w:spacing w:line="240" w:lineRule="auto"/>
        <w:rPr>
          <w:rFonts w:ascii="Century Gothic" w:hAnsi="Century Gothic"/>
          <w:sz w:val="22"/>
          <w:szCs w:val="22"/>
        </w:rPr>
      </w:pPr>
      <w:r w:rsidRPr="009B6A13">
        <w:rPr>
          <w:rFonts w:ascii="Century Gothic" w:hAnsi="Century Gothic"/>
          <w:sz w:val="22"/>
          <w:szCs w:val="22"/>
        </w:rPr>
        <w:t>Realizácia projektu by mohla naplniť aj stanovené ciele „</w:t>
      </w:r>
      <w:r w:rsidRPr="009B6A13">
        <w:rPr>
          <w:rFonts w:ascii="Century Gothic" w:hAnsi="Century Gothic"/>
          <w:i/>
          <w:iCs/>
          <w:sz w:val="22"/>
          <w:szCs w:val="22"/>
        </w:rPr>
        <w:t>Partnerskej dohody a Operačného programu Slovensko“</w:t>
      </w:r>
      <w:r w:rsidRPr="009B6A13">
        <w:rPr>
          <w:rFonts w:ascii="Century Gothic" w:hAnsi="Century Gothic"/>
          <w:sz w:val="22"/>
          <w:szCs w:val="22"/>
        </w:rPr>
        <w:t xml:space="preserve">, predovšetkým Cieľ politiky súdržnosti 1- Inteligentnejšia Európa – inovatívna a inteligentná transformácia hospodárstva a to v rámci aktivít zameraných na podporu </w:t>
      </w:r>
      <w:proofErr w:type="spellStart"/>
      <w:r w:rsidRPr="009B6A13">
        <w:rPr>
          <w:rFonts w:ascii="Century Gothic" w:hAnsi="Century Gothic"/>
          <w:sz w:val="22"/>
          <w:szCs w:val="22"/>
        </w:rPr>
        <w:t>medzisektorovej</w:t>
      </w:r>
      <w:proofErr w:type="spellEnd"/>
      <w:r w:rsidRPr="009B6A13">
        <w:rPr>
          <w:rFonts w:ascii="Century Gothic" w:hAnsi="Century Gothic"/>
          <w:sz w:val="22"/>
          <w:szCs w:val="22"/>
        </w:rPr>
        <w:t xml:space="preserve"> a medzinárodnej spolupráce v oblasti výskumu, vývoja a inovácií a podporou budovania a modernizácie výskumnej infraštruktúry.</w:t>
      </w:r>
    </w:p>
    <w:p w14:paraId="5B6E02DB" w14:textId="77777777" w:rsidR="007B7154" w:rsidRPr="009B6A13" w:rsidRDefault="007B7154" w:rsidP="007B7154">
      <w:pPr>
        <w:autoSpaceDE w:val="0"/>
        <w:autoSpaceDN w:val="0"/>
        <w:adjustRightInd w:val="0"/>
        <w:spacing w:line="240" w:lineRule="auto"/>
        <w:rPr>
          <w:rFonts w:ascii="Century Gothic" w:hAnsi="Century Gothic"/>
          <w:sz w:val="22"/>
          <w:szCs w:val="22"/>
        </w:rPr>
      </w:pPr>
    </w:p>
    <w:p w14:paraId="267064BA" w14:textId="29F847B3" w:rsidR="007B7154" w:rsidRDefault="007B7154" w:rsidP="007B7154">
      <w:pPr>
        <w:autoSpaceDE w:val="0"/>
        <w:autoSpaceDN w:val="0"/>
        <w:adjustRightInd w:val="0"/>
        <w:spacing w:line="240" w:lineRule="auto"/>
        <w:rPr>
          <w:rFonts w:ascii="Century Gothic" w:hAnsi="Century Gothic" w:cstheme="minorHAnsi"/>
          <w:bCs/>
          <w:sz w:val="22"/>
          <w:szCs w:val="22"/>
        </w:rPr>
      </w:pPr>
      <w:r w:rsidRPr="009B6A13">
        <w:rPr>
          <w:rFonts w:ascii="Century Gothic" w:hAnsi="Century Gothic" w:cstheme="minorHAnsi"/>
          <w:bCs/>
          <w:sz w:val="22"/>
          <w:szCs w:val="22"/>
        </w:rPr>
        <w:t>Zároveň sú aktivity novej nemocnice plne v súlade aj so stratégiou RIS3 – Stratégiou Slovenskej republiky pre inteligentnú špecializáciu, vo viacerých jej kľúčových doménach, predovšetkým však v súlade s „doménou č. 4 Zdravá spoločnosť.“</w:t>
      </w:r>
    </w:p>
    <w:p w14:paraId="34E36DAD" w14:textId="306C92D8" w:rsidR="002442DC" w:rsidRDefault="002442DC" w:rsidP="007B7154">
      <w:pPr>
        <w:autoSpaceDE w:val="0"/>
        <w:autoSpaceDN w:val="0"/>
        <w:adjustRightInd w:val="0"/>
        <w:spacing w:line="240" w:lineRule="auto"/>
        <w:rPr>
          <w:rFonts w:ascii="Century Gothic" w:hAnsi="Century Gothic" w:cstheme="minorHAnsi"/>
          <w:bCs/>
          <w:sz w:val="22"/>
          <w:szCs w:val="22"/>
        </w:rPr>
      </w:pPr>
    </w:p>
    <w:p w14:paraId="4390BEF2" w14:textId="77777777" w:rsidR="007B7154" w:rsidRPr="00E0451E"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36" w:name="_Toc145219967"/>
      <w:r w:rsidRPr="00E0451E">
        <w:rPr>
          <w:rFonts w:ascii="Century Gothic" w:hAnsi="Century Gothic" w:cs="Calibri Light"/>
          <w:b w:val="0"/>
          <w:bCs w:val="0"/>
          <w:color w:val="365F91" w:themeColor="accent1" w:themeShade="BF"/>
          <w:lang w:eastAsia="en-US"/>
        </w:rPr>
        <w:t>Technické parametre nového pavilónu</w:t>
      </w:r>
      <w:bookmarkEnd w:id="136"/>
    </w:p>
    <w:p w14:paraId="22FA14C5" w14:textId="77777777" w:rsidR="007B7154" w:rsidRDefault="007B7154" w:rsidP="007B7154">
      <w:pPr>
        <w:spacing w:line="240" w:lineRule="auto"/>
        <w:rPr>
          <w:rFonts w:ascii="Century Gothic" w:hAnsi="Century Gothic"/>
          <w:b/>
        </w:rPr>
      </w:pPr>
    </w:p>
    <w:p w14:paraId="414C0E53" w14:textId="2B6EE69B" w:rsidR="00786A20" w:rsidRDefault="00863AF7" w:rsidP="00B046C0">
      <w:pPr>
        <w:pStyle w:val="Normlnywebov"/>
        <w:tabs>
          <w:tab w:val="left" w:pos="2225"/>
        </w:tabs>
        <w:spacing w:before="0" w:beforeAutospacing="0" w:after="0" w:afterAutospacing="0"/>
        <w:rPr>
          <w:rFonts w:ascii="Century Gothic" w:hAnsi="Century Gothic" w:cstheme="minorHAnsi"/>
          <w:b/>
          <w:bCs/>
          <w:sz w:val="22"/>
          <w:szCs w:val="22"/>
        </w:rPr>
      </w:pPr>
      <w:r>
        <w:rPr>
          <w:rFonts w:ascii="Century Gothic" w:hAnsi="Century Gothic" w:cstheme="minorHAnsi"/>
          <w:b/>
          <w:bCs/>
          <w:sz w:val="22"/>
          <w:szCs w:val="22"/>
        </w:rPr>
        <w:t>Základný</w:t>
      </w:r>
      <w:r w:rsidR="00B046C0">
        <w:rPr>
          <w:rFonts w:ascii="Century Gothic" w:hAnsi="Century Gothic" w:cstheme="minorHAnsi"/>
          <w:b/>
          <w:bCs/>
          <w:sz w:val="22"/>
          <w:szCs w:val="22"/>
        </w:rPr>
        <w:t xml:space="preserve"> </w:t>
      </w:r>
      <w:r>
        <w:rPr>
          <w:rFonts w:ascii="Century Gothic" w:hAnsi="Century Gothic" w:cstheme="minorHAnsi"/>
          <w:b/>
          <w:bCs/>
          <w:sz w:val="22"/>
          <w:szCs w:val="22"/>
        </w:rPr>
        <w:t>zámer</w:t>
      </w:r>
    </w:p>
    <w:p w14:paraId="0D7CAF25" w14:textId="77777777" w:rsidR="00B046C0" w:rsidRPr="00A72190" w:rsidRDefault="00B046C0" w:rsidP="00B046C0">
      <w:pPr>
        <w:pStyle w:val="Normlnywebov"/>
        <w:tabs>
          <w:tab w:val="left" w:pos="2225"/>
        </w:tabs>
        <w:spacing w:before="0" w:beforeAutospacing="0" w:after="0" w:afterAutospacing="0"/>
        <w:rPr>
          <w:rFonts w:ascii="Century Gothic" w:hAnsi="Century Gothic" w:cstheme="minorHAnsi"/>
          <w:b/>
          <w:bCs/>
          <w:sz w:val="22"/>
          <w:szCs w:val="22"/>
        </w:rPr>
      </w:pPr>
    </w:p>
    <w:p w14:paraId="1DCE5940" w14:textId="1616F127" w:rsidR="00786A20" w:rsidRPr="00A72190" w:rsidRDefault="007756C0" w:rsidP="00A72190">
      <w:pPr>
        <w:pStyle w:val="Normlnywebov"/>
        <w:spacing w:before="0" w:beforeAutospacing="0" w:after="0" w:afterAutospacing="0"/>
        <w:jc w:val="both"/>
        <w:rPr>
          <w:rFonts w:ascii="Century Gothic" w:hAnsi="Century Gothic" w:cstheme="minorHAnsi"/>
          <w:sz w:val="22"/>
          <w:szCs w:val="22"/>
        </w:rPr>
      </w:pPr>
      <w:r>
        <w:rPr>
          <w:rFonts w:ascii="Century Gothic" w:hAnsi="Century Gothic" w:cstheme="minorHAnsi"/>
          <w:sz w:val="22"/>
          <w:szCs w:val="22"/>
        </w:rPr>
        <w:t>Nový P</w:t>
      </w:r>
      <w:r w:rsidR="00786A20" w:rsidRPr="00A72190">
        <w:rPr>
          <w:rFonts w:ascii="Century Gothic" w:hAnsi="Century Gothic" w:cstheme="minorHAnsi"/>
          <w:sz w:val="22"/>
          <w:szCs w:val="22"/>
        </w:rPr>
        <w:t>avilón urgentnej medicíny bude umiestnený do južnej časti existujúceho nemocničného areálu. Presná pozícia bude upresnená na základe detailného vyhodnotenia zvolených kritérií využiteľnosti územia a samozrejme pri plnom rešpektovaní všetkých limitov územia.</w:t>
      </w:r>
    </w:p>
    <w:p w14:paraId="36D7AF4E"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1042B096" w14:textId="034520E3" w:rsidR="00786A2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 xml:space="preserve">Podľa situačného riešenia by malo vzniknúť jeden nový kompaktný objekt - pavilón, ideálne vzájomne prepojený na existujúce objekty. Pre nový pavilón bude uvoľnená potrebná plocha </w:t>
      </w:r>
      <w:proofErr w:type="spellStart"/>
      <w:r w:rsidRPr="00A72190">
        <w:rPr>
          <w:rFonts w:ascii="Century Gothic" w:hAnsi="Century Gothic" w:cstheme="minorHAnsi"/>
          <w:sz w:val="22"/>
          <w:szCs w:val="22"/>
        </w:rPr>
        <w:t>t.j</w:t>
      </w:r>
      <w:proofErr w:type="spellEnd"/>
      <w:r w:rsidRPr="00A72190">
        <w:rPr>
          <w:rFonts w:ascii="Century Gothic" w:hAnsi="Century Gothic" w:cstheme="minorHAnsi"/>
          <w:sz w:val="22"/>
          <w:szCs w:val="22"/>
        </w:rPr>
        <w:t>. v prípade potreby sa asanujú niektoré menšie objekty (tenisové kurty, urológia...). Určená stavebná čiara bude reflektovať existujúcu zástavbu nemocnice a bezprostredného okolia.</w:t>
      </w:r>
    </w:p>
    <w:p w14:paraId="0E0B5938" w14:textId="085BA76C" w:rsidR="006C05EF" w:rsidRDefault="006C05EF" w:rsidP="00A72190">
      <w:pPr>
        <w:pStyle w:val="Normlnywebov"/>
        <w:spacing w:before="0" w:beforeAutospacing="0" w:after="0" w:afterAutospacing="0"/>
        <w:jc w:val="both"/>
        <w:rPr>
          <w:rFonts w:ascii="Century Gothic" w:hAnsi="Century Gothic" w:cstheme="minorHAnsi"/>
          <w:sz w:val="22"/>
          <w:szCs w:val="22"/>
        </w:rPr>
      </w:pPr>
    </w:p>
    <w:p w14:paraId="6AFF31EC" w14:textId="77777777" w:rsidR="006C05EF" w:rsidRDefault="006C05EF" w:rsidP="006C05EF">
      <w:pPr>
        <w:pStyle w:val="Popis"/>
        <w:spacing w:before="0" w:after="0" w:line="240" w:lineRule="auto"/>
        <w:rPr>
          <w:rFonts w:ascii="Century Gothic" w:hAnsi="Century Gothic"/>
          <w:b w:val="0"/>
          <w:i/>
        </w:rPr>
      </w:pPr>
    </w:p>
    <w:p w14:paraId="00802340" w14:textId="77777777" w:rsidR="006C05EF" w:rsidRDefault="006C05EF" w:rsidP="006C05EF">
      <w:pPr>
        <w:pStyle w:val="Popis"/>
        <w:spacing w:before="0" w:after="0" w:line="240" w:lineRule="auto"/>
        <w:rPr>
          <w:rFonts w:ascii="Century Gothic" w:hAnsi="Century Gothic"/>
          <w:b w:val="0"/>
          <w:i/>
        </w:rPr>
      </w:pPr>
    </w:p>
    <w:p w14:paraId="2F2F9FBE" w14:textId="77777777" w:rsidR="006C05EF" w:rsidRDefault="006C05EF" w:rsidP="006C05EF">
      <w:pPr>
        <w:pStyle w:val="Popis"/>
        <w:spacing w:before="0" w:after="0" w:line="240" w:lineRule="auto"/>
        <w:rPr>
          <w:rFonts w:ascii="Century Gothic" w:hAnsi="Century Gothic"/>
          <w:b w:val="0"/>
          <w:i/>
        </w:rPr>
      </w:pPr>
    </w:p>
    <w:p w14:paraId="3683CF26" w14:textId="77777777" w:rsidR="006C05EF" w:rsidRDefault="006C05EF" w:rsidP="006C05EF">
      <w:pPr>
        <w:pStyle w:val="Popis"/>
        <w:spacing w:before="0" w:after="0" w:line="240" w:lineRule="auto"/>
        <w:rPr>
          <w:rFonts w:ascii="Century Gothic" w:hAnsi="Century Gothic"/>
          <w:b w:val="0"/>
          <w:i/>
        </w:rPr>
      </w:pPr>
    </w:p>
    <w:p w14:paraId="51D0D6D7" w14:textId="77777777" w:rsidR="006C05EF" w:rsidRDefault="006C05EF" w:rsidP="006C05EF">
      <w:pPr>
        <w:pStyle w:val="Popis"/>
        <w:spacing w:before="0" w:after="0" w:line="240" w:lineRule="auto"/>
        <w:rPr>
          <w:rFonts w:ascii="Century Gothic" w:hAnsi="Century Gothic"/>
          <w:b w:val="0"/>
          <w:i/>
        </w:rPr>
      </w:pPr>
    </w:p>
    <w:p w14:paraId="585E675C" w14:textId="77777777" w:rsidR="006C05EF" w:rsidRDefault="006C05EF" w:rsidP="006C05EF">
      <w:pPr>
        <w:pStyle w:val="Popis"/>
        <w:spacing w:before="0" w:after="0" w:line="240" w:lineRule="auto"/>
        <w:rPr>
          <w:rFonts w:ascii="Century Gothic" w:hAnsi="Century Gothic"/>
          <w:b w:val="0"/>
          <w:i/>
        </w:rPr>
      </w:pPr>
    </w:p>
    <w:p w14:paraId="3DFE980D" w14:textId="77777777" w:rsidR="006C05EF" w:rsidRDefault="006C05EF" w:rsidP="006C05EF">
      <w:pPr>
        <w:pStyle w:val="Popis"/>
        <w:spacing w:before="0" w:after="0" w:line="240" w:lineRule="auto"/>
        <w:rPr>
          <w:rFonts w:ascii="Century Gothic" w:hAnsi="Century Gothic"/>
          <w:b w:val="0"/>
          <w:i/>
        </w:rPr>
      </w:pPr>
    </w:p>
    <w:p w14:paraId="19A78635" w14:textId="77777777" w:rsidR="006C05EF" w:rsidRDefault="006C05EF" w:rsidP="006C05EF">
      <w:pPr>
        <w:pStyle w:val="Popis"/>
        <w:spacing w:before="0" w:after="0" w:line="240" w:lineRule="auto"/>
        <w:rPr>
          <w:rFonts w:ascii="Century Gothic" w:hAnsi="Century Gothic"/>
          <w:b w:val="0"/>
          <w:i/>
        </w:rPr>
      </w:pPr>
    </w:p>
    <w:p w14:paraId="64FEFA4C" w14:textId="77777777" w:rsidR="006C05EF" w:rsidRDefault="006C05EF" w:rsidP="006C05EF">
      <w:pPr>
        <w:pStyle w:val="Popis"/>
        <w:spacing w:before="0" w:after="0" w:line="240" w:lineRule="auto"/>
        <w:rPr>
          <w:rFonts w:ascii="Century Gothic" w:hAnsi="Century Gothic"/>
          <w:b w:val="0"/>
          <w:i/>
        </w:rPr>
      </w:pPr>
    </w:p>
    <w:p w14:paraId="5EB304A4" w14:textId="77777777" w:rsidR="006C05EF" w:rsidRDefault="006C05EF" w:rsidP="006C05EF">
      <w:pPr>
        <w:pStyle w:val="Popis"/>
        <w:spacing w:before="0" w:after="0" w:line="240" w:lineRule="auto"/>
        <w:rPr>
          <w:rFonts w:ascii="Century Gothic" w:hAnsi="Century Gothic"/>
          <w:b w:val="0"/>
          <w:i/>
        </w:rPr>
      </w:pPr>
    </w:p>
    <w:p w14:paraId="46BE6CAD" w14:textId="77777777" w:rsidR="006C05EF" w:rsidRDefault="006C05EF" w:rsidP="006C05EF">
      <w:pPr>
        <w:pStyle w:val="Popis"/>
        <w:spacing w:before="0" w:after="0" w:line="240" w:lineRule="auto"/>
        <w:rPr>
          <w:rFonts w:ascii="Century Gothic" w:hAnsi="Century Gothic"/>
          <w:b w:val="0"/>
          <w:i/>
        </w:rPr>
      </w:pPr>
    </w:p>
    <w:p w14:paraId="5C2FBD80" w14:textId="77777777" w:rsidR="006C05EF" w:rsidRDefault="006C05EF" w:rsidP="006C05EF">
      <w:pPr>
        <w:pStyle w:val="Popis"/>
        <w:spacing w:before="0" w:after="0" w:line="240" w:lineRule="auto"/>
        <w:rPr>
          <w:rFonts w:ascii="Century Gothic" w:hAnsi="Century Gothic"/>
          <w:b w:val="0"/>
          <w:i/>
        </w:rPr>
      </w:pPr>
    </w:p>
    <w:p w14:paraId="0208197C" w14:textId="77777777" w:rsidR="006C05EF" w:rsidRDefault="006C05EF" w:rsidP="006C05EF">
      <w:pPr>
        <w:pStyle w:val="Popis"/>
        <w:spacing w:before="0" w:after="0" w:line="240" w:lineRule="auto"/>
        <w:rPr>
          <w:rFonts w:ascii="Century Gothic" w:hAnsi="Century Gothic"/>
          <w:b w:val="0"/>
          <w:i/>
        </w:rPr>
      </w:pPr>
    </w:p>
    <w:p w14:paraId="1630FF55" w14:textId="77777777" w:rsidR="006C05EF" w:rsidRDefault="006C05EF" w:rsidP="006C05EF">
      <w:pPr>
        <w:pStyle w:val="Popis"/>
        <w:spacing w:before="0" w:after="0" w:line="240" w:lineRule="auto"/>
        <w:rPr>
          <w:rFonts w:ascii="Century Gothic" w:hAnsi="Century Gothic"/>
          <w:b w:val="0"/>
          <w:i/>
        </w:rPr>
      </w:pPr>
    </w:p>
    <w:p w14:paraId="70F09235" w14:textId="77777777" w:rsidR="006C05EF" w:rsidRDefault="006C05EF" w:rsidP="006C05EF">
      <w:pPr>
        <w:pStyle w:val="Popis"/>
        <w:spacing w:before="0" w:after="0" w:line="240" w:lineRule="auto"/>
        <w:rPr>
          <w:rFonts w:ascii="Century Gothic" w:hAnsi="Century Gothic"/>
          <w:b w:val="0"/>
          <w:i/>
        </w:rPr>
      </w:pPr>
    </w:p>
    <w:p w14:paraId="11148864" w14:textId="77777777" w:rsidR="006C05EF" w:rsidRDefault="006C05EF" w:rsidP="006C05EF">
      <w:pPr>
        <w:pStyle w:val="Popis"/>
        <w:spacing w:before="0" w:after="0" w:line="240" w:lineRule="auto"/>
        <w:rPr>
          <w:rFonts w:ascii="Century Gothic" w:hAnsi="Century Gothic"/>
          <w:b w:val="0"/>
          <w:i/>
        </w:rPr>
      </w:pPr>
    </w:p>
    <w:p w14:paraId="61FE4A11" w14:textId="6F608B63" w:rsidR="006C05EF" w:rsidRDefault="006C05EF" w:rsidP="006C05EF">
      <w:pPr>
        <w:pStyle w:val="Popis"/>
        <w:spacing w:before="0" w:after="0" w:line="240" w:lineRule="auto"/>
        <w:rPr>
          <w:rFonts w:ascii="Century Gothic" w:hAnsi="Century Gothic"/>
          <w:b w:val="0"/>
          <w:i/>
        </w:rPr>
      </w:pPr>
    </w:p>
    <w:p w14:paraId="65D0571D" w14:textId="77777777" w:rsidR="006956DE" w:rsidRPr="006956DE" w:rsidRDefault="006956DE" w:rsidP="006956DE">
      <w:pPr>
        <w:rPr>
          <w:lang w:eastAsia="cs-CZ"/>
        </w:rPr>
      </w:pPr>
    </w:p>
    <w:p w14:paraId="2EF331AF" w14:textId="5F61B29F" w:rsidR="006C05EF" w:rsidRPr="00377663" w:rsidRDefault="006C05EF" w:rsidP="006C05EF">
      <w:pPr>
        <w:pStyle w:val="Popis"/>
        <w:spacing w:before="0" w:after="0" w:line="240" w:lineRule="auto"/>
        <w:rPr>
          <w:rFonts w:ascii="Century Gothic" w:hAnsi="Century Gothic"/>
          <w:b w:val="0"/>
          <w:i/>
        </w:rPr>
      </w:pPr>
      <w:bookmarkStart w:id="137" w:name="_Toc145219859"/>
      <w:r w:rsidRPr="00377663">
        <w:rPr>
          <w:rFonts w:ascii="Century Gothic" w:hAnsi="Century Gothic"/>
          <w:b w:val="0"/>
          <w:i/>
        </w:rPr>
        <w:lastRenderedPageBreak/>
        <w:t xml:space="preserve">Obrázok </w:t>
      </w:r>
      <w:r w:rsidRPr="00377663">
        <w:rPr>
          <w:rFonts w:ascii="Century Gothic" w:hAnsi="Century Gothic"/>
          <w:b w:val="0"/>
          <w:i/>
        </w:rPr>
        <w:fldChar w:fldCharType="begin"/>
      </w:r>
      <w:r w:rsidRPr="00377663">
        <w:rPr>
          <w:rFonts w:ascii="Century Gothic" w:hAnsi="Century Gothic"/>
          <w:b w:val="0"/>
          <w:i/>
        </w:rPr>
        <w:instrText xml:space="preserve"> SEQ Obrázok \* ARABIC </w:instrText>
      </w:r>
      <w:r w:rsidRPr="00377663">
        <w:rPr>
          <w:rFonts w:ascii="Century Gothic" w:hAnsi="Century Gothic"/>
          <w:b w:val="0"/>
          <w:i/>
        </w:rPr>
        <w:fldChar w:fldCharType="separate"/>
      </w:r>
      <w:r w:rsidR="007D6A44">
        <w:rPr>
          <w:rFonts w:ascii="Century Gothic" w:hAnsi="Century Gothic"/>
          <w:b w:val="0"/>
          <w:i/>
          <w:noProof/>
        </w:rPr>
        <w:t>7</w:t>
      </w:r>
      <w:r w:rsidRPr="00377663">
        <w:rPr>
          <w:rFonts w:ascii="Century Gothic" w:hAnsi="Century Gothic"/>
          <w:b w:val="0"/>
          <w:i/>
        </w:rPr>
        <w:fldChar w:fldCharType="end"/>
      </w:r>
      <w:r w:rsidRPr="00377663">
        <w:rPr>
          <w:rFonts w:ascii="Century Gothic" w:hAnsi="Century Gothic"/>
          <w:b w:val="0"/>
          <w:i/>
        </w:rPr>
        <w:t xml:space="preserve"> </w:t>
      </w:r>
      <w:r>
        <w:rPr>
          <w:rFonts w:ascii="Century Gothic" w:hAnsi="Century Gothic"/>
          <w:b w:val="0"/>
          <w:i/>
        </w:rPr>
        <w:t>Umiestnenie Pavilónu urgentnej medicíny</w:t>
      </w:r>
      <w:bookmarkEnd w:id="137"/>
    </w:p>
    <w:p w14:paraId="42C5D2A0" w14:textId="77777777" w:rsidR="006C05EF" w:rsidRDefault="006C05EF" w:rsidP="006C05EF">
      <w:pPr>
        <w:spacing w:line="240" w:lineRule="auto"/>
        <w:jc w:val="center"/>
        <w:rPr>
          <w:rFonts w:ascii="Century Gothic" w:hAnsi="Century Gothic" w:cstheme="minorHAnsi"/>
        </w:rPr>
      </w:pPr>
      <w:r>
        <w:rPr>
          <w:noProof/>
        </w:rPr>
        <mc:AlternateContent>
          <mc:Choice Requires="wps">
            <w:drawing>
              <wp:anchor distT="0" distB="0" distL="114300" distR="114300" simplePos="0" relativeHeight="251664384" behindDoc="0" locked="0" layoutInCell="1" allowOverlap="1" wp14:anchorId="3A2E2BFA" wp14:editId="1859E639">
                <wp:simplePos x="0" y="0"/>
                <wp:positionH relativeFrom="column">
                  <wp:posOffset>3197752</wp:posOffset>
                </wp:positionH>
                <wp:positionV relativeFrom="paragraph">
                  <wp:posOffset>1685985</wp:posOffset>
                </wp:positionV>
                <wp:extent cx="862642" cy="1172845"/>
                <wp:effectExtent l="0" t="0" r="13970" b="27305"/>
                <wp:wrapNone/>
                <wp:docPr id="67" name="Textové pole 67"/>
                <wp:cNvGraphicFramePr/>
                <a:graphic xmlns:a="http://schemas.openxmlformats.org/drawingml/2006/main">
                  <a:graphicData uri="http://schemas.microsoft.com/office/word/2010/wordprocessingShape">
                    <wps:wsp>
                      <wps:cNvSpPr txBox="1"/>
                      <wps:spPr>
                        <a:xfrm>
                          <a:off x="0" y="0"/>
                          <a:ext cx="862642" cy="1172845"/>
                        </a:xfrm>
                        <a:prstGeom prst="rect">
                          <a:avLst/>
                        </a:prstGeom>
                        <a:solidFill>
                          <a:schemeClr val="lt1"/>
                        </a:solidFill>
                        <a:ln w="6350">
                          <a:solidFill>
                            <a:prstClr val="black"/>
                          </a:solidFill>
                        </a:ln>
                      </wps:spPr>
                      <wps:txbx>
                        <w:txbxContent>
                          <w:p w14:paraId="02C70EA8" w14:textId="77777777" w:rsidR="00DA7C13" w:rsidRPr="00377663" w:rsidRDefault="00DA7C13" w:rsidP="006C05EF">
                            <w:pPr>
                              <w:jc w:val="cente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377663">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Pavilón urgentnej medicíny</w:t>
                            </w:r>
                          </w:p>
                          <w:p w14:paraId="298A051F" w14:textId="77777777" w:rsidR="00DA7C13" w:rsidRPr="00377663" w:rsidRDefault="00DA7C13" w:rsidP="006C05EF">
                            <w:pP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E2BFA" id="_x0000_t202" coordsize="21600,21600" o:spt="202" path="m,l,21600r21600,l21600,xe">
                <v:stroke joinstyle="miter"/>
                <v:path gradientshapeok="t" o:connecttype="rect"/>
              </v:shapetype>
              <v:shape id="Textové pole 67" o:spid="_x0000_s1026" type="#_x0000_t202" style="position:absolute;left:0;text-align:left;margin-left:251.8pt;margin-top:132.75pt;width:67.9pt;height:9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" fillcolor="white [3201]" strokeweight=".5pt">
                <v:textbox>
                  <w:txbxContent>
                    <w:p w14:paraId="02C70EA8" w14:textId="77777777" w:rsidR="00DA7C13" w:rsidRPr="00377663" w:rsidRDefault="00DA7C13" w:rsidP="006C05EF">
                      <w:pPr>
                        <w:jc w:val="cente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377663">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Pavilón urgentnej medicíny</w:t>
                      </w:r>
                    </w:p>
                    <w:p w14:paraId="298A051F" w14:textId="77777777" w:rsidR="00DA7C13" w:rsidRPr="00377663" w:rsidRDefault="00DA7C13" w:rsidP="006C05EF">
                      <w:pP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E1C85C" wp14:editId="2FD05F58">
                <wp:simplePos x="0" y="0"/>
                <wp:positionH relativeFrom="column">
                  <wp:posOffset>3051103</wp:posOffset>
                </wp:positionH>
                <wp:positionV relativeFrom="paragraph">
                  <wp:posOffset>1530709</wp:posOffset>
                </wp:positionV>
                <wp:extent cx="1164566" cy="1482725"/>
                <wp:effectExtent l="0" t="0" r="17145" b="22225"/>
                <wp:wrapNone/>
                <wp:docPr id="66" name="Rám 66"/>
                <wp:cNvGraphicFramePr/>
                <a:graphic xmlns:a="http://schemas.openxmlformats.org/drawingml/2006/main">
                  <a:graphicData uri="http://schemas.microsoft.com/office/word/2010/wordprocessingShape">
                    <wps:wsp>
                      <wps:cNvSpPr/>
                      <wps:spPr>
                        <a:xfrm>
                          <a:off x="0" y="0"/>
                          <a:ext cx="1164566" cy="1482725"/>
                        </a:xfrm>
                        <a:prstGeom prst="fram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16C7F" id="Rám 66" o:spid="_x0000_s1026" style="position:absolute;margin-left:240.25pt;margin-top:120.55pt;width:91.7pt;height:1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4566,148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" path="m,l1164566,r,1482725l,1482725,,xm145571,145571r,1191583l1018995,1337154r,-1191583l145571,145571xe" fillcolor="white [3201]" strokecolor="#f79646 [3209]" strokeweight="2pt">
                <v:path arrowok="t" o:connecttype="custom" o:connectlocs="0,0;1164566,0;1164566,1482725;0,1482725;0,0;145571,145571;145571,1337154;1018995,1337154;1018995,145571;145571,145571" o:connectangles="0,0,0,0,0,0,0,0,0,0"/>
              </v:shape>
            </w:pict>
          </mc:Fallback>
        </mc:AlternateContent>
      </w:r>
      <w:r>
        <w:rPr>
          <w:noProof/>
        </w:rPr>
        <w:drawing>
          <wp:inline distT="0" distB="0" distL="0" distR="0" wp14:anchorId="67E6785A" wp14:editId="0FA3F62E">
            <wp:extent cx="4607541" cy="5807034"/>
            <wp:effectExtent l="0" t="0" r="3175" b="3810"/>
            <wp:docPr id="63" name="Obrázok 63" descr="Mapa areálu F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hotspot-image-151" descr="Mapa areálu FNsP"/>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07541" cy="5807034"/>
                    </a:xfrm>
                    <a:prstGeom prst="rect">
                      <a:avLst/>
                    </a:prstGeom>
                    <a:noFill/>
                    <a:ln>
                      <a:noFill/>
                    </a:ln>
                  </pic:spPr>
                </pic:pic>
              </a:graphicData>
            </a:graphic>
          </wp:inline>
        </w:drawing>
      </w:r>
    </w:p>
    <w:p w14:paraId="3F329F05" w14:textId="0475D686" w:rsidR="006C05EF" w:rsidRDefault="006C05EF" w:rsidP="00A72190">
      <w:pPr>
        <w:pStyle w:val="Normlnywebov"/>
        <w:spacing w:before="0" w:beforeAutospacing="0" w:after="0" w:afterAutospacing="0"/>
        <w:jc w:val="both"/>
        <w:rPr>
          <w:rFonts w:ascii="Century Gothic" w:hAnsi="Century Gothic" w:cstheme="minorHAnsi"/>
          <w:sz w:val="22"/>
          <w:szCs w:val="22"/>
        </w:rPr>
      </w:pPr>
    </w:p>
    <w:p w14:paraId="1FB85377" w14:textId="615CD5AF" w:rsidR="006C05EF" w:rsidRDefault="006C05EF" w:rsidP="006C05EF">
      <w:pPr>
        <w:pStyle w:val="Popis"/>
        <w:spacing w:before="0" w:after="0" w:line="240" w:lineRule="auto"/>
        <w:rPr>
          <w:rFonts w:ascii="Century Gothic" w:hAnsi="Century Gothic" w:cstheme="minorHAnsi"/>
          <w:b w:val="0"/>
          <w:i/>
          <w:sz w:val="18"/>
          <w:szCs w:val="18"/>
        </w:rPr>
      </w:pPr>
      <w:r w:rsidRPr="006B1505">
        <w:rPr>
          <w:rFonts w:ascii="Century Gothic" w:hAnsi="Century Gothic" w:cstheme="minorHAnsi"/>
          <w:b w:val="0"/>
          <w:i/>
          <w:sz w:val="18"/>
          <w:szCs w:val="18"/>
        </w:rPr>
        <w:t xml:space="preserve">Zdroj: </w:t>
      </w:r>
      <w:r>
        <w:rPr>
          <w:rFonts w:ascii="Century Gothic" w:hAnsi="Century Gothic" w:cstheme="minorHAnsi"/>
          <w:b w:val="0"/>
          <w:i/>
          <w:sz w:val="18"/>
          <w:szCs w:val="18"/>
        </w:rPr>
        <w:t>Fakultná nemocnica s poliklinikou Žilina</w:t>
      </w:r>
      <w:r w:rsidR="0068259E">
        <w:rPr>
          <w:rFonts w:ascii="Century Gothic" w:hAnsi="Century Gothic" w:cstheme="minorHAnsi"/>
          <w:b w:val="0"/>
          <w:i/>
          <w:sz w:val="18"/>
          <w:szCs w:val="18"/>
        </w:rPr>
        <w:t>, vlastné spracovanie</w:t>
      </w:r>
    </w:p>
    <w:p w14:paraId="37B394B1" w14:textId="77777777" w:rsidR="006C05EF" w:rsidRPr="00A72190" w:rsidRDefault="006C05EF" w:rsidP="00A72190">
      <w:pPr>
        <w:pStyle w:val="Normlnywebov"/>
        <w:spacing w:before="0" w:beforeAutospacing="0" w:after="0" w:afterAutospacing="0"/>
        <w:jc w:val="both"/>
        <w:rPr>
          <w:rFonts w:ascii="Century Gothic" w:hAnsi="Century Gothic" w:cstheme="minorHAnsi"/>
          <w:sz w:val="22"/>
          <w:szCs w:val="22"/>
        </w:rPr>
      </w:pPr>
    </w:p>
    <w:p w14:paraId="697D3724" w14:textId="3AE18B76"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Presadzujeme pavilónový/o</w:t>
      </w:r>
      <w:r w:rsidR="006C05EF">
        <w:rPr>
          <w:rFonts w:ascii="Century Gothic" w:hAnsi="Century Gothic" w:cstheme="minorHAnsi"/>
          <w:sz w:val="22"/>
          <w:szCs w:val="22"/>
        </w:rPr>
        <w:t>verený rebrový typ výstavby (viď.</w:t>
      </w:r>
      <w:r w:rsidRPr="00A72190">
        <w:rPr>
          <w:rFonts w:ascii="Century Gothic" w:hAnsi="Century Gothic" w:cstheme="minorHAnsi"/>
          <w:sz w:val="22"/>
          <w:szCs w:val="22"/>
        </w:rPr>
        <w:t xml:space="preserve"> nemocnica BORY) usporiadaný do kompaktného celku</w:t>
      </w:r>
      <w:r w:rsidR="007756C0">
        <w:rPr>
          <w:rFonts w:ascii="Century Gothic" w:hAnsi="Century Gothic" w:cstheme="minorHAnsi"/>
          <w:sz w:val="22"/>
          <w:szCs w:val="22"/>
        </w:rPr>
        <w:t>,</w:t>
      </w:r>
      <w:r w:rsidRPr="00A72190">
        <w:rPr>
          <w:rFonts w:ascii="Century Gothic" w:hAnsi="Century Gothic" w:cstheme="minorHAnsi"/>
          <w:sz w:val="22"/>
          <w:szCs w:val="22"/>
        </w:rPr>
        <w:t xml:space="preserve"> ktorý by umožnil, v prípade nutnosti, etapový spôsob výstavby prispôsobený charakteru prevádzky nemocničného areálu a možnostiam investora.</w:t>
      </w:r>
    </w:p>
    <w:p w14:paraId="1BC78405"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03B95951" w14:textId="1D0F4F99"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Je uvažované, že nový pavilón bude využívať napojenie na dopravnú a technickú infraštruktúru existujúceho areálu, ktorú bude nutné doplniť a vhodne upraviť o požiadavky novej zástavby. Súčasťou zámeru bude kapacitné riešenie parkovania v podzemnom podlaží nového pavilónu a revitalizácie súvisiaceho územia.</w:t>
      </w:r>
    </w:p>
    <w:p w14:paraId="6F6D6C55"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78A427DA" w14:textId="77777777" w:rsidR="00786A20" w:rsidRPr="00A72190" w:rsidRDefault="00786A20" w:rsidP="00A72190">
      <w:pPr>
        <w:pStyle w:val="Normlnywebov"/>
        <w:spacing w:before="0" w:beforeAutospacing="0" w:after="0" w:afterAutospacing="0"/>
        <w:rPr>
          <w:rFonts w:ascii="Century Gothic" w:hAnsi="Century Gothic" w:cstheme="minorHAnsi"/>
          <w:sz w:val="22"/>
          <w:szCs w:val="22"/>
        </w:rPr>
      </w:pPr>
      <w:r w:rsidRPr="00A72190">
        <w:rPr>
          <w:rFonts w:ascii="Century Gothic" w:hAnsi="Century Gothic" w:cstheme="minorHAnsi"/>
          <w:sz w:val="22"/>
          <w:szCs w:val="22"/>
        </w:rPr>
        <w:t xml:space="preserve">V rámci projektu sa uvažuje aj s riešením peších, cyklistických komunikácií a chodníkov ako aj komplexným riešením </w:t>
      </w:r>
      <w:proofErr w:type="spellStart"/>
      <w:r w:rsidRPr="00A72190">
        <w:rPr>
          <w:rFonts w:ascii="Century Gothic" w:hAnsi="Century Gothic" w:cstheme="minorHAnsi"/>
          <w:sz w:val="22"/>
          <w:szCs w:val="22"/>
        </w:rPr>
        <w:t>vnútroareálovej</w:t>
      </w:r>
      <w:proofErr w:type="spellEnd"/>
      <w:r w:rsidRPr="00A72190">
        <w:rPr>
          <w:rFonts w:ascii="Century Gothic" w:hAnsi="Century Gothic" w:cstheme="minorHAnsi"/>
          <w:sz w:val="22"/>
          <w:szCs w:val="22"/>
        </w:rPr>
        <w:t xml:space="preserve"> dopravy .</w:t>
      </w:r>
    </w:p>
    <w:p w14:paraId="5758774A" w14:textId="77777777" w:rsidR="00A72190" w:rsidRPr="00A72190" w:rsidRDefault="00A72190" w:rsidP="00A72190">
      <w:pPr>
        <w:pStyle w:val="Normlnywebov"/>
        <w:spacing w:before="0" w:beforeAutospacing="0" w:after="0" w:afterAutospacing="0"/>
        <w:rPr>
          <w:rFonts w:ascii="Century Gothic" w:hAnsi="Century Gothic" w:cstheme="minorHAnsi"/>
          <w:b/>
          <w:bCs/>
          <w:sz w:val="22"/>
          <w:szCs w:val="22"/>
        </w:rPr>
      </w:pPr>
    </w:p>
    <w:p w14:paraId="4C99D593" w14:textId="1E1DEC71" w:rsidR="00786A20" w:rsidRDefault="00B046C0" w:rsidP="00A72190">
      <w:pPr>
        <w:pStyle w:val="Normlnywebov"/>
        <w:spacing w:before="0" w:beforeAutospacing="0" w:after="0" w:afterAutospacing="0"/>
        <w:rPr>
          <w:rFonts w:ascii="Century Gothic" w:hAnsi="Century Gothic" w:cstheme="minorHAnsi"/>
          <w:b/>
          <w:bCs/>
          <w:sz w:val="22"/>
          <w:szCs w:val="22"/>
        </w:rPr>
      </w:pPr>
      <w:r>
        <w:rPr>
          <w:rFonts w:ascii="Century Gothic" w:hAnsi="Century Gothic" w:cstheme="minorHAnsi"/>
          <w:b/>
          <w:bCs/>
          <w:sz w:val="22"/>
          <w:szCs w:val="22"/>
        </w:rPr>
        <w:t>Zelené riešenia</w:t>
      </w:r>
    </w:p>
    <w:p w14:paraId="44A33A26" w14:textId="51AC6BBF"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lastRenderedPageBreak/>
        <w:t xml:space="preserve">Areál </w:t>
      </w:r>
      <w:r w:rsidR="007756C0">
        <w:rPr>
          <w:rFonts w:ascii="Century Gothic" w:hAnsi="Century Gothic" w:cstheme="minorHAnsi"/>
          <w:sz w:val="22"/>
          <w:szCs w:val="22"/>
        </w:rPr>
        <w:t>nového P</w:t>
      </w:r>
      <w:r w:rsidRPr="00A72190">
        <w:rPr>
          <w:rFonts w:ascii="Century Gothic" w:hAnsi="Century Gothic" w:cstheme="minorHAnsi"/>
          <w:sz w:val="22"/>
          <w:szCs w:val="22"/>
        </w:rPr>
        <w:t>avilónu urgentnej medicíny s plánovanou výsadbou stromov, zelenými strechami, využitím dažďovej vody, dažďových záhrad a obnoviteľných zdrojov prispeje nielen k znižovaniu emisií CO</w:t>
      </w:r>
      <w:r w:rsidRPr="00A72190">
        <w:rPr>
          <w:rFonts w:ascii="Century Gothic" w:hAnsi="Century Gothic" w:cstheme="minorHAnsi"/>
          <w:sz w:val="22"/>
          <w:szCs w:val="22"/>
          <w:vertAlign w:val="subscript"/>
        </w:rPr>
        <w:t>2</w:t>
      </w:r>
      <w:r w:rsidRPr="00A72190">
        <w:rPr>
          <w:rFonts w:ascii="Century Gothic" w:hAnsi="Century Gothic" w:cstheme="minorHAnsi"/>
          <w:sz w:val="22"/>
          <w:szCs w:val="22"/>
        </w:rPr>
        <w:t xml:space="preserve">, ale aj </w:t>
      </w:r>
      <w:proofErr w:type="spellStart"/>
      <w:r w:rsidRPr="00A72190">
        <w:rPr>
          <w:rFonts w:ascii="Century Gothic" w:hAnsi="Century Gothic" w:cstheme="minorHAnsi"/>
          <w:sz w:val="22"/>
          <w:szCs w:val="22"/>
        </w:rPr>
        <w:t>mitigácii</w:t>
      </w:r>
      <w:proofErr w:type="spellEnd"/>
      <w:r w:rsidRPr="00A72190">
        <w:rPr>
          <w:rFonts w:ascii="Century Gothic" w:hAnsi="Century Gothic" w:cstheme="minorHAnsi"/>
          <w:sz w:val="22"/>
          <w:szCs w:val="22"/>
        </w:rPr>
        <w:t xml:space="preserve"> a adaptácii na klimatickú zmenu a lepšej psychickej pohode pacientov a ich rýchlejšiemu uzdravovaniu.</w:t>
      </w:r>
    </w:p>
    <w:p w14:paraId="5C5285EB"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44FAA42A" w14:textId="29AC1320"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 xml:space="preserve">Zavedenie konceptu “zelenej nemocnice” v zmysle zlepšenia informovanosti verejnosti a podpory aktivít znižujúcich klimatickú záťaž prinesie výrazné benefity z hľadiska environmentálnej záťaže výstavby aj prevádzky nového </w:t>
      </w:r>
      <w:r w:rsidR="007756C0">
        <w:rPr>
          <w:rFonts w:ascii="Century Gothic" w:hAnsi="Century Gothic" w:cstheme="minorHAnsi"/>
          <w:sz w:val="22"/>
          <w:szCs w:val="22"/>
        </w:rPr>
        <w:t>P</w:t>
      </w:r>
      <w:r w:rsidRPr="00A72190">
        <w:rPr>
          <w:rFonts w:ascii="Century Gothic" w:hAnsi="Century Gothic" w:cstheme="minorHAnsi"/>
          <w:sz w:val="22"/>
          <w:szCs w:val="22"/>
        </w:rPr>
        <w:t>avilónu urgentnej medicíny. Vybudovanie novej “zelenej nemocnice”, ktor</w:t>
      </w:r>
      <w:r w:rsidR="007756C0">
        <w:rPr>
          <w:rFonts w:ascii="Century Gothic" w:hAnsi="Century Gothic" w:cstheme="minorHAnsi"/>
          <w:sz w:val="22"/>
          <w:szCs w:val="22"/>
        </w:rPr>
        <w:t>é</w:t>
      </w:r>
      <w:r w:rsidRPr="00A72190">
        <w:rPr>
          <w:rFonts w:ascii="Century Gothic" w:hAnsi="Century Gothic" w:cstheme="minorHAnsi"/>
          <w:sz w:val="22"/>
          <w:szCs w:val="22"/>
        </w:rPr>
        <w:t xml:space="preserve"> bud</w:t>
      </w:r>
      <w:r w:rsidR="007756C0">
        <w:rPr>
          <w:rFonts w:ascii="Century Gothic" w:hAnsi="Century Gothic" w:cstheme="minorHAnsi"/>
          <w:sz w:val="22"/>
          <w:szCs w:val="22"/>
        </w:rPr>
        <w:t>e</w:t>
      </w:r>
      <w:r w:rsidRPr="00A72190">
        <w:rPr>
          <w:rFonts w:ascii="Century Gothic" w:hAnsi="Century Gothic" w:cstheme="minorHAnsi"/>
          <w:sz w:val="22"/>
          <w:szCs w:val="22"/>
        </w:rPr>
        <w:t xml:space="preserve"> ekonomicky, ekologicky a spoločensky udržateľné bude jednou zo základných požiadaviek nastavenia projektov týchto investícií.</w:t>
      </w:r>
    </w:p>
    <w:p w14:paraId="6D076362"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5E78A95C" w14:textId="7E822533"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Pri výstavbe nových nemocničn</w:t>
      </w:r>
      <w:r w:rsidR="007756C0">
        <w:rPr>
          <w:rFonts w:ascii="Century Gothic" w:hAnsi="Century Gothic" w:cstheme="minorHAnsi"/>
          <w:sz w:val="22"/>
          <w:szCs w:val="22"/>
        </w:rPr>
        <w:t>ých zariadení</w:t>
      </w:r>
      <w:r w:rsidRPr="00A72190">
        <w:rPr>
          <w:rFonts w:ascii="Century Gothic" w:hAnsi="Century Gothic" w:cstheme="minorHAnsi"/>
          <w:sz w:val="22"/>
          <w:szCs w:val="22"/>
        </w:rPr>
        <w:t xml:space="preserve"> je zadefinovaná úroveň štandardov certifikácie BREEAM – </w:t>
      </w:r>
      <w:proofErr w:type="spellStart"/>
      <w:r w:rsidRPr="00A72190">
        <w:rPr>
          <w:rFonts w:ascii="Century Gothic" w:hAnsi="Century Gothic" w:cstheme="minorHAnsi"/>
          <w:sz w:val="22"/>
          <w:szCs w:val="22"/>
        </w:rPr>
        <w:t>Excellent</w:t>
      </w:r>
      <w:proofErr w:type="spellEnd"/>
      <w:r w:rsidRPr="00A72190">
        <w:rPr>
          <w:rFonts w:ascii="Century Gothic" w:hAnsi="Century Gothic" w:cstheme="minorHAnsi"/>
          <w:sz w:val="22"/>
          <w:szCs w:val="22"/>
        </w:rPr>
        <w:t xml:space="preserve">. Pre dosiahnutie úrovne BREEAM </w:t>
      </w:r>
      <w:proofErr w:type="spellStart"/>
      <w:r w:rsidRPr="00A72190">
        <w:rPr>
          <w:rFonts w:ascii="Century Gothic" w:hAnsi="Century Gothic" w:cstheme="minorHAnsi"/>
          <w:sz w:val="22"/>
          <w:szCs w:val="22"/>
        </w:rPr>
        <w:t>Excellent</w:t>
      </w:r>
      <w:proofErr w:type="spellEnd"/>
      <w:r w:rsidRPr="00A72190">
        <w:rPr>
          <w:rFonts w:ascii="Century Gothic" w:hAnsi="Century Gothic" w:cstheme="minorHAnsi"/>
          <w:sz w:val="22"/>
          <w:szCs w:val="22"/>
        </w:rPr>
        <w:t xml:space="preserve"> je z pohľadu energetickej efektívnosti nevyhnutné dosiahnutie úspory primárnej energie minimálne o 20 % nižšie ako je stanovená hodnota A0 definovaná pre podmienky SR. Dosiahnutie stanoveného cieľa úspory primárnej energie bude validované samotným certifikátom BREEAM </w:t>
      </w:r>
      <w:proofErr w:type="spellStart"/>
      <w:r w:rsidRPr="00A72190">
        <w:rPr>
          <w:rFonts w:ascii="Century Gothic" w:hAnsi="Century Gothic" w:cstheme="minorHAnsi"/>
          <w:sz w:val="22"/>
          <w:szCs w:val="22"/>
        </w:rPr>
        <w:t>Excellent</w:t>
      </w:r>
      <w:proofErr w:type="spellEnd"/>
      <w:r w:rsidRPr="00A72190">
        <w:rPr>
          <w:rFonts w:ascii="Century Gothic" w:hAnsi="Century Gothic" w:cstheme="minorHAnsi"/>
          <w:sz w:val="22"/>
          <w:szCs w:val="22"/>
        </w:rPr>
        <w:t xml:space="preserve"> a taktiež energetickým certifikátom v zmysle legislatívy SR pre kolaudáciu budov, ktorý bude súčasťou zrealizovaného projektu.</w:t>
      </w:r>
    </w:p>
    <w:p w14:paraId="24DBECBE"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560620E9" w14:textId="4E052592"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 xml:space="preserve">Výstavba nového </w:t>
      </w:r>
      <w:r w:rsidR="007756C0">
        <w:rPr>
          <w:rFonts w:ascii="Century Gothic" w:hAnsi="Century Gothic" w:cstheme="minorHAnsi"/>
          <w:sz w:val="22"/>
          <w:szCs w:val="22"/>
        </w:rPr>
        <w:t>P</w:t>
      </w:r>
      <w:r w:rsidRPr="00A72190">
        <w:rPr>
          <w:rFonts w:ascii="Century Gothic" w:hAnsi="Century Gothic" w:cstheme="minorHAnsi"/>
          <w:sz w:val="22"/>
          <w:szCs w:val="22"/>
        </w:rPr>
        <w:t>avilónu urgentnej medicíny bude zahŕňať digitálne vybavenie a prispeje tak k digitalizácii základných procesov. Všetky projekty výstavby budú počítať so zásadnou reformou riadenia procesov a ich optimalizácie a s plným využitím možností digitaliz</w:t>
      </w:r>
      <w:r w:rsidR="007756C0">
        <w:rPr>
          <w:rFonts w:ascii="Century Gothic" w:hAnsi="Century Gothic" w:cstheme="minorHAnsi"/>
          <w:sz w:val="22"/>
          <w:szCs w:val="22"/>
        </w:rPr>
        <w:t>ácie a automatizácie prevádzky P</w:t>
      </w:r>
      <w:r w:rsidRPr="00A72190">
        <w:rPr>
          <w:rFonts w:ascii="Century Gothic" w:hAnsi="Century Gothic" w:cstheme="minorHAnsi"/>
          <w:sz w:val="22"/>
          <w:szCs w:val="22"/>
        </w:rPr>
        <w:t>avilónu urgentnej medicíny.</w:t>
      </w:r>
    </w:p>
    <w:p w14:paraId="0F1E8182"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44297977" w14:textId="583FE96C"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 xml:space="preserve">Odznievajúca pandémia potvrdila nutnosť viac využívať súčasné možnosti postupov a existujúcich zariadení </w:t>
      </w:r>
      <w:proofErr w:type="spellStart"/>
      <w:r w:rsidRPr="00A72190">
        <w:rPr>
          <w:rFonts w:ascii="Century Gothic" w:hAnsi="Century Gothic" w:cstheme="minorHAnsi"/>
          <w:sz w:val="22"/>
          <w:szCs w:val="22"/>
        </w:rPr>
        <w:t>telemedicíny</w:t>
      </w:r>
      <w:proofErr w:type="spellEnd"/>
      <w:r w:rsidRPr="00A72190">
        <w:rPr>
          <w:rFonts w:ascii="Century Gothic" w:hAnsi="Century Gothic" w:cstheme="minorHAnsi"/>
          <w:sz w:val="22"/>
          <w:szCs w:val="22"/>
        </w:rPr>
        <w:t xml:space="preserve">. V zahraničí je </w:t>
      </w:r>
      <w:proofErr w:type="spellStart"/>
      <w:r w:rsidRPr="00A72190">
        <w:rPr>
          <w:rFonts w:ascii="Century Gothic" w:hAnsi="Century Gothic" w:cstheme="minorHAnsi"/>
          <w:sz w:val="22"/>
          <w:szCs w:val="22"/>
        </w:rPr>
        <w:t>telemedicína</w:t>
      </w:r>
      <w:proofErr w:type="spellEnd"/>
      <w:r w:rsidRPr="00A72190">
        <w:rPr>
          <w:rFonts w:ascii="Century Gothic" w:hAnsi="Century Gothic" w:cstheme="minorHAnsi"/>
          <w:sz w:val="22"/>
          <w:szCs w:val="22"/>
        </w:rPr>
        <w:t xml:space="preserve"> využívaná už dlhšiu dobu a je zrejmé, že pri správnom nasadení zvyšuje bezpečnosť pacienta i zdravotníckych pracovníkov, zlepšuje klinické parametre najmä u chronických ochorení a môže aj šetriť náklady. </w:t>
      </w:r>
    </w:p>
    <w:p w14:paraId="26EAB27F"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06259683" w14:textId="070921CF" w:rsidR="00786A20" w:rsidRPr="00A7219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 xml:space="preserve">V novom pavilóne bude k dispozícii softvérové vybavenie využívajúce umelú inteligenciu umožní optimalizáciu radiačnej dávky a efektívnejšie vyhodnocovanie rádiologických vyšetrení. </w:t>
      </w:r>
    </w:p>
    <w:p w14:paraId="0462BE39" w14:textId="77777777" w:rsidR="00A72190" w:rsidRPr="00A72190" w:rsidRDefault="00A72190" w:rsidP="00A72190">
      <w:pPr>
        <w:pStyle w:val="Normlnywebov"/>
        <w:spacing w:before="0" w:beforeAutospacing="0" w:after="0" w:afterAutospacing="0"/>
        <w:jc w:val="both"/>
        <w:rPr>
          <w:rFonts w:ascii="Century Gothic" w:hAnsi="Century Gothic" w:cstheme="minorHAnsi"/>
          <w:sz w:val="22"/>
          <w:szCs w:val="22"/>
        </w:rPr>
      </w:pPr>
    </w:p>
    <w:p w14:paraId="6B0BCF9E" w14:textId="6FC1D973" w:rsidR="00786A20" w:rsidRDefault="00786A20" w:rsidP="00A72190">
      <w:pPr>
        <w:pStyle w:val="Normlnywebov"/>
        <w:spacing w:before="0" w:beforeAutospacing="0" w:after="0" w:afterAutospacing="0"/>
        <w:jc w:val="both"/>
        <w:rPr>
          <w:rFonts w:ascii="Century Gothic" w:hAnsi="Century Gothic" w:cstheme="minorHAnsi"/>
          <w:sz w:val="22"/>
          <w:szCs w:val="22"/>
        </w:rPr>
      </w:pPr>
      <w:r w:rsidRPr="00A72190">
        <w:rPr>
          <w:rFonts w:ascii="Century Gothic" w:hAnsi="Century Gothic" w:cstheme="minorHAnsi"/>
          <w:sz w:val="22"/>
          <w:szCs w:val="22"/>
        </w:rPr>
        <w:t xml:space="preserve">Predpokladáme aj prepojenie na sieť digitalizovaných patologických pracovísk integrovaných do národného archívu patologických vyšetrení, v ktorom bude k dispozícii softvérov vybavenie využívajúce umelú inteligenciu pre efektívnejšie vyhodnocovanie patologických vyšetrení. </w:t>
      </w:r>
    </w:p>
    <w:p w14:paraId="7ABFFA59" w14:textId="6E677E0F" w:rsidR="00377663" w:rsidRDefault="00377663" w:rsidP="00A72190">
      <w:pPr>
        <w:pStyle w:val="Normlnywebov"/>
        <w:spacing w:before="0" w:beforeAutospacing="0" w:after="0" w:afterAutospacing="0"/>
        <w:jc w:val="both"/>
        <w:rPr>
          <w:rFonts w:ascii="Century Gothic" w:hAnsi="Century Gothic" w:cstheme="minorHAnsi"/>
          <w:sz w:val="22"/>
          <w:szCs w:val="22"/>
        </w:rPr>
      </w:pPr>
    </w:p>
    <w:p w14:paraId="59232F6E" w14:textId="77777777" w:rsidR="00377663" w:rsidRDefault="00377663" w:rsidP="00377663">
      <w:pPr>
        <w:pStyle w:val="Popis"/>
        <w:spacing w:before="0" w:after="0" w:line="240" w:lineRule="auto"/>
        <w:rPr>
          <w:rFonts w:ascii="Century Gothic" w:hAnsi="Century Gothic"/>
          <w:b w:val="0"/>
          <w:i/>
        </w:rPr>
      </w:pPr>
    </w:p>
    <w:p w14:paraId="41805A20" w14:textId="77777777" w:rsidR="00377663" w:rsidRDefault="00377663" w:rsidP="00377663">
      <w:pPr>
        <w:pStyle w:val="Popis"/>
        <w:spacing w:before="0" w:after="0" w:line="240" w:lineRule="auto"/>
        <w:rPr>
          <w:rFonts w:ascii="Century Gothic" w:hAnsi="Century Gothic"/>
          <w:b w:val="0"/>
          <w:i/>
        </w:rPr>
      </w:pPr>
    </w:p>
    <w:p w14:paraId="1FE4AD18" w14:textId="77777777" w:rsidR="00377663" w:rsidRDefault="00377663" w:rsidP="00377663">
      <w:pPr>
        <w:pStyle w:val="Popis"/>
        <w:spacing w:before="0" w:after="0" w:line="240" w:lineRule="auto"/>
        <w:rPr>
          <w:rFonts w:ascii="Century Gothic" w:hAnsi="Century Gothic"/>
          <w:b w:val="0"/>
          <w:i/>
        </w:rPr>
      </w:pPr>
    </w:p>
    <w:p w14:paraId="1BEEBA26" w14:textId="77777777" w:rsidR="00377663" w:rsidRDefault="00377663" w:rsidP="00377663">
      <w:pPr>
        <w:pStyle w:val="Popis"/>
        <w:spacing w:before="0" w:after="0" w:line="240" w:lineRule="auto"/>
        <w:rPr>
          <w:rFonts w:ascii="Century Gothic" w:hAnsi="Century Gothic"/>
          <w:b w:val="0"/>
          <w:i/>
        </w:rPr>
      </w:pPr>
    </w:p>
    <w:p w14:paraId="1002AE84" w14:textId="77777777" w:rsidR="00377663" w:rsidRDefault="00377663" w:rsidP="00377663">
      <w:pPr>
        <w:pStyle w:val="Popis"/>
        <w:spacing w:before="0" w:after="0" w:line="240" w:lineRule="auto"/>
        <w:rPr>
          <w:rFonts w:ascii="Century Gothic" w:hAnsi="Century Gothic"/>
          <w:b w:val="0"/>
          <w:i/>
        </w:rPr>
      </w:pPr>
    </w:p>
    <w:p w14:paraId="53755062" w14:textId="77777777" w:rsidR="00377663" w:rsidRDefault="00377663" w:rsidP="00377663">
      <w:pPr>
        <w:pStyle w:val="Popis"/>
        <w:spacing w:before="0" w:after="0" w:line="240" w:lineRule="auto"/>
        <w:rPr>
          <w:rFonts w:ascii="Century Gothic" w:hAnsi="Century Gothic"/>
          <w:b w:val="0"/>
          <w:i/>
        </w:rPr>
      </w:pPr>
    </w:p>
    <w:p w14:paraId="22654B92" w14:textId="77777777" w:rsidR="00377663" w:rsidRDefault="00377663" w:rsidP="00377663">
      <w:pPr>
        <w:pStyle w:val="Popis"/>
        <w:spacing w:before="0" w:after="0" w:line="240" w:lineRule="auto"/>
        <w:rPr>
          <w:rFonts w:ascii="Century Gothic" w:hAnsi="Century Gothic"/>
          <w:b w:val="0"/>
          <w:i/>
        </w:rPr>
      </w:pPr>
    </w:p>
    <w:p w14:paraId="01C8A81D" w14:textId="77777777" w:rsidR="00377663" w:rsidRDefault="00377663" w:rsidP="00377663">
      <w:pPr>
        <w:pStyle w:val="Popis"/>
        <w:spacing w:before="0" w:after="0" w:line="240" w:lineRule="auto"/>
        <w:rPr>
          <w:rFonts w:ascii="Century Gothic" w:hAnsi="Century Gothic"/>
          <w:b w:val="0"/>
          <w:i/>
        </w:rPr>
      </w:pPr>
    </w:p>
    <w:p w14:paraId="56F0AE6F" w14:textId="77777777" w:rsidR="00377663" w:rsidRDefault="00377663" w:rsidP="00377663">
      <w:pPr>
        <w:pStyle w:val="Popis"/>
        <w:spacing w:before="0" w:after="0" w:line="240" w:lineRule="auto"/>
        <w:rPr>
          <w:rFonts w:ascii="Century Gothic" w:hAnsi="Century Gothic"/>
          <w:b w:val="0"/>
          <w:i/>
        </w:rPr>
      </w:pPr>
    </w:p>
    <w:p w14:paraId="76C136F8" w14:textId="77777777" w:rsidR="00377663" w:rsidRDefault="00377663" w:rsidP="00377663">
      <w:pPr>
        <w:pStyle w:val="Popis"/>
        <w:spacing w:before="0" w:after="0" w:line="240" w:lineRule="auto"/>
        <w:rPr>
          <w:rFonts w:ascii="Century Gothic" w:hAnsi="Century Gothic"/>
          <w:b w:val="0"/>
          <w:i/>
        </w:rPr>
      </w:pPr>
    </w:p>
    <w:p w14:paraId="03FA48DD" w14:textId="77777777" w:rsidR="00377663" w:rsidRDefault="00377663" w:rsidP="00377663">
      <w:pPr>
        <w:pStyle w:val="Popis"/>
        <w:spacing w:before="0" w:after="0" w:line="240" w:lineRule="auto"/>
        <w:rPr>
          <w:rFonts w:ascii="Century Gothic" w:hAnsi="Century Gothic"/>
          <w:b w:val="0"/>
          <w:i/>
        </w:rPr>
      </w:pPr>
    </w:p>
    <w:p w14:paraId="0D7DAF9A" w14:textId="77777777" w:rsidR="00377663" w:rsidRDefault="00377663" w:rsidP="00377663">
      <w:pPr>
        <w:pStyle w:val="Popis"/>
        <w:spacing w:before="0" w:after="0" w:line="240" w:lineRule="auto"/>
        <w:rPr>
          <w:rFonts w:ascii="Century Gothic" w:hAnsi="Century Gothic"/>
          <w:b w:val="0"/>
          <w:i/>
        </w:rPr>
      </w:pPr>
    </w:p>
    <w:p w14:paraId="2419E9A0" w14:textId="77777777" w:rsidR="0068259E" w:rsidRDefault="0068259E" w:rsidP="00943F77">
      <w:pPr>
        <w:pStyle w:val="Popis"/>
        <w:spacing w:before="0" w:after="0" w:line="240" w:lineRule="auto"/>
        <w:rPr>
          <w:rFonts w:ascii="Century Gothic" w:hAnsi="Century Gothic"/>
          <w:b w:val="0"/>
          <w:i/>
        </w:rPr>
      </w:pPr>
      <w:bookmarkStart w:id="138" w:name="_Toc145219860"/>
    </w:p>
    <w:p w14:paraId="3E608E59" w14:textId="0A84CF85" w:rsidR="00943F77" w:rsidRDefault="00943F77" w:rsidP="00943F77">
      <w:pPr>
        <w:pStyle w:val="Popis"/>
        <w:spacing w:before="0" w:after="0" w:line="240" w:lineRule="auto"/>
        <w:rPr>
          <w:rFonts w:ascii="Century Gothic" w:hAnsi="Century Gothic"/>
          <w:b w:val="0"/>
          <w:i/>
        </w:rPr>
      </w:pPr>
      <w:r w:rsidRPr="000E4F94">
        <w:rPr>
          <w:rFonts w:ascii="Century Gothic" w:hAnsi="Century Gothic"/>
          <w:b w:val="0"/>
          <w:i/>
        </w:rPr>
        <w:lastRenderedPageBreak/>
        <w:t xml:space="preserve">Obrázok </w:t>
      </w:r>
      <w:r w:rsidRPr="000E4F94">
        <w:rPr>
          <w:rFonts w:ascii="Century Gothic" w:hAnsi="Century Gothic"/>
          <w:b w:val="0"/>
          <w:i/>
        </w:rPr>
        <w:fldChar w:fldCharType="begin"/>
      </w:r>
      <w:r w:rsidRPr="000E4F94">
        <w:rPr>
          <w:rFonts w:ascii="Century Gothic" w:hAnsi="Century Gothic"/>
          <w:b w:val="0"/>
          <w:i/>
        </w:rPr>
        <w:instrText xml:space="preserve"> SEQ Obrázok \* ARABIC </w:instrText>
      </w:r>
      <w:r w:rsidRPr="000E4F94">
        <w:rPr>
          <w:rFonts w:ascii="Century Gothic" w:hAnsi="Century Gothic"/>
          <w:b w:val="0"/>
          <w:i/>
        </w:rPr>
        <w:fldChar w:fldCharType="separate"/>
      </w:r>
      <w:r w:rsidR="007D6A44">
        <w:rPr>
          <w:rFonts w:ascii="Century Gothic" w:hAnsi="Century Gothic"/>
          <w:b w:val="0"/>
          <w:i/>
          <w:noProof/>
        </w:rPr>
        <w:t>8</w:t>
      </w:r>
      <w:r w:rsidRPr="000E4F94">
        <w:rPr>
          <w:rFonts w:ascii="Century Gothic" w:hAnsi="Century Gothic"/>
          <w:b w:val="0"/>
          <w:i/>
        </w:rPr>
        <w:fldChar w:fldCharType="end"/>
      </w:r>
      <w:r w:rsidRPr="000E4F94">
        <w:rPr>
          <w:rFonts w:ascii="Century Gothic" w:hAnsi="Century Gothic"/>
          <w:b w:val="0"/>
          <w:i/>
        </w:rPr>
        <w:t xml:space="preserve"> Vizualizácia nového pavilónu</w:t>
      </w:r>
      <w:bookmarkEnd w:id="138"/>
    </w:p>
    <w:p w14:paraId="25565D9E" w14:textId="60D9CBB2" w:rsidR="0053249D" w:rsidRPr="0053249D" w:rsidRDefault="0053249D" w:rsidP="00D43498">
      <w:pPr>
        <w:jc w:val="center"/>
        <w:rPr>
          <w:lang w:eastAsia="cs-CZ"/>
        </w:rPr>
      </w:pPr>
      <w:r>
        <w:rPr>
          <w:noProof/>
        </w:rPr>
        <w:drawing>
          <wp:inline distT="0" distB="0" distL="0" distR="0" wp14:anchorId="5B9B0146" wp14:editId="13D155EB">
            <wp:extent cx="5752465" cy="1647825"/>
            <wp:effectExtent l="0" t="0" r="635"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2465" cy="1647825"/>
                    </a:xfrm>
                    <a:prstGeom prst="rect">
                      <a:avLst/>
                    </a:prstGeom>
                    <a:noFill/>
                    <a:ln>
                      <a:noFill/>
                    </a:ln>
                  </pic:spPr>
                </pic:pic>
              </a:graphicData>
            </a:graphic>
          </wp:inline>
        </w:drawing>
      </w:r>
    </w:p>
    <w:p w14:paraId="1941D250" w14:textId="5F674181" w:rsidR="00943F77" w:rsidRDefault="0053249D" w:rsidP="00D43498">
      <w:pPr>
        <w:spacing w:line="240" w:lineRule="auto"/>
        <w:jc w:val="center"/>
        <w:rPr>
          <w:rFonts w:ascii="Century Gothic" w:hAnsi="Century Gothic"/>
          <w:i/>
          <w:sz w:val="18"/>
          <w:szCs w:val="18"/>
        </w:rPr>
      </w:pPr>
      <w:r>
        <w:rPr>
          <w:rFonts w:ascii="Century Gothic" w:hAnsi="Century Gothic"/>
          <w:b/>
          <w:noProof/>
        </w:rPr>
        <w:drawing>
          <wp:inline distT="0" distB="0" distL="0" distR="0" wp14:anchorId="645F1C37" wp14:editId="5A2F3092">
            <wp:extent cx="5752465" cy="2052320"/>
            <wp:effectExtent l="0" t="0" r="635"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52465" cy="2052320"/>
                    </a:xfrm>
                    <a:prstGeom prst="rect">
                      <a:avLst/>
                    </a:prstGeom>
                    <a:noFill/>
                    <a:ln>
                      <a:noFill/>
                    </a:ln>
                  </pic:spPr>
                </pic:pic>
              </a:graphicData>
            </a:graphic>
          </wp:inline>
        </w:drawing>
      </w:r>
      <w:r w:rsidR="00943F77">
        <w:rPr>
          <w:rFonts w:ascii="Century Gothic" w:hAnsi="Century Gothic"/>
          <w:b/>
          <w:noProof/>
        </w:rPr>
        <w:drawing>
          <wp:inline distT="0" distB="0" distL="0" distR="0" wp14:anchorId="5A68708F" wp14:editId="73B2F17E">
            <wp:extent cx="5759450" cy="1199515"/>
            <wp:effectExtent l="0" t="0" r="0" b="63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59450" cy="1199515"/>
                    </a:xfrm>
                    <a:prstGeom prst="rect">
                      <a:avLst/>
                    </a:prstGeom>
                    <a:noFill/>
                    <a:ln>
                      <a:noFill/>
                    </a:ln>
                  </pic:spPr>
                </pic:pic>
              </a:graphicData>
            </a:graphic>
          </wp:inline>
        </w:drawing>
      </w:r>
    </w:p>
    <w:p w14:paraId="0D2E02B5" w14:textId="77777777" w:rsidR="00943F77" w:rsidRDefault="00943F77" w:rsidP="00943F77">
      <w:pPr>
        <w:spacing w:line="240" w:lineRule="auto"/>
        <w:rPr>
          <w:rFonts w:ascii="Century Gothic" w:hAnsi="Century Gothic"/>
          <w:i/>
          <w:sz w:val="18"/>
          <w:szCs w:val="18"/>
        </w:rPr>
      </w:pPr>
    </w:p>
    <w:p w14:paraId="392AA3B5" w14:textId="77777777" w:rsidR="00943F77" w:rsidRDefault="00943F77" w:rsidP="00943F77">
      <w:pPr>
        <w:spacing w:line="240" w:lineRule="auto"/>
        <w:rPr>
          <w:rFonts w:ascii="Century Gothic" w:hAnsi="Century Gothic"/>
          <w:i/>
          <w:sz w:val="18"/>
          <w:szCs w:val="18"/>
        </w:rPr>
      </w:pPr>
      <w:r>
        <w:rPr>
          <w:rFonts w:ascii="Century Gothic" w:hAnsi="Century Gothic"/>
          <w:i/>
          <w:noProof/>
          <w:sz w:val="18"/>
          <w:szCs w:val="18"/>
        </w:rPr>
        <w:drawing>
          <wp:inline distT="0" distB="0" distL="0" distR="0" wp14:anchorId="32E75CEB" wp14:editId="70E47DCF">
            <wp:extent cx="5759450" cy="124714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9450" cy="1247140"/>
                    </a:xfrm>
                    <a:prstGeom prst="rect">
                      <a:avLst/>
                    </a:prstGeom>
                    <a:noFill/>
                    <a:ln>
                      <a:noFill/>
                    </a:ln>
                  </pic:spPr>
                </pic:pic>
              </a:graphicData>
            </a:graphic>
          </wp:inline>
        </w:drawing>
      </w:r>
    </w:p>
    <w:p w14:paraId="33D73B4F" w14:textId="77777777" w:rsidR="00943F77" w:rsidRDefault="00943F77" w:rsidP="00943F77">
      <w:pPr>
        <w:spacing w:line="240" w:lineRule="auto"/>
        <w:rPr>
          <w:rFonts w:ascii="Century Gothic" w:hAnsi="Century Gothic"/>
          <w:i/>
          <w:sz w:val="18"/>
          <w:szCs w:val="18"/>
        </w:rPr>
      </w:pPr>
    </w:p>
    <w:p w14:paraId="630B1665" w14:textId="77777777" w:rsidR="00943F77" w:rsidRDefault="00943F77" w:rsidP="00943F77">
      <w:pPr>
        <w:spacing w:line="240" w:lineRule="auto"/>
        <w:rPr>
          <w:rFonts w:ascii="Century Gothic" w:hAnsi="Century Gothic"/>
          <w:i/>
          <w:sz w:val="18"/>
          <w:szCs w:val="18"/>
        </w:rPr>
      </w:pPr>
      <w:r>
        <w:rPr>
          <w:rFonts w:ascii="Century Gothic" w:hAnsi="Century Gothic"/>
          <w:i/>
          <w:noProof/>
          <w:sz w:val="18"/>
          <w:szCs w:val="18"/>
        </w:rPr>
        <w:drawing>
          <wp:inline distT="0" distB="0" distL="0" distR="0" wp14:anchorId="08BB5142" wp14:editId="1529098D">
            <wp:extent cx="5759450" cy="1104265"/>
            <wp:effectExtent l="0" t="0" r="0" b="63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59450" cy="1104265"/>
                    </a:xfrm>
                    <a:prstGeom prst="rect">
                      <a:avLst/>
                    </a:prstGeom>
                    <a:noFill/>
                    <a:ln>
                      <a:noFill/>
                    </a:ln>
                  </pic:spPr>
                </pic:pic>
              </a:graphicData>
            </a:graphic>
          </wp:inline>
        </w:drawing>
      </w:r>
    </w:p>
    <w:p w14:paraId="3B671295" w14:textId="77777777" w:rsidR="00943F77" w:rsidRDefault="00943F77" w:rsidP="00943F77">
      <w:pPr>
        <w:spacing w:line="240" w:lineRule="auto"/>
        <w:rPr>
          <w:rFonts w:ascii="Century Gothic" w:hAnsi="Century Gothic"/>
          <w:i/>
          <w:sz w:val="18"/>
          <w:szCs w:val="18"/>
        </w:rPr>
      </w:pPr>
    </w:p>
    <w:p w14:paraId="3E719A74" w14:textId="7D8285CE" w:rsidR="00943F77" w:rsidRDefault="00943F77" w:rsidP="00943F77">
      <w:pPr>
        <w:pStyle w:val="Normlnywebov"/>
        <w:spacing w:before="0" w:beforeAutospacing="0" w:after="0" w:afterAutospacing="0"/>
        <w:jc w:val="both"/>
        <w:rPr>
          <w:rFonts w:ascii="Century Gothic" w:hAnsi="Century Gothic"/>
          <w:i/>
          <w:sz w:val="18"/>
          <w:szCs w:val="18"/>
        </w:rPr>
      </w:pPr>
      <w:r w:rsidRPr="00256580">
        <w:rPr>
          <w:rFonts w:ascii="Century Gothic" w:hAnsi="Century Gothic"/>
          <w:i/>
          <w:sz w:val="18"/>
          <w:szCs w:val="18"/>
        </w:rPr>
        <w:t xml:space="preserve">Zdroj: </w:t>
      </w:r>
      <w:r w:rsidRPr="00E01E73">
        <w:rPr>
          <w:rFonts w:ascii="Century Gothic" w:hAnsi="Century Gothic"/>
          <w:i/>
          <w:sz w:val="18"/>
          <w:szCs w:val="18"/>
        </w:rPr>
        <w:t>Súhrnná a sprievodná technická správa – Pavilón urgentnej medicíny</w:t>
      </w:r>
    </w:p>
    <w:p w14:paraId="13543762" w14:textId="77777777" w:rsidR="00B046C0" w:rsidRDefault="00B046C0" w:rsidP="00943F77">
      <w:pPr>
        <w:pStyle w:val="Normlnywebov"/>
        <w:spacing w:before="0" w:beforeAutospacing="0" w:after="0" w:afterAutospacing="0"/>
        <w:jc w:val="both"/>
        <w:rPr>
          <w:rFonts w:ascii="Century Gothic" w:hAnsi="Century Gothic" w:cstheme="minorHAnsi"/>
          <w:sz w:val="22"/>
          <w:szCs w:val="22"/>
        </w:rPr>
      </w:pPr>
    </w:p>
    <w:p w14:paraId="000515C3" w14:textId="77777777" w:rsidR="00181CD2" w:rsidRDefault="00181CD2" w:rsidP="00A72190">
      <w:pPr>
        <w:pStyle w:val="Normlnywebov"/>
        <w:spacing w:before="0" w:beforeAutospacing="0" w:after="0" w:afterAutospacing="0"/>
        <w:jc w:val="both"/>
        <w:rPr>
          <w:rFonts w:ascii="Century Gothic" w:hAnsi="Century Gothic" w:cstheme="minorHAnsi"/>
          <w:b/>
          <w:sz w:val="22"/>
          <w:szCs w:val="22"/>
        </w:rPr>
      </w:pPr>
    </w:p>
    <w:p w14:paraId="437DFA66" w14:textId="77777777" w:rsidR="00181CD2" w:rsidRDefault="00181CD2" w:rsidP="00A72190">
      <w:pPr>
        <w:pStyle w:val="Normlnywebov"/>
        <w:spacing w:before="0" w:beforeAutospacing="0" w:after="0" w:afterAutospacing="0"/>
        <w:jc w:val="both"/>
        <w:rPr>
          <w:rFonts w:ascii="Century Gothic" w:hAnsi="Century Gothic" w:cstheme="minorHAnsi"/>
          <w:b/>
          <w:sz w:val="22"/>
          <w:szCs w:val="22"/>
        </w:rPr>
      </w:pPr>
    </w:p>
    <w:p w14:paraId="52609669" w14:textId="77777777" w:rsidR="0068259E" w:rsidRDefault="0068259E" w:rsidP="00A72190">
      <w:pPr>
        <w:pStyle w:val="Normlnywebov"/>
        <w:spacing w:before="0" w:beforeAutospacing="0" w:after="0" w:afterAutospacing="0"/>
        <w:jc w:val="both"/>
        <w:rPr>
          <w:rFonts w:ascii="Century Gothic" w:hAnsi="Century Gothic" w:cstheme="minorHAnsi"/>
          <w:b/>
          <w:sz w:val="22"/>
          <w:szCs w:val="22"/>
        </w:rPr>
      </w:pPr>
    </w:p>
    <w:p w14:paraId="322B7B42" w14:textId="77777777" w:rsidR="0068259E" w:rsidRDefault="0068259E" w:rsidP="00A72190">
      <w:pPr>
        <w:pStyle w:val="Normlnywebov"/>
        <w:spacing w:before="0" w:beforeAutospacing="0" w:after="0" w:afterAutospacing="0"/>
        <w:jc w:val="both"/>
        <w:rPr>
          <w:rFonts w:ascii="Century Gothic" w:hAnsi="Century Gothic" w:cstheme="minorHAnsi"/>
          <w:b/>
          <w:sz w:val="22"/>
          <w:szCs w:val="22"/>
        </w:rPr>
      </w:pPr>
    </w:p>
    <w:p w14:paraId="4564E79F" w14:textId="03F6E7E9" w:rsidR="00CF3426" w:rsidRDefault="007756C0" w:rsidP="00A72190">
      <w:pPr>
        <w:pStyle w:val="Normlnywebov"/>
        <w:spacing w:before="0" w:beforeAutospacing="0" w:after="0" w:afterAutospacing="0"/>
        <w:jc w:val="both"/>
        <w:rPr>
          <w:rFonts w:ascii="Century Gothic" w:hAnsi="Century Gothic" w:cstheme="minorHAnsi"/>
          <w:b/>
          <w:sz w:val="22"/>
          <w:szCs w:val="22"/>
        </w:rPr>
      </w:pPr>
      <w:r>
        <w:rPr>
          <w:rFonts w:ascii="Century Gothic" w:hAnsi="Century Gothic" w:cstheme="minorHAnsi"/>
          <w:b/>
          <w:sz w:val="22"/>
          <w:szCs w:val="22"/>
        </w:rPr>
        <w:lastRenderedPageBreak/>
        <w:t>Štruktúra nového P</w:t>
      </w:r>
      <w:r w:rsidR="00CF3426" w:rsidRPr="00CF3426">
        <w:rPr>
          <w:rFonts w:ascii="Century Gothic" w:hAnsi="Century Gothic" w:cstheme="minorHAnsi"/>
          <w:b/>
          <w:sz w:val="22"/>
          <w:szCs w:val="22"/>
        </w:rPr>
        <w:t xml:space="preserve">avilónu urgentnej medicíny </w:t>
      </w:r>
    </w:p>
    <w:p w14:paraId="5A44B45B" w14:textId="28B4129B" w:rsidR="00B046C0" w:rsidRDefault="00B046C0" w:rsidP="00A72190">
      <w:pPr>
        <w:pStyle w:val="Normlnywebov"/>
        <w:spacing w:before="0" w:beforeAutospacing="0" w:after="0" w:afterAutospacing="0"/>
        <w:jc w:val="both"/>
        <w:rPr>
          <w:rFonts w:ascii="Century Gothic" w:hAnsi="Century Gothic" w:cstheme="minorHAnsi"/>
          <w:b/>
          <w:sz w:val="22"/>
          <w:szCs w:val="22"/>
        </w:rPr>
      </w:pPr>
    </w:p>
    <w:p w14:paraId="1F3A82BA" w14:textId="720E57E5" w:rsidR="00B046C0" w:rsidRPr="00C44B9F" w:rsidRDefault="00B046C0" w:rsidP="00B046C0">
      <w:pPr>
        <w:pStyle w:val="Normlnywebov"/>
        <w:spacing w:before="0" w:beforeAutospacing="0" w:after="0" w:afterAutospacing="0"/>
        <w:jc w:val="both"/>
        <w:rPr>
          <w:rFonts w:ascii="Century Gothic" w:hAnsi="Century Gothic" w:cstheme="minorHAnsi"/>
          <w:sz w:val="22"/>
          <w:szCs w:val="22"/>
        </w:rPr>
      </w:pPr>
      <w:r w:rsidRPr="00C44B9F">
        <w:rPr>
          <w:rFonts w:ascii="Century Gothic" w:hAnsi="Century Gothic" w:cstheme="minorHAnsi"/>
          <w:sz w:val="22"/>
          <w:szCs w:val="22"/>
        </w:rPr>
        <w:t>1.PP</w:t>
      </w:r>
    </w:p>
    <w:p w14:paraId="42B8CB2F" w14:textId="1701D285"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hala</w:t>
      </w:r>
      <w:r w:rsidRPr="00C44B9F">
        <w:rPr>
          <w:rFonts w:ascii="Century Gothic" w:eastAsia="Arial Narrow" w:hAnsi="Century Gothic" w:cs="Arial Narrow"/>
          <w:spacing w:val="-1"/>
          <w:sz w:val="22"/>
          <w:szCs w:val="22"/>
        </w:rPr>
        <w:t xml:space="preserve"> </w:t>
      </w:r>
      <w:r w:rsidRPr="00C44B9F">
        <w:rPr>
          <w:rFonts w:ascii="Century Gothic" w:eastAsia="Arial Narrow" w:hAnsi="Century Gothic" w:cs="Arial Narrow"/>
          <w:spacing w:val="-2"/>
          <w:sz w:val="22"/>
          <w:szCs w:val="22"/>
        </w:rPr>
        <w:t>s</w:t>
      </w:r>
      <w:r w:rsidRPr="00C44B9F">
        <w:rPr>
          <w:rFonts w:ascii="Century Gothic" w:eastAsia="Arial Narrow" w:hAnsi="Century Gothic" w:cs="Arial Narrow"/>
          <w:sz w:val="22"/>
          <w:szCs w:val="22"/>
        </w:rPr>
        <w:t>anit</w:t>
      </w:r>
      <w:r w:rsidRPr="00C44B9F">
        <w:rPr>
          <w:rFonts w:ascii="Century Gothic" w:eastAsia="Arial Narrow" w:hAnsi="Century Gothic" w:cs="Arial Narrow"/>
          <w:spacing w:val="-2"/>
          <w:sz w:val="22"/>
          <w:szCs w:val="22"/>
        </w:rPr>
        <w:t>i</w:t>
      </w:r>
      <w:r w:rsidRPr="00C44B9F">
        <w:rPr>
          <w:rFonts w:ascii="Century Gothic" w:eastAsia="Arial Narrow" w:hAnsi="Century Gothic" w:cs="Arial Narrow"/>
          <w:sz w:val="22"/>
          <w:szCs w:val="22"/>
        </w:rPr>
        <w:t>ek</w:t>
      </w:r>
      <w:r w:rsidRPr="00C44B9F">
        <w:rPr>
          <w:rFonts w:ascii="Century Gothic" w:eastAsia="Arial Narrow" w:hAnsi="Century Gothic" w:cs="Arial Narrow"/>
          <w:spacing w:val="1"/>
          <w:sz w:val="22"/>
          <w:szCs w:val="22"/>
        </w:rPr>
        <w:t xml:space="preserve"> </w:t>
      </w:r>
      <w:r w:rsidRPr="00C44B9F">
        <w:rPr>
          <w:rFonts w:ascii="Century Gothic" w:eastAsia="Arial Narrow" w:hAnsi="Century Gothic" w:cs="Arial Narrow"/>
          <w:spacing w:val="-2"/>
          <w:sz w:val="22"/>
          <w:szCs w:val="22"/>
        </w:rPr>
        <w:t>R</w:t>
      </w:r>
      <w:r w:rsidRPr="00C44B9F">
        <w:rPr>
          <w:rFonts w:ascii="Century Gothic" w:eastAsia="Arial Narrow" w:hAnsi="Century Gothic" w:cs="Arial Narrow"/>
          <w:spacing w:val="-1"/>
          <w:sz w:val="22"/>
          <w:szCs w:val="22"/>
        </w:rPr>
        <w:t>Z</w:t>
      </w:r>
      <w:r w:rsidRPr="00C44B9F">
        <w:rPr>
          <w:rFonts w:ascii="Century Gothic" w:eastAsia="Arial Narrow" w:hAnsi="Century Gothic" w:cs="Arial Narrow"/>
          <w:sz w:val="22"/>
          <w:szCs w:val="22"/>
        </w:rPr>
        <w:t>S</w:t>
      </w:r>
      <w:r w:rsidRPr="00C44B9F">
        <w:rPr>
          <w:rFonts w:ascii="Century Gothic" w:eastAsia="Arial Narrow" w:hAnsi="Century Gothic" w:cs="Arial Narrow"/>
          <w:spacing w:val="-1"/>
          <w:sz w:val="22"/>
          <w:szCs w:val="22"/>
        </w:rPr>
        <w:t xml:space="preserve"> </w:t>
      </w:r>
      <w:r w:rsidRPr="00C44B9F">
        <w:rPr>
          <w:rFonts w:ascii="Century Gothic" w:eastAsia="Arial Narrow" w:hAnsi="Century Gothic" w:cs="Arial Narrow"/>
          <w:sz w:val="22"/>
          <w:szCs w:val="22"/>
        </w:rPr>
        <w:t>u</w:t>
      </w:r>
      <w:r w:rsidRPr="00C44B9F">
        <w:rPr>
          <w:rFonts w:ascii="Century Gothic" w:eastAsia="Arial Narrow" w:hAnsi="Century Gothic" w:cs="Arial Narrow"/>
          <w:spacing w:val="-1"/>
          <w:sz w:val="22"/>
          <w:szCs w:val="22"/>
        </w:rPr>
        <w:t>r</w:t>
      </w:r>
      <w:r w:rsidRPr="00C44B9F">
        <w:rPr>
          <w:rFonts w:ascii="Century Gothic" w:eastAsia="Arial Narrow" w:hAnsi="Century Gothic" w:cs="Arial Narrow"/>
          <w:sz w:val="22"/>
          <w:szCs w:val="22"/>
        </w:rPr>
        <w:t>g</w:t>
      </w:r>
      <w:r w:rsidRPr="00C44B9F">
        <w:rPr>
          <w:rFonts w:ascii="Century Gothic" w:eastAsia="Arial Narrow" w:hAnsi="Century Gothic" w:cs="Arial Narrow"/>
          <w:spacing w:val="-3"/>
          <w:sz w:val="22"/>
          <w:szCs w:val="22"/>
        </w:rPr>
        <w:t>e</w:t>
      </w:r>
      <w:r w:rsidRPr="00C44B9F">
        <w:rPr>
          <w:rFonts w:ascii="Century Gothic" w:eastAsia="Arial Narrow" w:hAnsi="Century Gothic" w:cs="Arial Narrow"/>
          <w:sz w:val="22"/>
          <w:szCs w:val="22"/>
        </w:rPr>
        <w:t>ntné</w:t>
      </w:r>
      <w:r w:rsidRPr="00C44B9F">
        <w:rPr>
          <w:rFonts w:ascii="Century Gothic" w:eastAsia="Arial Narrow" w:hAnsi="Century Gothic" w:cs="Arial Narrow"/>
          <w:spacing w:val="-3"/>
          <w:sz w:val="22"/>
          <w:szCs w:val="22"/>
        </w:rPr>
        <w:t>h</w:t>
      </w:r>
      <w:r w:rsidRPr="00C44B9F">
        <w:rPr>
          <w:rFonts w:ascii="Century Gothic" w:eastAsia="Arial Narrow" w:hAnsi="Century Gothic" w:cs="Arial Narrow"/>
          <w:sz w:val="22"/>
          <w:szCs w:val="22"/>
        </w:rPr>
        <w:t>o</w:t>
      </w:r>
      <w:r w:rsidRPr="00C44B9F">
        <w:rPr>
          <w:rFonts w:ascii="Century Gothic" w:eastAsia="Arial Narrow" w:hAnsi="Century Gothic" w:cs="Arial Narrow"/>
          <w:spacing w:val="-2"/>
          <w:sz w:val="22"/>
          <w:szCs w:val="22"/>
        </w:rPr>
        <w:t xml:space="preserve"> </w:t>
      </w:r>
      <w:r w:rsidRPr="00C44B9F">
        <w:rPr>
          <w:rFonts w:ascii="Century Gothic" w:eastAsia="Arial Narrow" w:hAnsi="Century Gothic" w:cs="Arial Narrow"/>
          <w:sz w:val="22"/>
          <w:szCs w:val="22"/>
        </w:rPr>
        <w:t>p</w:t>
      </w:r>
      <w:r w:rsidRPr="00C44B9F">
        <w:rPr>
          <w:rFonts w:ascii="Century Gothic" w:eastAsia="Arial Narrow" w:hAnsi="Century Gothic" w:cs="Arial Narrow"/>
          <w:spacing w:val="-1"/>
          <w:sz w:val="22"/>
          <w:szCs w:val="22"/>
        </w:rPr>
        <w:t>rí</w:t>
      </w:r>
      <w:r w:rsidRPr="00C44B9F">
        <w:rPr>
          <w:rFonts w:ascii="Century Gothic" w:eastAsia="Arial Narrow" w:hAnsi="Century Gothic" w:cs="Arial Narrow"/>
          <w:sz w:val="22"/>
          <w:szCs w:val="22"/>
        </w:rPr>
        <w:t>jmu</w:t>
      </w:r>
      <w:r w:rsidRPr="00C44B9F">
        <w:rPr>
          <w:rFonts w:ascii="Century Gothic" w:eastAsia="Arial Narrow" w:hAnsi="Century Gothic" w:cs="Arial Narrow"/>
          <w:spacing w:val="-2"/>
          <w:sz w:val="22"/>
          <w:szCs w:val="22"/>
        </w:rPr>
        <w:t xml:space="preserve"> </w:t>
      </w:r>
      <w:r w:rsidRPr="00C44B9F">
        <w:rPr>
          <w:rFonts w:ascii="Century Gothic" w:eastAsia="Arial Narrow" w:hAnsi="Century Gothic" w:cs="Arial Narrow"/>
          <w:sz w:val="22"/>
          <w:szCs w:val="22"/>
        </w:rPr>
        <w:t xml:space="preserve">so </w:t>
      </w:r>
      <w:r w:rsidRPr="00C44B9F">
        <w:rPr>
          <w:rFonts w:ascii="Century Gothic" w:eastAsia="Arial Narrow" w:hAnsi="Century Gothic" w:cs="Arial Narrow"/>
          <w:spacing w:val="-2"/>
          <w:sz w:val="22"/>
          <w:szCs w:val="22"/>
        </w:rPr>
        <w:t>z</w:t>
      </w:r>
      <w:r w:rsidRPr="00C44B9F">
        <w:rPr>
          <w:rFonts w:ascii="Century Gothic" w:eastAsia="Arial Narrow" w:hAnsi="Century Gothic" w:cs="Arial Narrow"/>
          <w:sz w:val="22"/>
          <w:szCs w:val="22"/>
        </w:rPr>
        <w:t>áze</w:t>
      </w:r>
      <w:r w:rsidRPr="00C44B9F">
        <w:rPr>
          <w:rFonts w:ascii="Century Gothic" w:eastAsia="Arial Narrow" w:hAnsi="Century Gothic" w:cs="Arial Narrow"/>
          <w:spacing w:val="-3"/>
          <w:sz w:val="22"/>
          <w:szCs w:val="22"/>
        </w:rPr>
        <w:t>m</w:t>
      </w:r>
      <w:r w:rsidRPr="00C44B9F">
        <w:rPr>
          <w:rFonts w:ascii="Century Gothic" w:eastAsia="Arial Narrow" w:hAnsi="Century Gothic" w:cs="Arial Narrow"/>
          <w:sz w:val="22"/>
          <w:szCs w:val="22"/>
        </w:rPr>
        <w:t>ím</w:t>
      </w:r>
    </w:p>
    <w:p w14:paraId="3BF5FD40" w14:textId="27C6242C"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techn</w:t>
      </w:r>
      <w:r w:rsidRPr="00C44B9F">
        <w:rPr>
          <w:rFonts w:ascii="Century Gothic" w:eastAsia="Arial Narrow" w:hAnsi="Century Gothic" w:cs="Arial Narrow"/>
          <w:spacing w:val="-2"/>
          <w:sz w:val="22"/>
          <w:szCs w:val="22"/>
        </w:rPr>
        <w:t>i</w:t>
      </w:r>
      <w:r w:rsidRPr="00C44B9F">
        <w:rPr>
          <w:rFonts w:ascii="Century Gothic" w:eastAsia="Arial Narrow" w:hAnsi="Century Gothic" w:cs="Arial Narrow"/>
          <w:sz w:val="22"/>
          <w:szCs w:val="22"/>
        </w:rPr>
        <w:t>cké</w:t>
      </w:r>
      <w:r w:rsidRPr="00C44B9F">
        <w:rPr>
          <w:rFonts w:ascii="Century Gothic" w:eastAsia="Arial Narrow" w:hAnsi="Century Gothic" w:cs="Arial Narrow"/>
          <w:spacing w:val="-3"/>
          <w:sz w:val="22"/>
          <w:szCs w:val="22"/>
        </w:rPr>
        <w:t xml:space="preserve"> </w:t>
      </w:r>
      <w:r w:rsidRPr="00C44B9F">
        <w:rPr>
          <w:rFonts w:ascii="Century Gothic" w:eastAsia="Arial Narrow" w:hAnsi="Century Gothic" w:cs="Arial Narrow"/>
          <w:sz w:val="22"/>
          <w:szCs w:val="22"/>
        </w:rPr>
        <w:t>a p</w:t>
      </w:r>
      <w:r w:rsidRPr="00C44B9F">
        <w:rPr>
          <w:rFonts w:ascii="Century Gothic" w:eastAsia="Arial Narrow" w:hAnsi="Century Gothic" w:cs="Arial Narrow"/>
          <w:spacing w:val="-1"/>
          <w:sz w:val="22"/>
          <w:szCs w:val="22"/>
        </w:rPr>
        <w:t>r</w:t>
      </w:r>
      <w:r w:rsidRPr="00C44B9F">
        <w:rPr>
          <w:rFonts w:ascii="Century Gothic" w:eastAsia="Arial Narrow" w:hAnsi="Century Gothic" w:cs="Arial Narrow"/>
          <w:spacing w:val="-3"/>
          <w:sz w:val="22"/>
          <w:szCs w:val="22"/>
        </w:rPr>
        <w:t>e</w:t>
      </w:r>
      <w:r w:rsidRPr="00C44B9F">
        <w:rPr>
          <w:rFonts w:ascii="Century Gothic" w:eastAsia="Arial Narrow" w:hAnsi="Century Gothic" w:cs="Arial Narrow"/>
          <w:sz w:val="22"/>
          <w:szCs w:val="22"/>
        </w:rPr>
        <w:t>vád</w:t>
      </w:r>
      <w:r w:rsidRPr="00C44B9F">
        <w:rPr>
          <w:rFonts w:ascii="Century Gothic" w:eastAsia="Arial Narrow" w:hAnsi="Century Gothic" w:cs="Arial Narrow"/>
          <w:spacing w:val="-2"/>
          <w:sz w:val="22"/>
          <w:szCs w:val="22"/>
        </w:rPr>
        <w:t>z</w:t>
      </w:r>
      <w:r w:rsidRPr="00C44B9F">
        <w:rPr>
          <w:rFonts w:ascii="Century Gothic" w:eastAsia="Arial Narrow" w:hAnsi="Century Gothic" w:cs="Arial Narrow"/>
          <w:sz w:val="22"/>
          <w:szCs w:val="22"/>
        </w:rPr>
        <w:t>kové</w:t>
      </w:r>
      <w:r w:rsidRPr="00C44B9F">
        <w:rPr>
          <w:rFonts w:ascii="Century Gothic" w:eastAsia="Arial Narrow" w:hAnsi="Century Gothic" w:cs="Arial Narrow"/>
          <w:spacing w:val="-2"/>
          <w:sz w:val="22"/>
          <w:szCs w:val="22"/>
        </w:rPr>
        <w:t xml:space="preserve"> </w:t>
      </w:r>
      <w:r w:rsidRPr="00C44B9F">
        <w:rPr>
          <w:rFonts w:ascii="Century Gothic" w:eastAsia="Arial Narrow" w:hAnsi="Century Gothic" w:cs="Arial Narrow"/>
          <w:sz w:val="22"/>
          <w:szCs w:val="22"/>
        </w:rPr>
        <w:t>z</w:t>
      </w:r>
      <w:r w:rsidRPr="00C44B9F">
        <w:rPr>
          <w:rFonts w:ascii="Century Gothic" w:eastAsia="Arial Narrow" w:hAnsi="Century Gothic" w:cs="Arial Narrow"/>
          <w:spacing w:val="-3"/>
          <w:sz w:val="22"/>
          <w:szCs w:val="22"/>
        </w:rPr>
        <w:t>á</w:t>
      </w:r>
      <w:r w:rsidRPr="00C44B9F">
        <w:rPr>
          <w:rFonts w:ascii="Century Gothic" w:eastAsia="Arial Narrow" w:hAnsi="Century Gothic" w:cs="Arial Narrow"/>
          <w:sz w:val="22"/>
          <w:szCs w:val="22"/>
        </w:rPr>
        <w:t>z</w:t>
      </w:r>
      <w:r w:rsidRPr="00C44B9F">
        <w:rPr>
          <w:rFonts w:ascii="Century Gothic" w:eastAsia="Arial Narrow" w:hAnsi="Century Gothic" w:cs="Arial Narrow"/>
          <w:spacing w:val="-3"/>
          <w:sz w:val="22"/>
          <w:szCs w:val="22"/>
        </w:rPr>
        <w:t>e</w:t>
      </w:r>
      <w:r w:rsidRPr="00C44B9F">
        <w:rPr>
          <w:rFonts w:ascii="Century Gothic" w:eastAsia="Arial Narrow" w:hAnsi="Century Gothic" w:cs="Arial Narrow"/>
          <w:sz w:val="22"/>
          <w:szCs w:val="22"/>
        </w:rPr>
        <w:t>mie</w:t>
      </w:r>
    </w:p>
    <w:p w14:paraId="6828D6FD" w14:textId="34DD68E9" w:rsidR="00B046C0" w:rsidRPr="00C44B9F" w:rsidRDefault="00B046C0" w:rsidP="00D43498">
      <w:pPr>
        <w:pStyle w:val="TableParagraph"/>
        <w:numPr>
          <w:ilvl w:val="0"/>
          <w:numId w:val="59"/>
        </w:numPr>
        <w:rPr>
          <w:rFonts w:ascii="Century Gothic" w:eastAsia="Arial Narrow" w:hAnsi="Century Gothic" w:cs="Arial Narrow"/>
          <w:lang w:val="pl-PL"/>
        </w:rPr>
      </w:pPr>
      <w:r w:rsidRPr="00C44B9F">
        <w:rPr>
          <w:rFonts w:ascii="Century Gothic" w:eastAsia="Arial Narrow" w:hAnsi="Century Gothic" w:cs="Arial Narrow"/>
          <w:lang w:val="pl-PL"/>
        </w:rPr>
        <w:t>kole</w:t>
      </w:r>
      <w:r w:rsidRPr="00C44B9F">
        <w:rPr>
          <w:rFonts w:ascii="Century Gothic" w:eastAsia="Arial Narrow" w:hAnsi="Century Gothic" w:cs="Arial Narrow"/>
          <w:spacing w:val="-2"/>
          <w:lang w:val="pl-PL"/>
        </w:rPr>
        <w:t>k</w:t>
      </w:r>
      <w:r w:rsidRPr="00C44B9F">
        <w:rPr>
          <w:rFonts w:ascii="Century Gothic" w:eastAsia="Arial Narrow" w:hAnsi="Century Gothic" w:cs="Arial Narrow"/>
          <w:lang w:val="pl-PL"/>
        </w:rPr>
        <w:t>to</w:t>
      </w:r>
      <w:r w:rsidRPr="00C44B9F">
        <w:rPr>
          <w:rFonts w:ascii="Century Gothic" w:eastAsia="Arial Narrow" w:hAnsi="Century Gothic" w:cs="Arial Narrow"/>
          <w:spacing w:val="-1"/>
          <w:lang w:val="pl-PL"/>
        </w:rPr>
        <w:t>r</w:t>
      </w:r>
      <w:r w:rsidRPr="00C44B9F">
        <w:rPr>
          <w:rFonts w:ascii="Century Gothic" w:eastAsia="Arial Narrow" w:hAnsi="Century Gothic" w:cs="Arial Narrow"/>
          <w:lang w:val="pl-PL"/>
        </w:rPr>
        <w:t>o</w:t>
      </w:r>
      <w:r w:rsidRPr="00C44B9F">
        <w:rPr>
          <w:rFonts w:ascii="Century Gothic" w:eastAsia="Arial Narrow" w:hAnsi="Century Gothic" w:cs="Arial Narrow"/>
          <w:spacing w:val="-2"/>
          <w:lang w:val="pl-PL"/>
        </w:rPr>
        <w:t>v</w:t>
      </w:r>
      <w:r w:rsidRPr="00C44B9F">
        <w:rPr>
          <w:rFonts w:ascii="Century Gothic" w:eastAsia="Arial Narrow" w:hAnsi="Century Gothic" w:cs="Arial Narrow"/>
          <w:lang w:val="pl-PL"/>
        </w:rPr>
        <w:t>é</w:t>
      </w:r>
      <w:r w:rsidRPr="00C44B9F">
        <w:rPr>
          <w:rFonts w:ascii="Century Gothic" w:eastAsia="Arial Narrow" w:hAnsi="Century Gothic" w:cs="Arial Narrow"/>
          <w:spacing w:val="-1"/>
          <w:lang w:val="pl-PL"/>
        </w:rPr>
        <w:t xml:space="preserve"> </w:t>
      </w:r>
      <w:r w:rsidRPr="00C44B9F">
        <w:rPr>
          <w:rFonts w:ascii="Century Gothic" w:eastAsia="Arial Narrow" w:hAnsi="Century Gothic" w:cs="Arial Narrow"/>
          <w:lang w:val="pl-PL"/>
        </w:rPr>
        <w:t>t</w:t>
      </w:r>
      <w:r w:rsidRPr="00C44B9F">
        <w:rPr>
          <w:rFonts w:ascii="Century Gothic" w:eastAsia="Arial Narrow" w:hAnsi="Century Gothic" w:cs="Arial Narrow"/>
          <w:spacing w:val="-1"/>
          <w:lang w:val="pl-PL"/>
        </w:rPr>
        <w:t>r</w:t>
      </w:r>
      <w:r w:rsidRPr="00C44B9F">
        <w:rPr>
          <w:rFonts w:ascii="Century Gothic" w:eastAsia="Arial Narrow" w:hAnsi="Century Gothic" w:cs="Arial Narrow"/>
          <w:lang w:val="pl-PL"/>
        </w:rPr>
        <w:t>a</w:t>
      </w:r>
      <w:r w:rsidRPr="00C44B9F">
        <w:rPr>
          <w:rFonts w:ascii="Century Gothic" w:eastAsia="Arial Narrow" w:hAnsi="Century Gothic" w:cs="Arial Narrow"/>
          <w:spacing w:val="-2"/>
          <w:lang w:val="pl-PL"/>
        </w:rPr>
        <w:t>s</w:t>
      </w:r>
      <w:r w:rsidRPr="00C44B9F">
        <w:rPr>
          <w:rFonts w:ascii="Century Gothic" w:eastAsia="Arial Narrow" w:hAnsi="Century Gothic" w:cs="Arial Narrow"/>
          <w:lang w:val="pl-PL"/>
        </w:rPr>
        <w:t>y</w:t>
      </w:r>
      <w:r w:rsidRPr="00C44B9F">
        <w:rPr>
          <w:rFonts w:ascii="Century Gothic" w:eastAsia="Arial Narrow" w:hAnsi="Century Gothic" w:cs="Arial Narrow"/>
          <w:spacing w:val="1"/>
          <w:lang w:val="pl-PL"/>
        </w:rPr>
        <w:t xml:space="preserve"> </w:t>
      </w:r>
      <w:r w:rsidRPr="00C44B9F">
        <w:rPr>
          <w:rFonts w:ascii="Century Gothic" w:eastAsia="Arial Narrow" w:hAnsi="Century Gothic" w:cs="Arial Narrow"/>
          <w:lang w:val="pl-PL"/>
        </w:rPr>
        <w:t>zd</w:t>
      </w:r>
      <w:r w:rsidRPr="00C44B9F">
        <w:rPr>
          <w:rFonts w:ascii="Century Gothic" w:eastAsia="Arial Narrow" w:hAnsi="Century Gothic" w:cs="Arial Narrow"/>
          <w:spacing w:val="-3"/>
          <w:lang w:val="pl-PL"/>
        </w:rPr>
        <w:t>r</w:t>
      </w:r>
      <w:r w:rsidRPr="00C44B9F">
        <w:rPr>
          <w:rFonts w:ascii="Century Gothic" w:eastAsia="Arial Narrow" w:hAnsi="Century Gothic" w:cs="Arial Narrow"/>
          <w:lang w:val="pl-PL"/>
        </w:rPr>
        <w:t>ojov</w:t>
      </w:r>
      <w:r w:rsidRPr="00C44B9F">
        <w:rPr>
          <w:rFonts w:ascii="Century Gothic" w:eastAsia="Arial Narrow" w:hAnsi="Century Gothic" w:cs="Arial Narrow"/>
          <w:spacing w:val="-2"/>
          <w:lang w:val="pl-PL"/>
        </w:rPr>
        <w:t xml:space="preserve"> </w:t>
      </w:r>
      <w:r w:rsidRPr="00C44B9F">
        <w:rPr>
          <w:rFonts w:ascii="Century Gothic" w:eastAsia="Arial Narrow" w:hAnsi="Century Gothic" w:cs="Arial Narrow"/>
          <w:lang w:val="pl-PL"/>
        </w:rPr>
        <w:t>ene</w:t>
      </w:r>
      <w:r w:rsidRPr="00C44B9F">
        <w:rPr>
          <w:rFonts w:ascii="Century Gothic" w:eastAsia="Arial Narrow" w:hAnsi="Century Gothic" w:cs="Arial Narrow"/>
          <w:spacing w:val="-3"/>
          <w:lang w:val="pl-PL"/>
        </w:rPr>
        <w:t>r</w:t>
      </w:r>
      <w:r w:rsidRPr="00C44B9F">
        <w:rPr>
          <w:rFonts w:ascii="Century Gothic" w:eastAsia="Arial Narrow" w:hAnsi="Century Gothic" w:cs="Arial Narrow"/>
          <w:lang w:val="pl-PL"/>
        </w:rPr>
        <w:t xml:space="preserve">gie a </w:t>
      </w:r>
      <w:r w:rsidRPr="00C44B9F">
        <w:rPr>
          <w:rFonts w:ascii="Century Gothic" w:eastAsia="Arial Narrow" w:hAnsi="Century Gothic" w:cs="Arial Narrow"/>
          <w:spacing w:val="-3"/>
          <w:lang w:val="pl-PL"/>
        </w:rPr>
        <w:t>m</w:t>
      </w:r>
      <w:r w:rsidRPr="00C44B9F">
        <w:rPr>
          <w:rFonts w:ascii="Century Gothic" w:eastAsia="Arial Narrow" w:hAnsi="Century Gothic" w:cs="Arial Narrow"/>
          <w:lang w:val="pl-PL"/>
        </w:rPr>
        <w:t>édií</w:t>
      </w:r>
    </w:p>
    <w:p w14:paraId="2D0E70E9" w14:textId="6503C151" w:rsidR="00B046C0" w:rsidRPr="00C44B9F" w:rsidRDefault="00B046C0" w:rsidP="00D43498">
      <w:pPr>
        <w:pStyle w:val="TableParagraph"/>
        <w:numPr>
          <w:ilvl w:val="0"/>
          <w:numId w:val="59"/>
        </w:numPr>
        <w:rPr>
          <w:rFonts w:ascii="Century Gothic" w:eastAsia="Arial Narrow" w:hAnsi="Century Gothic" w:cs="Arial Narrow"/>
        </w:rPr>
      </w:pPr>
      <w:proofErr w:type="spellStart"/>
      <w:r w:rsidRPr="00C44B9F">
        <w:rPr>
          <w:rFonts w:ascii="Century Gothic" w:eastAsia="Arial Narrow" w:hAnsi="Century Gothic" w:cs="Arial Narrow"/>
        </w:rPr>
        <w:t>pa</w:t>
      </w:r>
      <w:r w:rsidRPr="00C44B9F">
        <w:rPr>
          <w:rFonts w:ascii="Century Gothic" w:eastAsia="Arial Narrow" w:hAnsi="Century Gothic" w:cs="Arial Narrow"/>
          <w:spacing w:val="-1"/>
        </w:rPr>
        <w:t>r</w:t>
      </w:r>
      <w:r w:rsidRPr="00C44B9F">
        <w:rPr>
          <w:rFonts w:ascii="Century Gothic" w:eastAsia="Arial Narrow" w:hAnsi="Century Gothic" w:cs="Arial Narrow"/>
        </w:rPr>
        <w:t>ko</w:t>
      </w:r>
      <w:r w:rsidRPr="00C44B9F">
        <w:rPr>
          <w:rFonts w:ascii="Century Gothic" w:eastAsia="Arial Narrow" w:hAnsi="Century Gothic" w:cs="Arial Narrow"/>
          <w:spacing w:val="-2"/>
        </w:rPr>
        <w:t>v</w:t>
      </w:r>
      <w:r w:rsidRPr="00C44B9F">
        <w:rPr>
          <w:rFonts w:ascii="Century Gothic" w:eastAsia="Arial Narrow" w:hAnsi="Century Gothic" w:cs="Arial Narrow"/>
        </w:rPr>
        <w:t>acie</w:t>
      </w:r>
      <w:proofErr w:type="spellEnd"/>
      <w:r w:rsidRPr="00C44B9F">
        <w:rPr>
          <w:rFonts w:ascii="Century Gothic" w:eastAsia="Arial Narrow" w:hAnsi="Century Gothic" w:cs="Arial Narrow"/>
          <w:spacing w:val="-3"/>
        </w:rPr>
        <w:t xml:space="preserve"> </w:t>
      </w:r>
      <w:proofErr w:type="spellStart"/>
      <w:r w:rsidRPr="00C44B9F">
        <w:rPr>
          <w:rFonts w:ascii="Century Gothic" w:eastAsia="Arial Narrow" w:hAnsi="Century Gothic" w:cs="Arial Narrow"/>
        </w:rPr>
        <w:t>mi</w:t>
      </w:r>
      <w:r w:rsidRPr="00C44B9F">
        <w:rPr>
          <w:rFonts w:ascii="Century Gothic" w:eastAsia="Arial Narrow" w:hAnsi="Century Gothic" w:cs="Arial Narrow"/>
          <w:spacing w:val="-3"/>
        </w:rPr>
        <w:t>e</w:t>
      </w:r>
      <w:r w:rsidRPr="00C44B9F">
        <w:rPr>
          <w:rFonts w:ascii="Century Gothic" w:eastAsia="Arial Narrow" w:hAnsi="Century Gothic" w:cs="Arial Narrow"/>
        </w:rPr>
        <w:t>sta</w:t>
      </w:r>
      <w:proofErr w:type="spellEnd"/>
    </w:p>
    <w:p w14:paraId="613AF048" w14:textId="77777777" w:rsidR="00D72BC7" w:rsidRDefault="00D72BC7" w:rsidP="00D43498">
      <w:pPr>
        <w:pStyle w:val="Popis"/>
        <w:spacing w:before="0" w:after="0" w:line="240" w:lineRule="auto"/>
        <w:rPr>
          <w:rFonts w:ascii="Century Gothic" w:hAnsi="Century Gothic"/>
          <w:b w:val="0"/>
          <w:i/>
        </w:rPr>
      </w:pPr>
    </w:p>
    <w:p w14:paraId="5C1C323E" w14:textId="2944F3D4" w:rsidR="00B046C0" w:rsidRPr="00D72BC7" w:rsidRDefault="00D72BC7" w:rsidP="00D72BC7">
      <w:pPr>
        <w:pStyle w:val="Popis"/>
        <w:spacing w:before="0" w:after="0" w:line="240" w:lineRule="auto"/>
        <w:rPr>
          <w:rFonts w:ascii="Century Gothic" w:hAnsi="Century Gothic"/>
          <w:b w:val="0"/>
          <w:i/>
        </w:rPr>
      </w:pPr>
      <w:bookmarkStart w:id="139" w:name="_Toc145219861"/>
      <w:r w:rsidRPr="00D72BC7">
        <w:rPr>
          <w:rFonts w:ascii="Century Gothic" w:hAnsi="Century Gothic"/>
          <w:b w:val="0"/>
          <w:i/>
        </w:rPr>
        <w:t xml:space="preserve">Obrázok </w:t>
      </w:r>
      <w:r w:rsidRPr="00D72BC7">
        <w:rPr>
          <w:rFonts w:ascii="Century Gothic" w:hAnsi="Century Gothic"/>
          <w:b w:val="0"/>
          <w:i/>
        </w:rPr>
        <w:fldChar w:fldCharType="begin"/>
      </w:r>
      <w:r w:rsidRPr="00D72BC7">
        <w:rPr>
          <w:rFonts w:ascii="Century Gothic" w:hAnsi="Century Gothic"/>
          <w:b w:val="0"/>
          <w:i/>
        </w:rPr>
        <w:instrText xml:space="preserve"> SEQ Obrázok \* ARABIC </w:instrText>
      </w:r>
      <w:r w:rsidRPr="00D72BC7">
        <w:rPr>
          <w:rFonts w:ascii="Century Gothic" w:hAnsi="Century Gothic"/>
          <w:b w:val="0"/>
          <w:i/>
        </w:rPr>
        <w:fldChar w:fldCharType="separate"/>
      </w:r>
      <w:r w:rsidR="007D6A44">
        <w:rPr>
          <w:rFonts w:ascii="Century Gothic" w:hAnsi="Century Gothic"/>
          <w:b w:val="0"/>
          <w:i/>
          <w:noProof/>
        </w:rPr>
        <w:t>9</w:t>
      </w:r>
      <w:r w:rsidRPr="00D72BC7">
        <w:rPr>
          <w:rFonts w:ascii="Century Gothic" w:hAnsi="Century Gothic"/>
          <w:b w:val="0"/>
          <w:i/>
        </w:rPr>
        <w:fldChar w:fldCharType="end"/>
      </w:r>
      <w:r w:rsidRPr="00D72BC7">
        <w:rPr>
          <w:rFonts w:ascii="Century Gothic" w:hAnsi="Century Gothic"/>
          <w:b w:val="0"/>
          <w:i/>
        </w:rPr>
        <w:t xml:space="preserve"> </w:t>
      </w:r>
      <w:r w:rsidR="007756C0">
        <w:rPr>
          <w:rFonts w:ascii="Century Gothic" w:hAnsi="Century Gothic"/>
          <w:b w:val="0"/>
          <w:i/>
        </w:rPr>
        <w:t>Sché</w:t>
      </w:r>
      <w:r w:rsidR="00181CD2">
        <w:rPr>
          <w:rFonts w:ascii="Century Gothic" w:hAnsi="Century Gothic"/>
          <w:b w:val="0"/>
          <w:i/>
        </w:rPr>
        <w:t>ma</w:t>
      </w:r>
      <w:r w:rsidR="00181CD2" w:rsidRPr="00D72BC7">
        <w:rPr>
          <w:rFonts w:ascii="Century Gothic" w:hAnsi="Century Gothic"/>
          <w:b w:val="0"/>
          <w:i/>
        </w:rPr>
        <w:t xml:space="preserve"> </w:t>
      </w:r>
      <w:r w:rsidRPr="00D72BC7">
        <w:rPr>
          <w:rFonts w:ascii="Century Gothic" w:hAnsi="Century Gothic"/>
          <w:b w:val="0"/>
          <w:i/>
        </w:rPr>
        <w:t>1.PP</w:t>
      </w:r>
      <w:bookmarkEnd w:id="139"/>
    </w:p>
    <w:p w14:paraId="7EAAF6E1" w14:textId="42B5F074" w:rsidR="00D72BC7" w:rsidRDefault="00D72BC7" w:rsidP="00B046C0">
      <w:pPr>
        <w:pStyle w:val="TableParagraph"/>
        <w:spacing w:before="1"/>
        <w:rPr>
          <w:rFonts w:ascii="Century Gothic" w:eastAsia="Arial Narrow" w:hAnsi="Century Gothic" w:cs="Arial Narrow"/>
        </w:rPr>
      </w:pPr>
      <w:r>
        <w:rPr>
          <w:rFonts w:ascii="Century Gothic" w:eastAsia="Arial Narrow" w:hAnsi="Century Gothic" w:cs="Arial Narrow"/>
          <w:noProof/>
          <w:lang w:val="sk-SK" w:eastAsia="sk-SK"/>
        </w:rPr>
        <w:drawing>
          <wp:inline distT="0" distB="0" distL="0" distR="0" wp14:anchorId="2F4EF9E8" wp14:editId="37722CA5">
            <wp:extent cx="5925820" cy="4322445"/>
            <wp:effectExtent l="0" t="0" r="0" b="190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25820" cy="4322445"/>
                    </a:xfrm>
                    <a:prstGeom prst="rect">
                      <a:avLst/>
                    </a:prstGeom>
                    <a:noFill/>
                    <a:ln>
                      <a:noFill/>
                    </a:ln>
                  </pic:spPr>
                </pic:pic>
              </a:graphicData>
            </a:graphic>
          </wp:inline>
        </w:drawing>
      </w:r>
    </w:p>
    <w:p w14:paraId="58D67AE4" w14:textId="73139D62" w:rsidR="00D72BC7" w:rsidRDefault="00D72BC7" w:rsidP="00B046C0">
      <w:pPr>
        <w:pStyle w:val="TableParagraph"/>
        <w:spacing w:before="1"/>
        <w:rPr>
          <w:rFonts w:ascii="Century Gothic" w:eastAsia="Arial Narrow" w:hAnsi="Century Gothic" w:cs="Arial Narrow"/>
        </w:rPr>
      </w:pPr>
      <w:proofErr w:type="spellStart"/>
      <w:r w:rsidRPr="00256580">
        <w:rPr>
          <w:rFonts w:ascii="Century Gothic" w:hAnsi="Century Gothic"/>
          <w:i/>
          <w:sz w:val="18"/>
          <w:szCs w:val="18"/>
        </w:rPr>
        <w:t>Zdroj</w:t>
      </w:r>
      <w:proofErr w:type="spellEnd"/>
      <w:r w:rsidRPr="00256580">
        <w:rPr>
          <w:rFonts w:ascii="Century Gothic" w:hAnsi="Century Gothic"/>
          <w:i/>
          <w:sz w:val="18"/>
          <w:szCs w:val="18"/>
        </w:rPr>
        <w:t xml:space="preserve">: </w:t>
      </w:r>
      <w:proofErr w:type="spellStart"/>
      <w:r w:rsidRPr="00E01E73">
        <w:rPr>
          <w:rFonts w:ascii="Century Gothic" w:hAnsi="Century Gothic"/>
          <w:i/>
          <w:sz w:val="18"/>
          <w:szCs w:val="18"/>
        </w:rPr>
        <w:t>Súhrnná</w:t>
      </w:r>
      <w:proofErr w:type="spellEnd"/>
      <w:r w:rsidRPr="00E01E73">
        <w:rPr>
          <w:rFonts w:ascii="Century Gothic" w:hAnsi="Century Gothic"/>
          <w:i/>
          <w:sz w:val="18"/>
          <w:szCs w:val="18"/>
        </w:rPr>
        <w:t xml:space="preserve"> a </w:t>
      </w:r>
      <w:proofErr w:type="spellStart"/>
      <w:r w:rsidRPr="00E01E73">
        <w:rPr>
          <w:rFonts w:ascii="Century Gothic" w:hAnsi="Century Gothic"/>
          <w:i/>
          <w:sz w:val="18"/>
          <w:szCs w:val="18"/>
        </w:rPr>
        <w:t>sprievodná</w:t>
      </w:r>
      <w:proofErr w:type="spellEnd"/>
      <w:r w:rsidRPr="00E01E73">
        <w:rPr>
          <w:rFonts w:ascii="Century Gothic" w:hAnsi="Century Gothic"/>
          <w:i/>
          <w:sz w:val="18"/>
          <w:szCs w:val="18"/>
        </w:rPr>
        <w:t xml:space="preserve"> </w:t>
      </w:r>
      <w:proofErr w:type="spellStart"/>
      <w:r w:rsidRPr="00E01E73">
        <w:rPr>
          <w:rFonts w:ascii="Century Gothic" w:hAnsi="Century Gothic"/>
          <w:i/>
          <w:sz w:val="18"/>
          <w:szCs w:val="18"/>
        </w:rPr>
        <w:t>technická</w:t>
      </w:r>
      <w:proofErr w:type="spellEnd"/>
      <w:r w:rsidRPr="00E01E73">
        <w:rPr>
          <w:rFonts w:ascii="Century Gothic" w:hAnsi="Century Gothic"/>
          <w:i/>
          <w:sz w:val="18"/>
          <w:szCs w:val="18"/>
        </w:rPr>
        <w:t xml:space="preserve"> </w:t>
      </w:r>
      <w:proofErr w:type="spellStart"/>
      <w:r w:rsidRPr="00E01E73">
        <w:rPr>
          <w:rFonts w:ascii="Century Gothic" w:hAnsi="Century Gothic"/>
          <w:i/>
          <w:sz w:val="18"/>
          <w:szCs w:val="18"/>
        </w:rPr>
        <w:t>správa</w:t>
      </w:r>
      <w:proofErr w:type="spellEnd"/>
      <w:r w:rsidRPr="00E01E73">
        <w:rPr>
          <w:rFonts w:ascii="Century Gothic" w:hAnsi="Century Gothic"/>
          <w:i/>
          <w:sz w:val="18"/>
          <w:szCs w:val="18"/>
        </w:rPr>
        <w:t xml:space="preserve"> – </w:t>
      </w:r>
      <w:proofErr w:type="spellStart"/>
      <w:r w:rsidRPr="00E01E73">
        <w:rPr>
          <w:rFonts w:ascii="Century Gothic" w:hAnsi="Century Gothic"/>
          <w:i/>
          <w:sz w:val="18"/>
          <w:szCs w:val="18"/>
        </w:rPr>
        <w:t>Pavilón</w:t>
      </w:r>
      <w:proofErr w:type="spellEnd"/>
      <w:r w:rsidRPr="00E01E73">
        <w:rPr>
          <w:rFonts w:ascii="Century Gothic" w:hAnsi="Century Gothic"/>
          <w:i/>
          <w:sz w:val="18"/>
          <w:szCs w:val="18"/>
        </w:rPr>
        <w:t xml:space="preserve"> </w:t>
      </w:r>
      <w:proofErr w:type="spellStart"/>
      <w:r w:rsidRPr="00E01E73">
        <w:rPr>
          <w:rFonts w:ascii="Century Gothic" w:hAnsi="Century Gothic"/>
          <w:i/>
          <w:sz w:val="18"/>
          <w:szCs w:val="18"/>
        </w:rPr>
        <w:t>urgentnej</w:t>
      </w:r>
      <w:proofErr w:type="spellEnd"/>
      <w:r w:rsidRPr="00E01E73">
        <w:rPr>
          <w:rFonts w:ascii="Century Gothic" w:hAnsi="Century Gothic"/>
          <w:i/>
          <w:sz w:val="18"/>
          <w:szCs w:val="18"/>
        </w:rPr>
        <w:t xml:space="preserve"> </w:t>
      </w:r>
      <w:proofErr w:type="spellStart"/>
      <w:r w:rsidRPr="00E01E73">
        <w:rPr>
          <w:rFonts w:ascii="Century Gothic" w:hAnsi="Century Gothic"/>
          <w:i/>
          <w:sz w:val="18"/>
          <w:szCs w:val="18"/>
        </w:rPr>
        <w:t>medicíny</w:t>
      </w:r>
      <w:proofErr w:type="spellEnd"/>
    </w:p>
    <w:p w14:paraId="7C5A114C" w14:textId="77777777" w:rsidR="00D72BC7" w:rsidRPr="00C44B9F" w:rsidRDefault="00D72BC7" w:rsidP="00B046C0">
      <w:pPr>
        <w:pStyle w:val="TableParagraph"/>
        <w:spacing w:before="1"/>
        <w:rPr>
          <w:rFonts w:ascii="Century Gothic" w:eastAsia="Arial Narrow" w:hAnsi="Century Gothic" w:cs="Arial Narrow"/>
        </w:rPr>
      </w:pPr>
    </w:p>
    <w:p w14:paraId="450A9E4F" w14:textId="24E3F969" w:rsidR="00B046C0" w:rsidRPr="00C44B9F" w:rsidRDefault="00B046C0" w:rsidP="00C44B9F">
      <w:pPr>
        <w:pStyle w:val="Normlnywebov"/>
        <w:spacing w:before="0" w:beforeAutospacing="0" w:after="0" w:afterAutospacing="0"/>
        <w:jc w:val="both"/>
        <w:rPr>
          <w:rFonts w:ascii="Century Gothic" w:hAnsi="Century Gothic" w:cstheme="minorHAnsi"/>
          <w:sz w:val="22"/>
          <w:szCs w:val="22"/>
        </w:rPr>
      </w:pPr>
      <w:r w:rsidRPr="00C44B9F">
        <w:rPr>
          <w:rFonts w:ascii="Century Gothic" w:hAnsi="Century Gothic" w:cstheme="minorHAnsi"/>
          <w:sz w:val="22"/>
          <w:szCs w:val="22"/>
        </w:rPr>
        <w:t>1.NP</w:t>
      </w:r>
    </w:p>
    <w:p w14:paraId="432C0575" w14:textId="1BB2C2C7"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akútne príjmové oddelenie so samostatným príjmom (II. typu)</w:t>
      </w:r>
    </w:p>
    <w:p w14:paraId="33E70B62" w14:textId="56001581"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úrazové oddelenie</w:t>
      </w:r>
    </w:p>
    <w:p w14:paraId="5C45D76B" w14:textId="3A7998AB"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hlavný vstup, informačné centrum, stravovanie, zázemie vstupu</w:t>
      </w:r>
    </w:p>
    <w:p w14:paraId="776661EE" w14:textId="15DE1F3D"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administratíva príjmu pacientov</w:t>
      </w:r>
    </w:p>
    <w:p w14:paraId="05611BD7" w14:textId="24856AED"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lekáreň</w:t>
      </w:r>
    </w:p>
    <w:p w14:paraId="2D63DF1D" w14:textId="1D6DA56E" w:rsidR="00B046C0"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klinicko-diagnostické laboratórium</w:t>
      </w:r>
    </w:p>
    <w:p w14:paraId="2E61E3D9" w14:textId="77777777" w:rsidR="00D43498" w:rsidRDefault="00D43498" w:rsidP="005312D2">
      <w:pPr>
        <w:pStyle w:val="Popis"/>
        <w:spacing w:before="0" w:after="0" w:line="240" w:lineRule="auto"/>
        <w:rPr>
          <w:rFonts w:ascii="Century Gothic" w:hAnsi="Century Gothic"/>
          <w:b w:val="0"/>
          <w:i/>
        </w:rPr>
      </w:pPr>
    </w:p>
    <w:p w14:paraId="46D13B25" w14:textId="77777777" w:rsidR="00D43498" w:rsidRDefault="00D43498" w:rsidP="005312D2">
      <w:pPr>
        <w:pStyle w:val="Popis"/>
        <w:spacing w:before="0" w:after="0" w:line="240" w:lineRule="auto"/>
        <w:rPr>
          <w:rFonts w:ascii="Century Gothic" w:hAnsi="Century Gothic"/>
          <w:b w:val="0"/>
          <w:i/>
        </w:rPr>
      </w:pPr>
    </w:p>
    <w:p w14:paraId="3647A61A" w14:textId="77777777" w:rsidR="00D43498" w:rsidRDefault="00D43498" w:rsidP="005312D2">
      <w:pPr>
        <w:pStyle w:val="Popis"/>
        <w:spacing w:before="0" w:after="0" w:line="240" w:lineRule="auto"/>
        <w:rPr>
          <w:rFonts w:ascii="Century Gothic" w:hAnsi="Century Gothic"/>
          <w:b w:val="0"/>
          <w:i/>
        </w:rPr>
      </w:pPr>
    </w:p>
    <w:p w14:paraId="0F258981" w14:textId="77777777" w:rsidR="00D43498" w:rsidRDefault="00D43498" w:rsidP="005312D2">
      <w:pPr>
        <w:pStyle w:val="Popis"/>
        <w:spacing w:before="0" w:after="0" w:line="240" w:lineRule="auto"/>
        <w:rPr>
          <w:rFonts w:ascii="Century Gothic" w:hAnsi="Century Gothic"/>
          <w:b w:val="0"/>
          <w:i/>
        </w:rPr>
      </w:pPr>
    </w:p>
    <w:p w14:paraId="2EDB7A73" w14:textId="77777777" w:rsidR="00D43498" w:rsidRDefault="00D43498" w:rsidP="005312D2">
      <w:pPr>
        <w:pStyle w:val="Popis"/>
        <w:spacing w:before="0" w:after="0" w:line="240" w:lineRule="auto"/>
        <w:rPr>
          <w:rFonts w:ascii="Century Gothic" w:hAnsi="Century Gothic"/>
          <w:b w:val="0"/>
          <w:i/>
        </w:rPr>
      </w:pPr>
    </w:p>
    <w:p w14:paraId="778C1A0B" w14:textId="77777777" w:rsidR="00D43498" w:rsidRDefault="00D43498" w:rsidP="005312D2">
      <w:pPr>
        <w:pStyle w:val="Popis"/>
        <w:spacing w:before="0" w:after="0" w:line="240" w:lineRule="auto"/>
        <w:rPr>
          <w:rFonts w:ascii="Century Gothic" w:hAnsi="Century Gothic"/>
          <w:b w:val="0"/>
          <w:i/>
        </w:rPr>
      </w:pPr>
    </w:p>
    <w:p w14:paraId="57B02114" w14:textId="77777777" w:rsidR="00D43498" w:rsidRDefault="00D43498" w:rsidP="005312D2">
      <w:pPr>
        <w:pStyle w:val="Popis"/>
        <w:spacing w:before="0" w:after="0" w:line="240" w:lineRule="auto"/>
        <w:rPr>
          <w:rFonts w:ascii="Century Gothic" w:hAnsi="Century Gothic"/>
          <w:b w:val="0"/>
          <w:i/>
        </w:rPr>
      </w:pPr>
    </w:p>
    <w:p w14:paraId="063488EF" w14:textId="77777777" w:rsidR="00D43498" w:rsidRDefault="00D43498" w:rsidP="005312D2">
      <w:pPr>
        <w:pStyle w:val="Popis"/>
        <w:spacing w:before="0" w:after="0" w:line="240" w:lineRule="auto"/>
        <w:rPr>
          <w:rFonts w:ascii="Century Gothic" w:hAnsi="Century Gothic"/>
          <w:b w:val="0"/>
          <w:i/>
        </w:rPr>
      </w:pPr>
    </w:p>
    <w:p w14:paraId="3817439C" w14:textId="77777777" w:rsidR="00D43498" w:rsidRDefault="00D43498" w:rsidP="005312D2">
      <w:pPr>
        <w:pStyle w:val="Popis"/>
        <w:spacing w:before="0" w:after="0" w:line="240" w:lineRule="auto"/>
        <w:rPr>
          <w:rFonts w:ascii="Century Gothic" w:hAnsi="Century Gothic"/>
          <w:b w:val="0"/>
          <w:i/>
        </w:rPr>
      </w:pPr>
    </w:p>
    <w:p w14:paraId="12703C63" w14:textId="4ED171DC" w:rsidR="005312D2" w:rsidRPr="005312D2" w:rsidRDefault="005312D2" w:rsidP="005312D2">
      <w:pPr>
        <w:pStyle w:val="Popis"/>
        <w:spacing w:before="0" w:after="0" w:line="240" w:lineRule="auto"/>
        <w:rPr>
          <w:rFonts w:ascii="Century Gothic" w:hAnsi="Century Gothic"/>
          <w:b w:val="0"/>
          <w:i/>
        </w:rPr>
      </w:pPr>
      <w:bookmarkStart w:id="140" w:name="_Toc145219862"/>
      <w:r w:rsidRPr="005312D2">
        <w:rPr>
          <w:rFonts w:ascii="Century Gothic" w:hAnsi="Century Gothic"/>
          <w:b w:val="0"/>
          <w:i/>
        </w:rPr>
        <w:lastRenderedPageBreak/>
        <w:t xml:space="preserve">Obrázok </w:t>
      </w:r>
      <w:r w:rsidRPr="005312D2">
        <w:rPr>
          <w:rFonts w:ascii="Century Gothic" w:hAnsi="Century Gothic"/>
          <w:b w:val="0"/>
          <w:i/>
        </w:rPr>
        <w:fldChar w:fldCharType="begin"/>
      </w:r>
      <w:r w:rsidRPr="005312D2">
        <w:rPr>
          <w:rFonts w:ascii="Century Gothic" w:hAnsi="Century Gothic"/>
          <w:b w:val="0"/>
          <w:i/>
        </w:rPr>
        <w:instrText xml:space="preserve"> SEQ Obrázok \* ARABIC </w:instrText>
      </w:r>
      <w:r w:rsidRPr="005312D2">
        <w:rPr>
          <w:rFonts w:ascii="Century Gothic" w:hAnsi="Century Gothic"/>
          <w:b w:val="0"/>
          <w:i/>
        </w:rPr>
        <w:fldChar w:fldCharType="separate"/>
      </w:r>
      <w:r w:rsidR="007D6A44">
        <w:rPr>
          <w:rFonts w:ascii="Century Gothic" w:hAnsi="Century Gothic"/>
          <w:b w:val="0"/>
          <w:i/>
          <w:noProof/>
        </w:rPr>
        <w:t>10</w:t>
      </w:r>
      <w:r w:rsidRPr="005312D2">
        <w:rPr>
          <w:rFonts w:ascii="Century Gothic" w:hAnsi="Century Gothic"/>
          <w:b w:val="0"/>
          <w:i/>
        </w:rPr>
        <w:fldChar w:fldCharType="end"/>
      </w:r>
      <w:r w:rsidRPr="005312D2">
        <w:rPr>
          <w:rFonts w:ascii="Century Gothic" w:hAnsi="Century Gothic"/>
          <w:b w:val="0"/>
          <w:i/>
        </w:rPr>
        <w:t xml:space="preserve"> </w:t>
      </w:r>
      <w:r w:rsidR="00181CD2">
        <w:rPr>
          <w:rFonts w:ascii="Century Gothic" w:hAnsi="Century Gothic"/>
          <w:b w:val="0"/>
          <w:i/>
        </w:rPr>
        <w:t xml:space="preserve">Schematické znázornenie dispozície </w:t>
      </w:r>
      <w:r w:rsidR="00181CD2" w:rsidRPr="005312D2">
        <w:rPr>
          <w:rFonts w:ascii="Century Gothic" w:hAnsi="Century Gothic"/>
          <w:b w:val="0"/>
          <w:i/>
        </w:rPr>
        <w:t xml:space="preserve"> </w:t>
      </w:r>
      <w:r w:rsidRPr="005312D2">
        <w:rPr>
          <w:rFonts w:ascii="Century Gothic" w:hAnsi="Century Gothic"/>
          <w:b w:val="0"/>
          <w:i/>
        </w:rPr>
        <w:t>1.</w:t>
      </w:r>
      <w:r>
        <w:rPr>
          <w:rFonts w:ascii="Century Gothic" w:hAnsi="Century Gothic"/>
          <w:b w:val="0"/>
          <w:i/>
        </w:rPr>
        <w:t>- 4.</w:t>
      </w:r>
      <w:r w:rsidRPr="005312D2">
        <w:rPr>
          <w:rFonts w:ascii="Century Gothic" w:hAnsi="Century Gothic"/>
          <w:b w:val="0"/>
          <w:i/>
        </w:rPr>
        <w:t xml:space="preserve"> NP</w:t>
      </w:r>
      <w:bookmarkEnd w:id="140"/>
    </w:p>
    <w:p w14:paraId="0FBCE747" w14:textId="1DE52151" w:rsidR="00B046C0" w:rsidRDefault="005312D2" w:rsidP="00A72190">
      <w:pPr>
        <w:pStyle w:val="Normlnywebov"/>
        <w:spacing w:before="0" w:beforeAutospacing="0" w:after="0" w:afterAutospacing="0"/>
        <w:jc w:val="both"/>
        <w:rPr>
          <w:rFonts w:ascii="Century Gothic" w:eastAsia="Arial Narrow" w:hAnsi="Century Gothic" w:cs="Arial Narrow"/>
          <w:sz w:val="22"/>
          <w:szCs w:val="22"/>
        </w:rPr>
      </w:pPr>
      <w:r>
        <w:rPr>
          <w:rFonts w:ascii="Century Gothic" w:eastAsia="Arial Narrow" w:hAnsi="Century Gothic" w:cs="Arial Narrow"/>
          <w:noProof/>
          <w:sz w:val="22"/>
          <w:szCs w:val="22"/>
        </w:rPr>
        <w:drawing>
          <wp:inline distT="0" distB="0" distL="0" distR="0" wp14:anchorId="7DEC538F" wp14:editId="6E4E7E5F">
            <wp:extent cx="5925820" cy="4049395"/>
            <wp:effectExtent l="0" t="0" r="0" b="825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25820" cy="4049395"/>
                    </a:xfrm>
                    <a:prstGeom prst="rect">
                      <a:avLst/>
                    </a:prstGeom>
                    <a:noFill/>
                    <a:ln>
                      <a:noFill/>
                    </a:ln>
                  </pic:spPr>
                </pic:pic>
              </a:graphicData>
            </a:graphic>
          </wp:inline>
        </w:drawing>
      </w:r>
    </w:p>
    <w:p w14:paraId="6CA61045" w14:textId="77777777" w:rsidR="005312D2" w:rsidRPr="005312D2" w:rsidRDefault="005312D2" w:rsidP="005312D2">
      <w:pPr>
        <w:pStyle w:val="TableParagraph"/>
        <w:spacing w:before="1"/>
        <w:rPr>
          <w:rFonts w:ascii="Century Gothic" w:eastAsia="Arial Narrow" w:hAnsi="Century Gothic" w:cs="Arial Narrow"/>
          <w:lang w:val="sk-SK"/>
        </w:rPr>
      </w:pPr>
      <w:r w:rsidRPr="005312D2">
        <w:rPr>
          <w:rFonts w:ascii="Century Gothic" w:hAnsi="Century Gothic"/>
          <w:i/>
          <w:sz w:val="18"/>
          <w:szCs w:val="18"/>
          <w:lang w:val="sk-SK"/>
        </w:rPr>
        <w:t>Zdroj: Súhrnná a sprievodná technická správa – Pavilón urgentnej medicíny</w:t>
      </w:r>
    </w:p>
    <w:p w14:paraId="58F607EC" w14:textId="77777777" w:rsidR="005312D2" w:rsidRPr="00C44B9F" w:rsidRDefault="005312D2" w:rsidP="00A72190">
      <w:pPr>
        <w:pStyle w:val="Normlnywebov"/>
        <w:spacing w:before="0" w:beforeAutospacing="0" w:after="0" w:afterAutospacing="0"/>
        <w:jc w:val="both"/>
        <w:rPr>
          <w:rFonts w:ascii="Century Gothic" w:eastAsia="Arial Narrow" w:hAnsi="Century Gothic" w:cs="Arial Narrow"/>
          <w:sz w:val="22"/>
          <w:szCs w:val="22"/>
        </w:rPr>
      </w:pPr>
    </w:p>
    <w:p w14:paraId="61CBB11E" w14:textId="0EECFEBB" w:rsidR="00B046C0" w:rsidRPr="00C44B9F" w:rsidRDefault="00B046C0" w:rsidP="00D43498">
      <w:pPr>
        <w:pStyle w:val="Normlnywebov"/>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2.NP</w:t>
      </w:r>
    </w:p>
    <w:p w14:paraId="34F4F9DE" w14:textId="264DE50F"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pomocné a diagnostické oddelenia</w:t>
      </w:r>
    </w:p>
    <w:p w14:paraId="155935C3" w14:textId="549C4F8E"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proofErr w:type="spellStart"/>
      <w:r w:rsidRPr="00C44B9F">
        <w:rPr>
          <w:rFonts w:ascii="Century Gothic" w:eastAsia="Arial Narrow" w:hAnsi="Century Gothic" w:cs="Arial Narrow"/>
          <w:sz w:val="22"/>
          <w:szCs w:val="22"/>
        </w:rPr>
        <w:t>rádiodiagnostické</w:t>
      </w:r>
      <w:proofErr w:type="spellEnd"/>
      <w:r w:rsidRPr="00C44B9F">
        <w:rPr>
          <w:rFonts w:ascii="Century Gothic" w:eastAsia="Arial Narrow" w:hAnsi="Century Gothic" w:cs="Arial Narrow"/>
          <w:sz w:val="22"/>
          <w:szCs w:val="22"/>
        </w:rPr>
        <w:t xml:space="preserve"> oddelenia</w:t>
      </w:r>
    </w:p>
    <w:p w14:paraId="0BA4D3D4" w14:textId="259B7D5D"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ultrazvukové oddelenia</w:t>
      </w:r>
    </w:p>
    <w:p w14:paraId="592524E9" w14:textId="02967CF3"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proofErr w:type="spellStart"/>
      <w:r w:rsidRPr="00C44B9F">
        <w:rPr>
          <w:rFonts w:ascii="Century Gothic" w:eastAsia="Arial Narrow" w:hAnsi="Century Gothic" w:cs="Arial Narrow"/>
          <w:sz w:val="22"/>
          <w:szCs w:val="22"/>
        </w:rPr>
        <w:t>endoskopické</w:t>
      </w:r>
      <w:proofErr w:type="spellEnd"/>
      <w:r w:rsidRPr="00C44B9F">
        <w:rPr>
          <w:rFonts w:ascii="Century Gothic" w:eastAsia="Arial Narrow" w:hAnsi="Century Gothic" w:cs="Arial Narrow"/>
          <w:sz w:val="22"/>
          <w:szCs w:val="22"/>
        </w:rPr>
        <w:t xml:space="preserve"> oddelenia</w:t>
      </w:r>
    </w:p>
    <w:p w14:paraId="5A02EA17" w14:textId="77777777" w:rsidR="005312D2" w:rsidRDefault="005312D2" w:rsidP="00D43498">
      <w:pPr>
        <w:pStyle w:val="Popis"/>
        <w:spacing w:before="0" w:after="0" w:line="240" w:lineRule="auto"/>
        <w:rPr>
          <w:rFonts w:ascii="Century Gothic" w:hAnsi="Century Gothic"/>
          <w:b w:val="0"/>
          <w:i/>
        </w:rPr>
      </w:pPr>
    </w:p>
    <w:p w14:paraId="1DA49A10" w14:textId="44B8F74C" w:rsidR="00B046C0" w:rsidRPr="00C44B9F" w:rsidRDefault="00B046C0" w:rsidP="00D43498">
      <w:pPr>
        <w:pStyle w:val="Normlnywebov"/>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3.NP</w:t>
      </w:r>
    </w:p>
    <w:p w14:paraId="06F406B0" w14:textId="38A03FB8"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rehabilitácie, transfúzne stanice</w:t>
      </w:r>
    </w:p>
    <w:p w14:paraId="5D31E585" w14:textId="7DA63612"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administratíva nemocnice</w:t>
      </w:r>
    </w:p>
    <w:p w14:paraId="6C75572F" w14:textId="36395BB7"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časť klinických katedier</w:t>
      </w:r>
    </w:p>
    <w:p w14:paraId="51804DD3" w14:textId="30F28CC2" w:rsidR="00B046C0" w:rsidRPr="00C44B9F" w:rsidRDefault="00B046C0" w:rsidP="00D43498">
      <w:pPr>
        <w:pStyle w:val="Normlnywebov"/>
        <w:spacing w:before="0" w:beforeAutospacing="0" w:after="0" w:afterAutospacing="0"/>
        <w:jc w:val="both"/>
        <w:rPr>
          <w:rFonts w:ascii="Century Gothic" w:eastAsia="Arial Narrow" w:hAnsi="Century Gothic" w:cs="Arial Narrow"/>
          <w:sz w:val="22"/>
          <w:szCs w:val="22"/>
          <w:lang w:val="pl-PL"/>
        </w:rPr>
      </w:pPr>
    </w:p>
    <w:p w14:paraId="640EC026" w14:textId="0F2BDE50" w:rsidR="00B046C0" w:rsidRPr="00C44B9F" w:rsidRDefault="00B046C0" w:rsidP="00D43498">
      <w:pPr>
        <w:pStyle w:val="Normlnywebov"/>
        <w:spacing w:before="0" w:beforeAutospacing="0" w:after="0" w:afterAutospacing="0"/>
        <w:jc w:val="both"/>
        <w:rPr>
          <w:rFonts w:ascii="Century Gothic" w:eastAsia="Arial Narrow" w:hAnsi="Century Gothic" w:cs="Arial Narrow"/>
          <w:sz w:val="22"/>
          <w:szCs w:val="22"/>
          <w:lang w:val="pl-PL"/>
        </w:rPr>
      </w:pPr>
      <w:r w:rsidRPr="00C44B9F">
        <w:rPr>
          <w:rFonts w:ascii="Century Gothic" w:eastAsia="Arial Narrow" w:hAnsi="Century Gothic" w:cs="Arial Narrow"/>
          <w:sz w:val="22"/>
          <w:szCs w:val="22"/>
          <w:lang w:val="pl-PL"/>
        </w:rPr>
        <w:t>4.NP</w:t>
      </w:r>
    </w:p>
    <w:p w14:paraId="20FC56D7" w14:textId="07F93288"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proofErr w:type="spellStart"/>
      <w:r w:rsidRPr="00C44B9F">
        <w:rPr>
          <w:rFonts w:ascii="Century Gothic" w:eastAsia="Arial Narrow" w:hAnsi="Century Gothic" w:cs="Arial Narrow"/>
          <w:sz w:val="22"/>
          <w:szCs w:val="22"/>
        </w:rPr>
        <w:t>anesteziologicko</w:t>
      </w:r>
      <w:proofErr w:type="spellEnd"/>
      <w:r w:rsidRPr="00C44B9F">
        <w:rPr>
          <w:rFonts w:ascii="Century Gothic" w:eastAsia="Arial Narrow" w:hAnsi="Century Gothic" w:cs="Arial Narrow"/>
          <w:sz w:val="22"/>
          <w:szCs w:val="22"/>
        </w:rPr>
        <w:t>-resuscitačné oddelenie</w:t>
      </w:r>
    </w:p>
    <w:p w14:paraId="7AA18531" w14:textId="66CEC4A5" w:rsidR="00786A2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centrálne laboratóriá</w:t>
      </w:r>
    </w:p>
    <w:p w14:paraId="255ACB61" w14:textId="6C2D0C5F"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hala, administratíva</w:t>
      </w:r>
    </w:p>
    <w:p w14:paraId="174091D3" w14:textId="7080C1FA" w:rsidR="00B046C0" w:rsidRPr="00C44B9F" w:rsidRDefault="00B046C0" w:rsidP="00D43498">
      <w:pPr>
        <w:spacing w:line="240" w:lineRule="auto"/>
        <w:rPr>
          <w:rFonts w:ascii="Century Gothic" w:eastAsia="Arial Narrow" w:hAnsi="Century Gothic" w:cs="Arial Narrow"/>
          <w:sz w:val="22"/>
          <w:szCs w:val="22"/>
        </w:rPr>
      </w:pPr>
    </w:p>
    <w:p w14:paraId="169E84E4" w14:textId="77B7F347" w:rsidR="00B046C0" w:rsidRPr="00C44B9F" w:rsidRDefault="00B046C0" w:rsidP="00D43498">
      <w:pPr>
        <w:spacing w:line="240" w:lineRule="auto"/>
        <w:rPr>
          <w:rFonts w:ascii="Century Gothic" w:eastAsia="Arial Narrow" w:hAnsi="Century Gothic" w:cs="Arial Narrow"/>
          <w:sz w:val="22"/>
          <w:szCs w:val="22"/>
        </w:rPr>
      </w:pPr>
      <w:r w:rsidRPr="00C44B9F">
        <w:rPr>
          <w:rFonts w:ascii="Century Gothic" w:eastAsia="Arial Narrow" w:hAnsi="Century Gothic" w:cs="Arial Narrow"/>
          <w:sz w:val="22"/>
          <w:szCs w:val="22"/>
        </w:rPr>
        <w:t>5.NP</w:t>
      </w:r>
    </w:p>
    <w:p w14:paraId="66FCE333" w14:textId="79A60337"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centrálne operačné sály</w:t>
      </w:r>
    </w:p>
    <w:p w14:paraId="70D63B54" w14:textId="51A703AC"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pooperačná starostlivosť (dospávanie)</w:t>
      </w:r>
    </w:p>
    <w:p w14:paraId="0F44CCE8" w14:textId="11D628D4" w:rsidR="00B046C0" w:rsidRPr="00C44B9F" w:rsidRDefault="00B046C0" w:rsidP="00D43498">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centrálna sterilizácia</w:t>
      </w:r>
    </w:p>
    <w:p w14:paraId="5FE91326" w14:textId="2AD22298" w:rsidR="00B046C0" w:rsidRDefault="00B046C0" w:rsidP="00B046C0">
      <w:pPr>
        <w:rPr>
          <w:rFonts w:ascii="Century Gothic" w:eastAsia="Arial Narrow" w:hAnsi="Century Gothic" w:cs="Arial Narrow"/>
          <w:sz w:val="22"/>
          <w:szCs w:val="22"/>
        </w:rPr>
      </w:pPr>
    </w:p>
    <w:p w14:paraId="4C02967B" w14:textId="77777777" w:rsidR="00D43498" w:rsidRDefault="00D43498" w:rsidP="005312D2">
      <w:pPr>
        <w:pStyle w:val="Popis"/>
        <w:spacing w:before="0" w:after="0" w:line="240" w:lineRule="auto"/>
        <w:rPr>
          <w:rFonts w:ascii="Century Gothic" w:hAnsi="Century Gothic"/>
          <w:b w:val="0"/>
          <w:i/>
        </w:rPr>
      </w:pPr>
    </w:p>
    <w:p w14:paraId="0D99F114" w14:textId="77777777" w:rsidR="00D43498" w:rsidRDefault="00D43498" w:rsidP="005312D2">
      <w:pPr>
        <w:pStyle w:val="Popis"/>
        <w:spacing w:before="0" w:after="0" w:line="240" w:lineRule="auto"/>
        <w:rPr>
          <w:rFonts w:ascii="Century Gothic" w:hAnsi="Century Gothic"/>
          <w:b w:val="0"/>
          <w:i/>
        </w:rPr>
      </w:pPr>
    </w:p>
    <w:p w14:paraId="12C02187" w14:textId="77777777" w:rsidR="00D43498" w:rsidRDefault="00D43498" w:rsidP="005312D2">
      <w:pPr>
        <w:pStyle w:val="Popis"/>
        <w:spacing w:before="0" w:after="0" w:line="240" w:lineRule="auto"/>
        <w:rPr>
          <w:rFonts w:ascii="Century Gothic" w:hAnsi="Century Gothic"/>
          <w:b w:val="0"/>
          <w:i/>
        </w:rPr>
      </w:pPr>
    </w:p>
    <w:p w14:paraId="6E41A2E1" w14:textId="77777777" w:rsidR="00D43498" w:rsidRDefault="00D43498" w:rsidP="005312D2">
      <w:pPr>
        <w:pStyle w:val="Popis"/>
        <w:spacing w:before="0" w:after="0" w:line="240" w:lineRule="auto"/>
        <w:rPr>
          <w:rFonts w:ascii="Century Gothic" w:hAnsi="Century Gothic"/>
          <w:b w:val="0"/>
          <w:i/>
        </w:rPr>
      </w:pPr>
    </w:p>
    <w:p w14:paraId="5A85DFDC" w14:textId="24B1DA0B" w:rsidR="005312D2" w:rsidRPr="005312D2" w:rsidRDefault="005312D2" w:rsidP="005312D2">
      <w:pPr>
        <w:pStyle w:val="Popis"/>
        <w:spacing w:before="0" w:after="0" w:line="240" w:lineRule="auto"/>
        <w:rPr>
          <w:rFonts w:ascii="Century Gothic" w:hAnsi="Century Gothic"/>
          <w:b w:val="0"/>
          <w:i/>
        </w:rPr>
      </w:pPr>
      <w:bookmarkStart w:id="141" w:name="_Toc145219863"/>
      <w:r w:rsidRPr="005312D2">
        <w:rPr>
          <w:rFonts w:ascii="Century Gothic" w:hAnsi="Century Gothic"/>
          <w:b w:val="0"/>
          <w:i/>
        </w:rPr>
        <w:lastRenderedPageBreak/>
        <w:t xml:space="preserve">Obrázok </w:t>
      </w:r>
      <w:r w:rsidRPr="005312D2">
        <w:rPr>
          <w:rFonts w:ascii="Century Gothic" w:hAnsi="Century Gothic"/>
          <w:b w:val="0"/>
          <w:i/>
        </w:rPr>
        <w:fldChar w:fldCharType="begin"/>
      </w:r>
      <w:r w:rsidRPr="005312D2">
        <w:rPr>
          <w:rFonts w:ascii="Century Gothic" w:hAnsi="Century Gothic"/>
          <w:b w:val="0"/>
          <w:i/>
        </w:rPr>
        <w:instrText xml:space="preserve"> SEQ Obrázok \* ARABIC </w:instrText>
      </w:r>
      <w:r w:rsidRPr="005312D2">
        <w:rPr>
          <w:rFonts w:ascii="Century Gothic" w:hAnsi="Century Gothic"/>
          <w:b w:val="0"/>
          <w:i/>
        </w:rPr>
        <w:fldChar w:fldCharType="separate"/>
      </w:r>
      <w:r w:rsidR="007D6A44">
        <w:rPr>
          <w:rFonts w:ascii="Century Gothic" w:hAnsi="Century Gothic"/>
          <w:b w:val="0"/>
          <w:i/>
          <w:noProof/>
        </w:rPr>
        <w:t>11</w:t>
      </w:r>
      <w:r w:rsidRPr="005312D2">
        <w:rPr>
          <w:rFonts w:ascii="Century Gothic" w:hAnsi="Century Gothic"/>
          <w:b w:val="0"/>
          <w:i/>
        </w:rPr>
        <w:fldChar w:fldCharType="end"/>
      </w:r>
      <w:r w:rsidRPr="005312D2">
        <w:rPr>
          <w:rFonts w:ascii="Century Gothic" w:hAnsi="Century Gothic"/>
          <w:b w:val="0"/>
          <w:i/>
        </w:rPr>
        <w:t xml:space="preserve"> </w:t>
      </w:r>
      <w:r w:rsidR="00181CD2">
        <w:rPr>
          <w:rFonts w:ascii="Century Gothic" w:hAnsi="Century Gothic"/>
          <w:b w:val="0"/>
          <w:i/>
        </w:rPr>
        <w:t>Schéma</w:t>
      </w:r>
      <w:r w:rsidR="00181CD2" w:rsidRPr="005312D2">
        <w:rPr>
          <w:rFonts w:ascii="Century Gothic" w:hAnsi="Century Gothic"/>
          <w:b w:val="0"/>
          <w:i/>
        </w:rPr>
        <w:t xml:space="preserve"> </w:t>
      </w:r>
      <w:r w:rsidRPr="005312D2">
        <w:rPr>
          <w:rFonts w:ascii="Century Gothic" w:hAnsi="Century Gothic"/>
          <w:b w:val="0"/>
          <w:i/>
        </w:rPr>
        <w:t>5. NP</w:t>
      </w:r>
      <w:bookmarkEnd w:id="141"/>
    </w:p>
    <w:p w14:paraId="06740B1D" w14:textId="1DF68CE0" w:rsidR="005312D2" w:rsidRDefault="005312D2" w:rsidP="00B046C0">
      <w:pPr>
        <w:rPr>
          <w:rFonts w:ascii="Century Gothic" w:eastAsia="Arial Narrow" w:hAnsi="Century Gothic" w:cs="Arial Narrow"/>
          <w:sz w:val="22"/>
          <w:szCs w:val="22"/>
        </w:rPr>
      </w:pPr>
      <w:r>
        <w:rPr>
          <w:rFonts w:ascii="Century Gothic" w:eastAsia="Arial Narrow" w:hAnsi="Century Gothic" w:cs="Arial Narrow"/>
          <w:noProof/>
          <w:sz w:val="22"/>
          <w:szCs w:val="22"/>
        </w:rPr>
        <w:drawing>
          <wp:inline distT="0" distB="0" distL="0" distR="0" wp14:anchorId="6E8986D8" wp14:editId="3EDB8B7D">
            <wp:extent cx="5925820" cy="3966210"/>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25820" cy="3966210"/>
                    </a:xfrm>
                    <a:prstGeom prst="rect">
                      <a:avLst/>
                    </a:prstGeom>
                    <a:noFill/>
                    <a:ln>
                      <a:noFill/>
                    </a:ln>
                  </pic:spPr>
                </pic:pic>
              </a:graphicData>
            </a:graphic>
          </wp:inline>
        </w:drawing>
      </w:r>
    </w:p>
    <w:p w14:paraId="67653021" w14:textId="77777777" w:rsidR="005312D2" w:rsidRPr="005312D2" w:rsidRDefault="005312D2" w:rsidP="005312D2">
      <w:pPr>
        <w:pStyle w:val="TableParagraph"/>
        <w:spacing w:before="1"/>
        <w:rPr>
          <w:rFonts w:ascii="Century Gothic" w:eastAsia="Arial Narrow" w:hAnsi="Century Gothic" w:cs="Arial Narrow"/>
          <w:lang w:val="sk-SK"/>
        </w:rPr>
      </w:pPr>
      <w:r w:rsidRPr="005312D2">
        <w:rPr>
          <w:rFonts w:ascii="Century Gothic" w:hAnsi="Century Gothic"/>
          <w:i/>
          <w:sz w:val="18"/>
          <w:szCs w:val="18"/>
          <w:lang w:val="sk-SK"/>
        </w:rPr>
        <w:t>Zdroj: Súhrnná a sprievodná technická správa – Pavilón urgentnej medicíny</w:t>
      </w:r>
    </w:p>
    <w:p w14:paraId="168729C5" w14:textId="77777777" w:rsidR="005312D2" w:rsidRPr="005312D2" w:rsidRDefault="005312D2" w:rsidP="00B046C0">
      <w:pPr>
        <w:rPr>
          <w:rFonts w:ascii="Century Gothic" w:eastAsia="Arial Narrow" w:hAnsi="Century Gothic" w:cs="Arial Narrow"/>
          <w:b/>
          <w:sz w:val="22"/>
          <w:szCs w:val="22"/>
        </w:rPr>
      </w:pPr>
    </w:p>
    <w:p w14:paraId="3AB08E0F" w14:textId="375F8DE5" w:rsidR="00B046C0" w:rsidRPr="00C44B9F" w:rsidRDefault="00B046C0" w:rsidP="00B046C0">
      <w:pPr>
        <w:rPr>
          <w:rFonts w:ascii="Century Gothic" w:eastAsia="Arial Narrow" w:hAnsi="Century Gothic" w:cs="Arial Narrow"/>
          <w:sz w:val="22"/>
          <w:szCs w:val="22"/>
        </w:rPr>
      </w:pPr>
      <w:r w:rsidRPr="00C44B9F">
        <w:rPr>
          <w:rFonts w:ascii="Century Gothic" w:eastAsia="Arial Narrow" w:hAnsi="Century Gothic" w:cs="Arial Narrow"/>
          <w:sz w:val="22"/>
          <w:szCs w:val="22"/>
        </w:rPr>
        <w:t>Strecha</w:t>
      </w:r>
    </w:p>
    <w:p w14:paraId="1BD1CD4A" w14:textId="205B03F4"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proofErr w:type="spellStart"/>
      <w:r w:rsidRPr="00C44B9F">
        <w:rPr>
          <w:rFonts w:ascii="Century Gothic" w:eastAsia="Arial Narrow" w:hAnsi="Century Gothic" w:cs="Arial Narrow"/>
          <w:sz w:val="22"/>
          <w:szCs w:val="22"/>
        </w:rPr>
        <w:t>heliport</w:t>
      </w:r>
      <w:proofErr w:type="spellEnd"/>
      <w:r w:rsidRPr="00C44B9F">
        <w:rPr>
          <w:rFonts w:ascii="Century Gothic" w:eastAsia="Arial Narrow" w:hAnsi="Century Gothic" w:cs="Arial Narrow"/>
          <w:sz w:val="22"/>
          <w:szCs w:val="22"/>
        </w:rPr>
        <w:t xml:space="preserve"> HEMS pre lety za viditeľnosti (VFR) deň/noc</w:t>
      </w:r>
    </w:p>
    <w:p w14:paraId="093B90EE" w14:textId="755EAA47" w:rsidR="00B046C0" w:rsidRPr="00C44B9F" w:rsidRDefault="00B046C0" w:rsidP="007F681B">
      <w:pPr>
        <w:pStyle w:val="Normlnywebov"/>
        <w:numPr>
          <w:ilvl w:val="0"/>
          <w:numId w:val="59"/>
        </w:numPr>
        <w:spacing w:before="0" w:beforeAutospacing="0" w:after="0" w:afterAutospacing="0"/>
        <w:jc w:val="both"/>
        <w:rPr>
          <w:rFonts w:ascii="Century Gothic" w:eastAsia="Arial Narrow" w:hAnsi="Century Gothic" w:cs="Arial Narrow"/>
          <w:sz w:val="22"/>
          <w:szCs w:val="22"/>
        </w:rPr>
      </w:pPr>
      <w:r w:rsidRPr="00C44B9F">
        <w:rPr>
          <w:rFonts w:ascii="Century Gothic" w:eastAsia="Arial Narrow" w:hAnsi="Century Gothic" w:cs="Arial Narrow"/>
          <w:sz w:val="22"/>
          <w:szCs w:val="22"/>
        </w:rPr>
        <w:t>akútny príjem HEMS</w:t>
      </w:r>
    </w:p>
    <w:p w14:paraId="67D3671A" w14:textId="77777777" w:rsidR="00B046C0" w:rsidRPr="00B046C0" w:rsidRDefault="00B046C0" w:rsidP="00B046C0">
      <w:pPr>
        <w:rPr>
          <w:lang w:val="pl-PL" w:eastAsia="cs-CZ"/>
        </w:rPr>
      </w:pPr>
    </w:p>
    <w:p w14:paraId="06CCAB0B" w14:textId="4F876F50" w:rsidR="00B046C0" w:rsidRDefault="00B046C0" w:rsidP="00A72190">
      <w:pPr>
        <w:rPr>
          <w:rFonts w:ascii="Century Gothic" w:hAnsi="Century Gothic" w:cstheme="minorHAnsi"/>
          <w:b/>
          <w:sz w:val="22"/>
          <w:szCs w:val="22"/>
        </w:rPr>
      </w:pPr>
      <w:r w:rsidRPr="00B046C0">
        <w:rPr>
          <w:rFonts w:ascii="Century Gothic" w:hAnsi="Century Gothic" w:cstheme="minorHAnsi"/>
          <w:b/>
          <w:sz w:val="22"/>
          <w:szCs w:val="22"/>
        </w:rPr>
        <w:t>Koncepcia zdravotníckej prevádzky</w:t>
      </w:r>
    </w:p>
    <w:p w14:paraId="19C63F69" w14:textId="77777777" w:rsidR="00B046C0" w:rsidRPr="00B046C0" w:rsidRDefault="00B046C0" w:rsidP="00A72190">
      <w:pPr>
        <w:rPr>
          <w:rFonts w:ascii="Century Gothic" w:hAnsi="Century Gothic" w:cstheme="minorHAnsi"/>
          <w:b/>
          <w:sz w:val="22"/>
          <w:szCs w:val="22"/>
        </w:rPr>
      </w:pPr>
    </w:p>
    <w:p w14:paraId="070530E8"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Nová nemocnica musí byť navrhnutá ako 343-lôžková komplexná nemocnica. Existujú základné medicínske disciplíny prislúchajúce nemocniciam podobného typu, ktoré je možné usporiadať a naplniť podľa požadovaného stavebného programu. Univerzálne lôžkové jednotky majú požadovaný štandardný počet lôžok v rozmedzí 20 až 30 lôžok. Neoddeliteľnou súčasťou nemocnice môžu byť aj priestory potrebné pre nevyhnutnú administratívu.</w:t>
      </w:r>
    </w:p>
    <w:p w14:paraId="6D31FA43" w14:textId="77777777" w:rsidR="00B046C0" w:rsidRPr="00B046C0" w:rsidRDefault="00B046C0" w:rsidP="00B046C0">
      <w:pPr>
        <w:spacing w:line="240" w:lineRule="auto"/>
        <w:rPr>
          <w:rFonts w:ascii="Century Gothic" w:hAnsi="Century Gothic" w:cstheme="minorHAnsi"/>
          <w:bCs/>
          <w:sz w:val="22"/>
          <w:szCs w:val="22"/>
        </w:rPr>
      </w:pPr>
    </w:p>
    <w:p w14:paraId="315ACF35"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Nemocnica by mala byť navrhnutá ako samostatné zdravotnícke zariadenie, ktoré využíva spojenie s existujúcou technickou a dopravnou infraštruktúrou územia a primerane ho dopĺňa, vrátane potrebných zdrojov energie a médií.</w:t>
      </w:r>
    </w:p>
    <w:p w14:paraId="3707C81D" w14:textId="79852D52" w:rsidR="00B046C0" w:rsidRPr="00B046C0" w:rsidRDefault="00B046C0" w:rsidP="00B046C0">
      <w:pPr>
        <w:spacing w:line="240" w:lineRule="auto"/>
        <w:rPr>
          <w:rFonts w:ascii="Century Gothic" w:hAnsi="Century Gothic" w:cstheme="minorHAnsi"/>
          <w:bCs/>
          <w:sz w:val="22"/>
          <w:szCs w:val="22"/>
        </w:rPr>
      </w:pPr>
      <w:r>
        <w:rPr>
          <w:rFonts w:ascii="Century Gothic" w:hAnsi="Century Gothic" w:cstheme="minorHAnsi"/>
          <w:bCs/>
          <w:sz w:val="22"/>
          <w:szCs w:val="22"/>
        </w:rPr>
        <w:t>V</w:t>
      </w:r>
      <w:r w:rsidRPr="00B046C0">
        <w:rPr>
          <w:rFonts w:ascii="Century Gothic" w:hAnsi="Century Gothic" w:cstheme="minorHAnsi"/>
          <w:bCs/>
          <w:sz w:val="22"/>
          <w:szCs w:val="22"/>
        </w:rPr>
        <w:t xml:space="preserve">yznačený priestor pre umiestnenie novej nemocnice </w:t>
      </w:r>
      <w:r>
        <w:rPr>
          <w:rFonts w:ascii="Century Gothic" w:hAnsi="Century Gothic" w:cstheme="minorHAnsi"/>
          <w:bCs/>
          <w:sz w:val="22"/>
          <w:szCs w:val="22"/>
        </w:rPr>
        <w:t>je s</w:t>
      </w:r>
      <w:r w:rsidRPr="00B046C0">
        <w:rPr>
          <w:rFonts w:ascii="Century Gothic" w:hAnsi="Century Gothic" w:cstheme="minorHAnsi"/>
          <w:bCs/>
          <w:sz w:val="22"/>
          <w:szCs w:val="22"/>
        </w:rPr>
        <w:t xml:space="preserve"> maximálnou výškou 7 nadzemných podlaží..  V suteréne sa má nachádzať technické a prevádzkové zázemie. Chrbticová zásobovacia chodba spájajúca hlavné</w:t>
      </w:r>
      <w:r>
        <w:rPr>
          <w:rFonts w:ascii="Century Gothic" w:hAnsi="Century Gothic" w:cstheme="minorHAnsi"/>
          <w:bCs/>
          <w:sz w:val="22"/>
          <w:szCs w:val="22"/>
        </w:rPr>
        <w:t xml:space="preserve"> </w:t>
      </w:r>
      <w:r w:rsidRPr="00B046C0">
        <w:rPr>
          <w:rFonts w:ascii="Century Gothic" w:hAnsi="Century Gothic" w:cstheme="minorHAnsi"/>
          <w:bCs/>
          <w:sz w:val="22"/>
          <w:szCs w:val="22"/>
        </w:rPr>
        <w:t xml:space="preserve">výťahové vertikály jednotlivých častí tak, aby bola umožnená jednoduchá distribúcia jedla pomocou </w:t>
      </w:r>
      <w:proofErr w:type="spellStart"/>
      <w:r w:rsidRPr="00B046C0">
        <w:rPr>
          <w:rFonts w:ascii="Century Gothic" w:hAnsi="Century Gothic" w:cstheme="minorHAnsi"/>
          <w:bCs/>
          <w:sz w:val="22"/>
          <w:szCs w:val="22"/>
        </w:rPr>
        <w:t>tabletového</w:t>
      </w:r>
      <w:proofErr w:type="spellEnd"/>
      <w:r>
        <w:rPr>
          <w:rFonts w:ascii="Century Gothic" w:hAnsi="Century Gothic" w:cstheme="minorHAnsi"/>
          <w:bCs/>
          <w:sz w:val="22"/>
          <w:szCs w:val="22"/>
        </w:rPr>
        <w:t xml:space="preserve"> </w:t>
      </w:r>
      <w:r w:rsidRPr="00B046C0">
        <w:rPr>
          <w:rFonts w:ascii="Century Gothic" w:hAnsi="Century Gothic" w:cstheme="minorHAnsi"/>
          <w:bCs/>
          <w:sz w:val="22"/>
          <w:szCs w:val="22"/>
        </w:rPr>
        <w:t>systému, bielizne, zdravotníckeho materiálu vrátane zásobovania z lekární a laboratórií. Technické koridory majú spájať jednotlivé nové pavilóny so zdrojmi energie a technickými miestnosťami. V suteréne majú byť osadené centrálne šatne zdravotníckeho personálu.</w:t>
      </w:r>
    </w:p>
    <w:p w14:paraId="4094D9B3" w14:textId="77777777" w:rsidR="00B046C0" w:rsidRPr="00B046C0" w:rsidRDefault="00B046C0" w:rsidP="00B046C0">
      <w:pPr>
        <w:spacing w:line="240" w:lineRule="auto"/>
        <w:rPr>
          <w:rFonts w:ascii="Century Gothic" w:hAnsi="Century Gothic" w:cstheme="minorHAnsi"/>
          <w:bCs/>
          <w:sz w:val="22"/>
          <w:szCs w:val="22"/>
        </w:rPr>
      </w:pPr>
    </w:p>
    <w:p w14:paraId="297087B6"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lastRenderedPageBreak/>
        <w:t>V pavilóne akútnej starostlivosti sa majú nachádzať vyšetrovacie, liečebné a vyučovacie zložky. Lôžkové pavilóny musia byť navrhnuté v samostatne oddelenej časti objektu. Pavilóny majú byť v potrebnej miere prepojené na jednotlivých podlažiach centrálnou spojovou chodbou s univerzálnym pavilónom.</w:t>
      </w:r>
    </w:p>
    <w:p w14:paraId="5D13293B" w14:textId="77777777" w:rsidR="00B046C0" w:rsidRPr="00B046C0" w:rsidRDefault="00B046C0" w:rsidP="00B046C0">
      <w:pPr>
        <w:spacing w:line="240" w:lineRule="auto"/>
        <w:rPr>
          <w:rFonts w:ascii="Century Gothic" w:hAnsi="Century Gothic" w:cstheme="minorHAnsi"/>
          <w:bCs/>
          <w:sz w:val="22"/>
          <w:szCs w:val="22"/>
        </w:rPr>
      </w:pPr>
    </w:p>
    <w:p w14:paraId="4321ADA6"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Jednotlivé segmenty nemocnice majú byť navrhnuté tak, aby v prípade vyradenia niektorého dielčieho pavilónu z prevádzky (napr. počas budúcej rekonštrukcie), pri etapovitej výstavbe, alebo v prípade bezpečnostného rizika, nebola ohrozená celková prevádzka nemocnice.</w:t>
      </w:r>
    </w:p>
    <w:p w14:paraId="7E0FA4C0" w14:textId="77777777" w:rsidR="00B046C0" w:rsidRPr="00B046C0" w:rsidRDefault="00B046C0" w:rsidP="00B046C0">
      <w:pPr>
        <w:spacing w:line="240" w:lineRule="auto"/>
        <w:rPr>
          <w:rFonts w:ascii="Century Gothic" w:hAnsi="Century Gothic" w:cstheme="minorHAnsi"/>
          <w:bCs/>
          <w:sz w:val="22"/>
          <w:szCs w:val="22"/>
        </w:rPr>
      </w:pPr>
    </w:p>
    <w:p w14:paraId="393045B9" w14:textId="5BC2C019"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 xml:space="preserve">Žiadne základné oddelenia </w:t>
      </w:r>
      <w:proofErr w:type="spellStart"/>
      <w:r w:rsidRPr="00B046C0">
        <w:rPr>
          <w:rFonts w:ascii="Century Gothic" w:hAnsi="Century Gothic" w:cstheme="minorHAnsi"/>
          <w:bCs/>
          <w:sz w:val="22"/>
          <w:szCs w:val="22"/>
        </w:rPr>
        <w:t>t</w:t>
      </w:r>
      <w:r w:rsidR="00BB692D">
        <w:rPr>
          <w:rFonts w:ascii="Century Gothic" w:hAnsi="Century Gothic" w:cstheme="minorHAnsi"/>
          <w:bCs/>
          <w:sz w:val="22"/>
          <w:szCs w:val="22"/>
        </w:rPr>
        <w:t>.</w:t>
      </w:r>
      <w:r w:rsidRPr="00B046C0">
        <w:rPr>
          <w:rFonts w:ascii="Century Gothic" w:hAnsi="Century Gothic" w:cstheme="minorHAnsi"/>
          <w:bCs/>
          <w:sz w:val="22"/>
          <w:szCs w:val="22"/>
        </w:rPr>
        <w:t>j</w:t>
      </w:r>
      <w:proofErr w:type="spellEnd"/>
      <w:r w:rsidRPr="00B046C0">
        <w:rPr>
          <w:rFonts w:ascii="Century Gothic" w:hAnsi="Century Gothic" w:cstheme="minorHAnsi"/>
          <w:bCs/>
          <w:sz w:val="22"/>
          <w:szCs w:val="22"/>
        </w:rPr>
        <w:t>. napr. lôžkové oddelenia, anestéziologické oddelenia, operačné sály, laboratóriá atď. nesmú byť z hygienických dôvodov priechodné. Akútne prevádzky musia byť naviazané na výťahové vertikály.</w:t>
      </w:r>
    </w:p>
    <w:p w14:paraId="30832DF9" w14:textId="77777777" w:rsidR="00B046C0" w:rsidRDefault="00B046C0" w:rsidP="00A72190">
      <w:pPr>
        <w:rPr>
          <w:lang w:eastAsia="cs-CZ"/>
        </w:rPr>
      </w:pPr>
    </w:p>
    <w:p w14:paraId="04D99742" w14:textId="6E035186" w:rsidR="00943F77" w:rsidRDefault="00B046C0" w:rsidP="00A72190">
      <w:pPr>
        <w:rPr>
          <w:rFonts w:ascii="Century Gothic" w:hAnsi="Century Gothic" w:cstheme="minorHAnsi"/>
          <w:b/>
          <w:sz w:val="22"/>
          <w:szCs w:val="22"/>
        </w:rPr>
      </w:pPr>
      <w:r w:rsidRPr="00B046C0">
        <w:rPr>
          <w:rFonts w:ascii="Century Gothic" w:hAnsi="Century Gothic" w:cstheme="minorHAnsi"/>
          <w:b/>
          <w:sz w:val="22"/>
          <w:szCs w:val="22"/>
        </w:rPr>
        <w:t xml:space="preserve">Rozmiestnenie zdravotníckych pracovísk  </w:t>
      </w:r>
    </w:p>
    <w:p w14:paraId="105B8183" w14:textId="77777777" w:rsidR="007E7F12" w:rsidRDefault="007E7F12" w:rsidP="00A72190">
      <w:pPr>
        <w:rPr>
          <w:rFonts w:ascii="Century Gothic" w:hAnsi="Century Gothic" w:cstheme="minorHAnsi"/>
          <w:b/>
          <w:sz w:val="22"/>
          <w:szCs w:val="22"/>
        </w:rPr>
      </w:pPr>
    </w:p>
    <w:p w14:paraId="2C44D4AE"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AMBULANTNÁ ČASŤ</w:t>
      </w:r>
    </w:p>
    <w:p w14:paraId="679FE549" w14:textId="77777777" w:rsidR="00B046C0" w:rsidRPr="00B046C0" w:rsidRDefault="00B046C0" w:rsidP="00B046C0">
      <w:pPr>
        <w:spacing w:line="240" w:lineRule="auto"/>
        <w:rPr>
          <w:rFonts w:ascii="Century Gothic" w:hAnsi="Century Gothic" w:cstheme="minorHAnsi"/>
          <w:bCs/>
          <w:sz w:val="22"/>
          <w:szCs w:val="22"/>
        </w:rPr>
      </w:pPr>
    </w:p>
    <w:p w14:paraId="7C2C05B2"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Ambulancie by mali byť umiestnené na prízemí, prvom a druhom poschodí hlavnej budovy v časti akútnej starostlivosti. Univerzálny pavilón by mal mať svoje vlastné ambulancie na prízemí a na prvom poschodí.</w:t>
      </w:r>
    </w:p>
    <w:p w14:paraId="3FE3783F" w14:textId="77777777" w:rsidR="00B046C0" w:rsidRPr="00B046C0" w:rsidRDefault="00B046C0" w:rsidP="00B046C0">
      <w:pPr>
        <w:spacing w:line="240" w:lineRule="auto"/>
        <w:rPr>
          <w:rFonts w:ascii="Century Gothic" w:hAnsi="Century Gothic" w:cstheme="minorHAnsi"/>
          <w:bCs/>
          <w:sz w:val="22"/>
          <w:szCs w:val="22"/>
        </w:rPr>
      </w:pPr>
    </w:p>
    <w:p w14:paraId="1488E906"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LÔŽKOVÉ ODDELENIA</w:t>
      </w:r>
    </w:p>
    <w:p w14:paraId="7E92A1BA"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Lôžkové oddelenia s väzbou na liečebno-diagnostickú časť musia byť situované do samostatných pavilónov. Vzhľadom na požadovanú programovú skladbu jednotlivých oddelení treba navrhnúť počet traktov s chodbami. Stavebné dispozície jednotlivých oddelení musia byť univerzálne riešené tak, aby ich bolo možné podľa potreby zamieňať alebo meniť odbornosť oddelenia.</w:t>
      </w:r>
    </w:p>
    <w:p w14:paraId="5A534A44" w14:textId="77777777" w:rsidR="00B046C0" w:rsidRPr="00B046C0" w:rsidRDefault="00B046C0" w:rsidP="00B046C0">
      <w:pPr>
        <w:spacing w:line="240" w:lineRule="auto"/>
        <w:rPr>
          <w:rFonts w:ascii="Century Gothic" w:hAnsi="Century Gothic" w:cstheme="minorHAnsi"/>
          <w:bCs/>
          <w:sz w:val="22"/>
          <w:szCs w:val="22"/>
        </w:rPr>
      </w:pPr>
    </w:p>
    <w:p w14:paraId="4854E98B"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Celkový počet lôžok nemocnice je uvažovaný 343, pacienti budú umiestnení v jedno, dvoj a trojlôžkových izbách so sociálnym zariadením.</w:t>
      </w:r>
    </w:p>
    <w:p w14:paraId="7C906756" w14:textId="77777777" w:rsidR="00B046C0" w:rsidRPr="00B046C0" w:rsidRDefault="00B046C0" w:rsidP="00B046C0">
      <w:pPr>
        <w:spacing w:line="240" w:lineRule="auto"/>
        <w:rPr>
          <w:rFonts w:ascii="Century Gothic" w:hAnsi="Century Gothic" w:cstheme="minorHAnsi"/>
          <w:bCs/>
          <w:sz w:val="22"/>
          <w:szCs w:val="22"/>
        </w:rPr>
      </w:pPr>
    </w:p>
    <w:p w14:paraId="4AD95962"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SPOJOVACÍ KRČOK MEDZI VSTUPNOU A LÔŽKOVOU ČASŤOU NEMOCNICE</w:t>
      </w:r>
    </w:p>
    <w:p w14:paraId="2E96924A"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V Centrálnej časti hlavného objektu je účelné využiť pre stravovacie zariadenia, prednáškové sály či odpočinkový priestor a modlitebňu. Na štvrtom poschodí môže byť umiestnená centrálna sterilizácia.</w:t>
      </w:r>
    </w:p>
    <w:p w14:paraId="6176FB52" w14:textId="77777777" w:rsidR="00B046C0" w:rsidRPr="00B046C0" w:rsidRDefault="00B046C0" w:rsidP="00B046C0">
      <w:pPr>
        <w:spacing w:line="240" w:lineRule="auto"/>
        <w:rPr>
          <w:rFonts w:ascii="Century Gothic" w:hAnsi="Century Gothic" w:cstheme="minorHAnsi"/>
          <w:bCs/>
          <w:sz w:val="22"/>
          <w:szCs w:val="22"/>
        </w:rPr>
      </w:pPr>
    </w:p>
    <w:p w14:paraId="2C945BD9"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FUNKČNÁ DIAGNOSTIKA</w:t>
      </w:r>
    </w:p>
    <w:p w14:paraId="1E3E2AD7"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 xml:space="preserve">Požadované oddelenie zobrazovacích metód s RTG a CT, ultrazvukom a </w:t>
      </w:r>
      <w:proofErr w:type="spellStart"/>
      <w:r w:rsidRPr="00B046C0">
        <w:rPr>
          <w:rFonts w:ascii="Century Gothic" w:hAnsi="Century Gothic" w:cstheme="minorHAnsi"/>
          <w:bCs/>
          <w:sz w:val="22"/>
          <w:szCs w:val="22"/>
        </w:rPr>
        <w:t>endoskopiou</w:t>
      </w:r>
      <w:proofErr w:type="spellEnd"/>
      <w:r w:rsidRPr="00B046C0">
        <w:rPr>
          <w:rFonts w:ascii="Century Gothic" w:hAnsi="Century Gothic" w:cstheme="minorHAnsi"/>
          <w:bCs/>
          <w:sz w:val="22"/>
          <w:szCs w:val="22"/>
        </w:rPr>
        <w:t xml:space="preserve"> atď. by malo byť umiestnené na prvom poschodí. Samostatnou súčasťou bude prevádzka magnetickej rezonancie.</w:t>
      </w:r>
    </w:p>
    <w:p w14:paraId="51FE29AF" w14:textId="77777777" w:rsidR="00B046C0" w:rsidRPr="00B046C0" w:rsidRDefault="00B046C0" w:rsidP="00B046C0">
      <w:pPr>
        <w:spacing w:line="240" w:lineRule="auto"/>
        <w:rPr>
          <w:rFonts w:ascii="Century Gothic" w:hAnsi="Century Gothic" w:cstheme="minorHAnsi"/>
          <w:bCs/>
          <w:sz w:val="22"/>
          <w:szCs w:val="22"/>
        </w:rPr>
      </w:pPr>
    </w:p>
    <w:p w14:paraId="1E920587"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OPERAČNÉ SÁLY</w:t>
      </w:r>
    </w:p>
    <w:p w14:paraId="660F3CF7"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 xml:space="preserve">Bloky troch typov operačných sál (septické, aseptické, </w:t>
      </w:r>
      <w:proofErr w:type="spellStart"/>
      <w:r w:rsidRPr="00B046C0">
        <w:rPr>
          <w:rFonts w:ascii="Century Gothic" w:hAnsi="Century Gothic" w:cstheme="minorHAnsi"/>
          <w:bCs/>
          <w:sz w:val="22"/>
          <w:szCs w:val="22"/>
        </w:rPr>
        <w:t>superaseptické</w:t>
      </w:r>
      <w:proofErr w:type="spellEnd"/>
      <w:r w:rsidRPr="00B046C0">
        <w:rPr>
          <w:rFonts w:ascii="Century Gothic" w:hAnsi="Century Gothic" w:cstheme="minorHAnsi"/>
          <w:bCs/>
          <w:sz w:val="22"/>
          <w:szCs w:val="22"/>
        </w:rPr>
        <w:t xml:space="preserve">) jednom z vrchných podlaží. Na rovnakom podlaží sú umiestnené tzv. </w:t>
      </w:r>
      <w:proofErr w:type="spellStart"/>
      <w:r w:rsidRPr="00B046C0">
        <w:rPr>
          <w:rFonts w:ascii="Century Gothic" w:hAnsi="Century Gothic" w:cstheme="minorHAnsi"/>
          <w:bCs/>
          <w:sz w:val="22"/>
          <w:szCs w:val="22"/>
        </w:rPr>
        <w:t>dospávacie</w:t>
      </w:r>
      <w:proofErr w:type="spellEnd"/>
      <w:r w:rsidRPr="00B046C0">
        <w:rPr>
          <w:rFonts w:ascii="Century Gothic" w:hAnsi="Century Gothic" w:cstheme="minorHAnsi"/>
          <w:bCs/>
          <w:sz w:val="22"/>
          <w:szCs w:val="22"/>
        </w:rPr>
        <w:t xml:space="preserve"> lôžka (prebúdzanie pacientov).</w:t>
      </w:r>
    </w:p>
    <w:p w14:paraId="71A2B927" w14:textId="77777777" w:rsidR="00B046C0" w:rsidRPr="00B046C0" w:rsidRDefault="00B046C0" w:rsidP="00B046C0">
      <w:pPr>
        <w:spacing w:line="240" w:lineRule="auto"/>
        <w:rPr>
          <w:rFonts w:ascii="Century Gothic" w:hAnsi="Century Gothic" w:cstheme="minorHAnsi"/>
          <w:bCs/>
          <w:sz w:val="22"/>
          <w:szCs w:val="22"/>
        </w:rPr>
      </w:pPr>
    </w:p>
    <w:p w14:paraId="0AA5FCD1"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CENTRÁLNA STERILIZÁCIA</w:t>
      </w:r>
    </w:p>
    <w:p w14:paraId="6C31855E"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Bude zaisťovať sterilný materiál pre celú nemocnicu a bude umiestnená v časti s dosahom do operačných sál.</w:t>
      </w:r>
    </w:p>
    <w:p w14:paraId="42D64D6D" w14:textId="77777777" w:rsidR="00B046C0" w:rsidRPr="00B046C0" w:rsidRDefault="00B046C0" w:rsidP="00B046C0">
      <w:pPr>
        <w:spacing w:line="240" w:lineRule="auto"/>
        <w:rPr>
          <w:rFonts w:ascii="Century Gothic" w:hAnsi="Century Gothic" w:cstheme="minorHAnsi"/>
          <w:bCs/>
          <w:sz w:val="22"/>
          <w:szCs w:val="22"/>
        </w:rPr>
      </w:pPr>
    </w:p>
    <w:p w14:paraId="32652631"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lastRenderedPageBreak/>
        <w:t>VNÚTORNÁ KOMUNIKÁCIA</w:t>
      </w:r>
    </w:p>
    <w:p w14:paraId="7064F61E"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Vnútorné komunikácie (komunikácia v objektoch a spojovacie chodby) sú rozlíšené tak, aby boli zaistené hygienické požiadavky (najmä možnosť vzniku infekcie), docielená plynulá prevádzka a aby trasy ciest boli čo najkratšie. Šírka hlavných komunikácií má byť dostatočná, aby sa umožnil hladký prejazd a manipulácia s posteľami a prevoznými lôžkami. Veľkosť evakuačných výťahov umožňuje aj transport ležiacich pacientov.</w:t>
      </w:r>
    </w:p>
    <w:p w14:paraId="6C42BDA1" w14:textId="77777777" w:rsidR="00B046C0" w:rsidRPr="00B046C0" w:rsidRDefault="00B046C0" w:rsidP="00B046C0">
      <w:pPr>
        <w:spacing w:line="240" w:lineRule="auto"/>
        <w:rPr>
          <w:rFonts w:ascii="Century Gothic" w:hAnsi="Century Gothic" w:cstheme="minorHAnsi"/>
          <w:bCs/>
          <w:sz w:val="22"/>
          <w:szCs w:val="22"/>
        </w:rPr>
      </w:pPr>
    </w:p>
    <w:p w14:paraId="5771B682"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HELIPORT</w:t>
      </w:r>
    </w:p>
    <w:p w14:paraId="29BB91B6"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 xml:space="preserve">Na streche pavilónu akútnej starostlivosti musí byť umiestnený nadzemný </w:t>
      </w:r>
      <w:proofErr w:type="spellStart"/>
      <w:r w:rsidRPr="00B046C0">
        <w:rPr>
          <w:rFonts w:ascii="Century Gothic" w:hAnsi="Century Gothic" w:cstheme="minorHAnsi"/>
          <w:bCs/>
          <w:sz w:val="22"/>
          <w:szCs w:val="22"/>
        </w:rPr>
        <w:t>heliport</w:t>
      </w:r>
      <w:proofErr w:type="spellEnd"/>
      <w:r w:rsidRPr="00B046C0">
        <w:rPr>
          <w:rFonts w:ascii="Century Gothic" w:hAnsi="Century Gothic" w:cstheme="minorHAnsi"/>
          <w:bCs/>
          <w:sz w:val="22"/>
          <w:szCs w:val="22"/>
        </w:rPr>
        <w:t xml:space="preserve"> HEMS pre lety za viditeľnosti – deň/noc. </w:t>
      </w:r>
      <w:proofErr w:type="spellStart"/>
      <w:r w:rsidRPr="00B046C0">
        <w:rPr>
          <w:rFonts w:ascii="Century Gothic" w:hAnsi="Century Gothic" w:cstheme="minorHAnsi"/>
          <w:bCs/>
          <w:sz w:val="22"/>
          <w:szCs w:val="22"/>
        </w:rPr>
        <w:t>Heliport</w:t>
      </w:r>
      <w:proofErr w:type="spellEnd"/>
      <w:r w:rsidRPr="00B046C0">
        <w:rPr>
          <w:rFonts w:ascii="Century Gothic" w:hAnsi="Century Gothic" w:cstheme="minorHAnsi"/>
          <w:bCs/>
          <w:sz w:val="22"/>
          <w:szCs w:val="22"/>
        </w:rPr>
        <w:t xml:space="preserve"> musí nadväzovať na vertikály vedúce k operačným sálam a </w:t>
      </w:r>
      <w:proofErr w:type="spellStart"/>
      <w:r w:rsidRPr="00B046C0">
        <w:rPr>
          <w:rFonts w:ascii="Century Gothic" w:hAnsi="Century Gothic" w:cstheme="minorHAnsi"/>
          <w:bCs/>
          <w:sz w:val="22"/>
          <w:szCs w:val="22"/>
        </w:rPr>
        <w:t>anesteziologickým</w:t>
      </w:r>
      <w:proofErr w:type="spellEnd"/>
      <w:r w:rsidRPr="00B046C0">
        <w:rPr>
          <w:rFonts w:ascii="Century Gothic" w:hAnsi="Century Gothic" w:cstheme="minorHAnsi"/>
          <w:bCs/>
          <w:sz w:val="22"/>
          <w:szCs w:val="22"/>
        </w:rPr>
        <w:t xml:space="preserve"> oddeleniam.</w:t>
      </w:r>
    </w:p>
    <w:p w14:paraId="1BD1AA0B" w14:textId="77777777" w:rsidR="00B046C0" w:rsidRPr="00B046C0" w:rsidRDefault="00B046C0" w:rsidP="00B046C0">
      <w:pPr>
        <w:spacing w:line="240" w:lineRule="auto"/>
        <w:rPr>
          <w:rFonts w:ascii="Century Gothic" w:hAnsi="Century Gothic" w:cstheme="minorHAnsi"/>
          <w:bCs/>
          <w:sz w:val="22"/>
          <w:szCs w:val="22"/>
        </w:rPr>
      </w:pPr>
    </w:p>
    <w:p w14:paraId="557520F1"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HOSPODÁRSKE ZLOŽKY</w:t>
      </w:r>
    </w:p>
    <w:p w14:paraId="326AA5E6"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S ohľadom na parametre novej nemocnice je zrejmé, že hlavné hospodárske zložky, slúžiace prevádzke a zásobovaniu zdravotníckej časti (stravovanie, zdravotnícky materiál, servis a technická údržba, sklady, administratíva) bude nutné zaistiť v rámci novej výstavby. A to najmä v novej nemocnici alebo úpravou a doplnením existujúcich objektov areálu nemocnice.</w:t>
      </w:r>
    </w:p>
    <w:p w14:paraId="406B2BC4" w14:textId="77777777" w:rsidR="00B046C0" w:rsidRPr="00B046C0" w:rsidRDefault="00B046C0" w:rsidP="00B046C0">
      <w:pPr>
        <w:spacing w:line="240" w:lineRule="auto"/>
        <w:rPr>
          <w:rFonts w:ascii="Century Gothic" w:hAnsi="Century Gothic" w:cstheme="minorHAnsi"/>
          <w:bCs/>
          <w:sz w:val="22"/>
          <w:szCs w:val="22"/>
        </w:rPr>
      </w:pPr>
    </w:p>
    <w:p w14:paraId="6A7AD56B"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TECHNICKÉ ZARIADENIA A ZDROJE ENERGIÍ A MÉDIÍ</w:t>
      </w:r>
    </w:p>
    <w:p w14:paraId="755CD256" w14:textId="77777777" w:rsidR="00B046C0" w:rsidRPr="00B046C0" w:rsidRDefault="00B046C0" w:rsidP="00B046C0">
      <w:pPr>
        <w:spacing w:line="240" w:lineRule="auto"/>
        <w:rPr>
          <w:rFonts w:ascii="Century Gothic" w:hAnsi="Century Gothic" w:cstheme="minorHAnsi"/>
          <w:bCs/>
          <w:sz w:val="22"/>
          <w:szCs w:val="22"/>
        </w:rPr>
      </w:pPr>
      <w:r w:rsidRPr="00B046C0">
        <w:rPr>
          <w:rFonts w:ascii="Century Gothic" w:hAnsi="Century Gothic" w:cstheme="minorHAnsi"/>
          <w:bCs/>
          <w:sz w:val="22"/>
          <w:szCs w:val="22"/>
        </w:rPr>
        <w:t>Technické zariadenie a zdroje energií a médií potrebné na zabezpečenie prevádzky novej nemocnice bude navrhnuté ako súčasť navrhovaných objektov, ev. v rámci novej výstavby v príslušnej zóne areálu nemocnice.</w:t>
      </w:r>
    </w:p>
    <w:p w14:paraId="04FE14B9" w14:textId="77777777" w:rsidR="00B046C0" w:rsidRPr="00B046C0" w:rsidRDefault="00B046C0" w:rsidP="00B046C0">
      <w:pPr>
        <w:spacing w:line="240" w:lineRule="auto"/>
        <w:rPr>
          <w:rFonts w:ascii="Century Gothic" w:hAnsi="Century Gothic" w:cstheme="minorHAnsi"/>
          <w:bCs/>
          <w:sz w:val="22"/>
          <w:szCs w:val="22"/>
        </w:rPr>
      </w:pPr>
    </w:p>
    <w:p w14:paraId="25B03B51" w14:textId="77777777" w:rsidR="00560FB2" w:rsidRPr="00560FB2" w:rsidRDefault="00560FB2" w:rsidP="007F681B">
      <w:pPr>
        <w:pStyle w:val="Nadpis11"/>
        <w:numPr>
          <w:ilvl w:val="1"/>
          <w:numId w:val="46"/>
        </w:numPr>
        <w:tabs>
          <w:tab w:val="clear" w:pos="567"/>
          <w:tab w:val="left" w:pos="1134"/>
          <w:tab w:val="left" w:pos="1276"/>
        </w:tabs>
        <w:spacing w:before="40" w:line="259" w:lineRule="auto"/>
        <w:jc w:val="left"/>
        <w:rPr>
          <w:rFonts w:ascii="Century Gothic" w:hAnsi="Century Gothic" w:cs="Calibri Light"/>
          <w:b w:val="0"/>
          <w:bCs w:val="0"/>
          <w:color w:val="365F91" w:themeColor="accent1" w:themeShade="BF"/>
          <w:sz w:val="22"/>
          <w:szCs w:val="22"/>
          <w:lang w:eastAsia="en-US"/>
        </w:rPr>
      </w:pPr>
      <w:bookmarkStart w:id="142" w:name="_Toc145219968"/>
      <w:r w:rsidRPr="00560FB2">
        <w:rPr>
          <w:rFonts w:ascii="Century Gothic" w:hAnsi="Century Gothic" w:cs="Calibri Light"/>
          <w:b w:val="0"/>
          <w:bCs w:val="0"/>
          <w:color w:val="365F91" w:themeColor="accent1" w:themeShade="BF"/>
          <w:sz w:val="22"/>
          <w:szCs w:val="22"/>
          <w:lang w:eastAsia="en-US"/>
        </w:rPr>
        <w:t>Funkčné parametre nového pavilónu</w:t>
      </w:r>
      <w:bookmarkEnd w:id="142"/>
    </w:p>
    <w:p w14:paraId="54979A7C" w14:textId="77777777" w:rsidR="00560FB2" w:rsidRDefault="00560FB2" w:rsidP="007B7154">
      <w:pPr>
        <w:spacing w:line="240" w:lineRule="auto"/>
        <w:rPr>
          <w:rFonts w:ascii="Century Gothic" w:hAnsi="Century Gothic"/>
          <w:b/>
        </w:rPr>
      </w:pPr>
    </w:p>
    <w:p w14:paraId="1DC0EF49" w14:textId="77777777" w:rsidR="007B7154" w:rsidRPr="009B6A13" w:rsidRDefault="007B7154" w:rsidP="007B7154">
      <w:pPr>
        <w:spacing w:line="240" w:lineRule="auto"/>
        <w:rPr>
          <w:rStyle w:val="markedcontent"/>
          <w:rFonts w:ascii="Century Gothic" w:eastAsiaTheme="majorEastAsia" w:hAnsi="Century Gothic" w:cstheme="minorHAnsi"/>
          <w:b/>
          <w:bCs/>
          <w:sz w:val="22"/>
          <w:szCs w:val="22"/>
        </w:rPr>
      </w:pPr>
      <w:r w:rsidRPr="009B6A13">
        <w:rPr>
          <w:rStyle w:val="markedcontent"/>
          <w:rFonts w:ascii="Century Gothic" w:eastAsiaTheme="majorEastAsia" w:hAnsi="Century Gothic" w:cstheme="minorHAnsi"/>
          <w:sz w:val="22"/>
          <w:szCs w:val="22"/>
        </w:rPr>
        <w:t xml:space="preserve">Tento dokument popisuje funkčné požiadavky na investičný zámer, kde je predmetom taká rekonštrukcia a dostavba </w:t>
      </w:r>
      <w:proofErr w:type="spellStart"/>
      <w:r w:rsidRPr="009B6A13">
        <w:rPr>
          <w:rStyle w:val="markedcontent"/>
          <w:rFonts w:ascii="Century Gothic" w:eastAsiaTheme="majorEastAsia" w:hAnsi="Century Gothic" w:cstheme="minorHAnsi"/>
          <w:sz w:val="22"/>
          <w:szCs w:val="22"/>
        </w:rPr>
        <w:t>FNsP</w:t>
      </w:r>
      <w:proofErr w:type="spellEnd"/>
      <w:r w:rsidRPr="009B6A13">
        <w:rPr>
          <w:rStyle w:val="markedcontent"/>
          <w:rFonts w:ascii="Century Gothic" w:eastAsiaTheme="majorEastAsia" w:hAnsi="Century Gothic" w:cstheme="minorHAnsi"/>
          <w:sz w:val="22"/>
          <w:szCs w:val="22"/>
        </w:rPr>
        <w:t xml:space="preserve"> Žilina, ktorá zmodernizuje poskytovanie akútnej a urgentnej zdravotnej starostlivosti v kontexte existujúceho areálu.</w:t>
      </w:r>
    </w:p>
    <w:p w14:paraId="0DA88768" w14:textId="2ACB21CF" w:rsidR="007B7154" w:rsidRPr="009B6A13" w:rsidRDefault="007B7154" w:rsidP="007B7154">
      <w:pPr>
        <w:spacing w:line="240" w:lineRule="auto"/>
        <w:rPr>
          <w:rStyle w:val="markedcontent"/>
          <w:rFonts w:ascii="Century Gothic" w:eastAsiaTheme="majorEastAsia" w:hAnsi="Century Gothic" w:cstheme="minorHAnsi"/>
          <w:sz w:val="22"/>
          <w:szCs w:val="22"/>
        </w:rPr>
      </w:pPr>
      <w:r w:rsidRPr="009B6A13">
        <w:rPr>
          <w:rStyle w:val="markedcontent"/>
          <w:rFonts w:ascii="Century Gothic" w:eastAsiaTheme="majorEastAsia" w:hAnsi="Century Gothic" w:cstheme="minorHAnsi"/>
          <w:sz w:val="22"/>
          <w:szCs w:val="22"/>
        </w:rPr>
        <w:t xml:space="preserve">Cieľom tohto dokumentu je presne definovať funkčné a logistické požiadavky na výstavbu nového </w:t>
      </w:r>
      <w:r w:rsidR="00BB692D">
        <w:rPr>
          <w:rStyle w:val="markedcontent"/>
          <w:rFonts w:ascii="Century Gothic" w:eastAsiaTheme="majorEastAsia" w:hAnsi="Century Gothic" w:cstheme="minorHAnsi"/>
          <w:sz w:val="22"/>
          <w:szCs w:val="22"/>
        </w:rPr>
        <w:t>P</w:t>
      </w:r>
      <w:r w:rsidRPr="009B6A13">
        <w:rPr>
          <w:rStyle w:val="markedcontent"/>
          <w:rFonts w:ascii="Century Gothic" w:eastAsiaTheme="majorEastAsia" w:hAnsi="Century Gothic" w:cstheme="minorHAnsi"/>
          <w:sz w:val="22"/>
          <w:szCs w:val="22"/>
        </w:rPr>
        <w:t xml:space="preserve">avilónu akútnej a urgentnej zdravotnej starostlivosti </w:t>
      </w:r>
      <w:proofErr w:type="spellStart"/>
      <w:r w:rsidRPr="009B6A13">
        <w:rPr>
          <w:rStyle w:val="markedcontent"/>
          <w:rFonts w:ascii="Century Gothic" w:eastAsiaTheme="majorEastAsia" w:hAnsi="Century Gothic" w:cstheme="minorHAnsi"/>
          <w:sz w:val="22"/>
          <w:szCs w:val="22"/>
        </w:rPr>
        <w:t>FNsP</w:t>
      </w:r>
      <w:proofErr w:type="spellEnd"/>
      <w:r w:rsidRPr="009B6A13">
        <w:rPr>
          <w:rStyle w:val="markedcontent"/>
          <w:rFonts w:ascii="Century Gothic" w:eastAsiaTheme="majorEastAsia" w:hAnsi="Century Gothic" w:cstheme="minorHAnsi"/>
          <w:sz w:val="22"/>
          <w:szCs w:val="22"/>
        </w:rPr>
        <w:t xml:space="preserve"> Žilina pri zohľadnení zamýšľaných budúcich pracovných a prevádzkových procesov, ktoré sa budú realizovať v nemocnici, pri racionálnom využití zachovaných jestvujúcich objektov.</w:t>
      </w:r>
    </w:p>
    <w:p w14:paraId="7926F13C" w14:textId="4B41738F" w:rsidR="00786A20" w:rsidRDefault="00786A20" w:rsidP="007B7154">
      <w:pPr>
        <w:spacing w:line="240" w:lineRule="auto"/>
        <w:rPr>
          <w:rFonts w:ascii="Century Gothic" w:hAnsi="Century Gothic" w:cstheme="minorHAnsi"/>
          <w:sz w:val="22"/>
          <w:szCs w:val="22"/>
        </w:rPr>
      </w:pPr>
    </w:p>
    <w:p w14:paraId="1C6F3EB5" w14:textId="77777777" w:rsidR="006D51F4"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Tento materiál slúži ako základný model medicínskych a nemedicínsky procesov po dobudovaní  nového pavilónu vo dvoch základných rovinách: </w:t>
      </w:r>
    </w:p>
    <w:p w14:paraId="24EEF3A8" w14:textId="77777777" w:rsidR="006D51F4" w:rsidRDefault="007B7154" w:rsidP="007B7154">
      <w:pPr>
        <w:spacing w:line="240" w:lineRule="auto"/>
        <w:rPr>
          <w:rStyle w:val="markedcontent"/>
          <w:rFonts w:ascii="Century Gothic" w:eastAsiaTheme="majorEastAsia" w:hAnsi="Century Gothic" w:cstheme="minorHAnsi"/>
          <w:sz w:val="22"/>
          <w:szCs w:val="22"/>
        </w:rPr>
      </w:pPr>
      <w:r w:rsidRPr="009B6A13">
        <w:rPr>
          <w:rStyle w:val="markedcontent"/>
          <w:rFonts w:ascii="Century Gothic" w:eastAsiaTheme="majorEastAsia" w:hAnsi="Century Gothic" w:cstheme="minorHAnsi"/>
          <w:sz w:val="22"/>
          <w:szCs w:val="22"/>
        </w:rPr>
        <w:t>1.všeobecné princípy – logistické definície a</w:t>
      </w:r>
    </w:p>
    <w:p w14:paraId="155F69FD" w14:textId="7DCEB6C7" w:rsidR="007B7154" w:rsidRPr="009B6A13" w:rsidRDefault="007B7154" w:rsidP="007B7154">
      <w:pPr>
        <w:spacing w:line="240" w:lineRule="auto"/>
        <w:rPr>
          <w:rStyle w:val="markedcontent"/>
          <w:rFonts w:ascii="Century Gothic" w:eastAsiaTheme="majorEastAsia" w:hAnsi="Century Gothic" w:cstheme="minorHAnsi"/>
          <w:sz w:val="22"/>
          <w:szCs w:val="22"/>
        </w:rPr>
      </w:pPr>
      <w:r w:rsidRPr="009B6A13">
        <w:rPr>
          <w:rStyle w:val="markedcontent"/>
          <w:rFonts w:ascii="Century Gothic" w:eastAsiaTheme="majorEastAsia" w:hAnsi="Century Gothic" w:cstheme="minorHAnsi"/>
          <w:sz w:val="22"/>
          <w:szCs w:val="22"/>
        </w:rPr>
        <w:t>2.medicínske funkčné celky – logistické inovácie a nadväznosti.</w:t>
      </w:r>
    </w:p>
    <w:p w14:paraId="0871D426" w14:textId="77777777" w:rsidR="007B7154" w:rsidRPr="009B6A13" w:rsidRDefault="007B7154" w:rsidP="007B7154">
      <w:pPr>
        <w:pStyle w:val="Odsekzoznamu"/>
        <w:spacing w:line="240" w:lineRule="auto"/>
        <w:ind w:left="360"/>
        <w:rPr>
          <w:rFonts w:ascii="Century Gothic" w:hAnsi="Century Gothic" w:cstheme="minorHAnsi"/>
          <w:b/>
          <w:bCs/>
          <w:sz w:val="22"/>
          <w:szCs w:val="22"/>
        </w:rPr>
      </w:pPr>
    </w:p>
    <w:p w14:paraId="11E462FD"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Všeobecné princípy – logické definície</w:t>
      </w:r>
    </w:p>
    <w:p w14:paraId="49829F97" w14:textId="7F355893" w:rsidR="007B7154"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Všeobecné princípy výstavby nového pavilónu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možno definovať ako cieľový stav po dobudovaní nového pavilónu s </w:t>
      </w:r>
      <w:r w:rsidRPr="009B6A13">
        <w:rPr>
          <w:rStyle w:val="markedcontent"/>
          <w:rFonts w:ascii="Century Gothic" w:eastAsiaTheme="majorEastAsia" w:hAnsi="Century Gothic" w:cstheme="minorHAnsi"/>
          <w:sz w:val="22"/>
          <w:szCs w:val="22"/>
        </w:rPr>
        <w:t>racionálnym využitím zachovaných jestvujúcich objektov</w:t>
      </w:r>
      <w:r w:rsidRPr="009B6A13">
        <w:rPr>
          <w:rFonts w:ascii="Century Gothic" w:hAnsi="Century Gothic" w:cstheme="minorHAnsi"/>
          <w:sz w:val="22"/>
          <w:szCs w:val="22"/>
        </w:rPr>
        <w:t xml:space="preserve"> z pohľadu starostlivosti o pacienta.  Dosiahnutý stav po ukončení projektu bude reflektovať momentálne potreby regiónu ako aj očakávané potreby v rozsahu 10-20 rokov. Výsledkom by teda mala byť všeobecná </w:t>
      </w:r>
      <w:r w:rsidRPr="009B6A13">
        <w:rPr>
          <w:rFonts w:ascii="Century Gothic" w:hAnsi="Century Gothic" w:cstheme="minorHAnsi"/>
          <w:b/>
          <w:bCs/>
          <w:sz w:val="22"/>
          <w:szCs w:val="22"/>
        </w:rPr>
        <w:t xml:space="preserve">nemocnica urgentného typu s komplexným </w:t>
      </w:r>
      <w:proofErr w:type="spellStart"/>
      <w:r w:rsidRPr="009B6A13">
        <w:rPr>
          <w:rFonts w:ascii="Century Gothic" w:hAnsi="Century Gothic" w:cstheme="minorHAnsi"/>
          <w:b/>
          <w:bCs/>
          <w:sz w:val="22"/>
          <w:szCs w:val="22"/>
        </w:rPr>
        <w:t>traumacentrom</w:t>
      </w:r>
      <w:proofErr w:type="spellEnd"/>
      <w:r w:rsidRPr="009B6A13">
        <w:rPr>
          <w:rFonts w:ascii="Century Gothic" w:hAnsi="Century Gothic" w:cstheme="minorHAnsi"/>
          <w:b/>
          <w:bCs/>
          <w:sz w:val="22"/>
          <w:szCs w:val="22"/>
        </w:rPr>
        <w:t xml:space="preserve"> a možnosťami výuky lekárov a sestier.</w:t>
      </w:r>
      <w:r w:rsidRPr="009B6A13">
        <w:rPr>
          <w:rFonts w:ascii="Century Gothic" w:hAnsi="Century Gothic" w:cstheme="minorHAnsi"/>
          <w:sz w:val="22"/>
          <w:szCs w:val="22"/>
        </w:rPr>
        <w:t xml:space="preserve"> Vzhľadom na veľkosť areálu a stav jestvujúcich budov je možné počítať aj s niektorými chronickými, či zdravotne – sociálnymi službami, ktoré dokreslia </w:t>
      </w:r>
      <w:r w:rsidR="009C6C0F" w:rsidRPr="009B6A13">
        <w:rPr>
          <w:rFonts w:ascii="Century Gothic" w:hAnsi="Century Gothic" w:cstheme="minorHAnsi"/>
          <w:sz w:val="22"/>
          <w:szCs w:val="22"/>
        </w:rPr>
        <w:lastRenderedPageBreak/>
        <w:t>komplexnosť</w:t>
      </w:r>
      <w:r w:rsidRPr="009B6A13">
        <w:rPr>
          <w:rFonts w:ascii="Century Gothic" w:hAnsi="Century Gothic" w:cstheme="minorHAnsi"/>
          <w:sz w:val="22"/>
          <w:szCs w:val="22"/>
        </w:rPr>
        <w:t xml:space="preserve">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ako </w:t>
      </w:r>
      <w:r w:rsidRPr="009B6A13">
        <w:rPr>
          <w:rFonts w:ascii="Century Gothic" w:hAnsi="Century Gothic" w:cstheme="minorHAnsi"/>
          <w:b/>
          <w:bCs/>
          <w:sz w:val="22"/>
          <w:szCs w:val="22"/>
        </w:rPr>
        <w:t>koncovej nemocnice pre Žilinský samosprávny kraj</w:t>
      </w:r>
      <w:r w:rsidRPr="009B6A13">
        <w:rPr>
          <w:rFonts w:ascii="Century Gothic" w:hAnsi="Century Gothic" w:cstheme="minorHAnsi"/>
          <w:sz w:val="22"/>
          <w:szCs w:val="22"/>
        </w:rPr>
        <w:t xml:space="preserve">, resp. pre spádovú oblasť </w:t>
      </w:r>
      <w:proofErr w:type="spellStart"/>
      <w:r w:rsidRPr="009B6A13">
        <w:rPr>
          <w:rFonts w:ascii="Century Gothic" w:hAnsi="Century Gothic" w:cstheme="minorHAnsi"/>
          <w:sz w:val="22"/>
          <w:szCs w:val="22"/>
        </w:rPr>
        <w:t>clustra</w:t>
      </w:r>
      <w:proofErr w:type="spellEnd"/>
      <w:r w:rsidRPr="009B6A13">
        <w:rPr>
          <w:rFonts w:ascii="Century Gothic" w:hAnsi="Century Gothic" w:cstheme="minorHAnsi"/>
          <w:sz w:val="22"/>
          <w:szCs w:val="22"/>
        </w:rPr>
        <w:t xml:space="preserve"> POVAŽIE+KYSUCE, teda cca</w:t>
      </w:r>
      <w:r w:rsidR="00967F5B">
        <w:rPr>
          <w:rFonts w:ascii="Century Gothic" w:hAnsi="Century Gothic" w:cstheme="minorHAnsi"/>
          <w:sz w:val="22"/>
          <w:szCs w:val="22"/>
        </w:rPr>
        <w:t>.</w:t>
      </w:r>
      <w:r w:rsidRPr="009B6A13">
        <w:rPr>
          <w:rFonts w:ascii="Century Gothic" w:hAnsi="Century Gothic" w:cstheme="minorHAnsi"/>
          <w:sz w:val="22"/>
          <w:szCs w:val="22"/>
        </w:rPr>
        <w:t xml:space="preserve"> 312 tis. obyvateľov.</w:t>
      </w:r>
    </w:p>
    <w:p w14:paraId="3C940467" w14:textId="77777777" w:rsidR="006D51F4" w:rsidRPr="009B6A13" w:rsidRDefault="006D51F4" w:rsidP="007B7154">
      <w:pPr>
        <w:spacing w:line="240" w:lineRule="auto"/>
        <w:rPr>
          <w:rFonts w:ascii="Century Gothic" w:hAnsi="Century Gothic" w:cstheme="minorHAnsi"/>
          <w:b/>
          <w:bCs/>
          <w:sz w:val="22"/>
          <w:szCs w:val="22"/>
        </w:rPr>
      </w:pPr>
    </w:p>
    <w:p w14:paraId="0263A67E" w14:textId="43F204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Z</w:t>
      </w:r>
      <w:r w:rsidR="000379DB">
        <w:rPr>
          <w:rFonts w:ascii="Century Gothic" w:hAnsi="Century Gothic" w:cstheme="minorHAnsi"/>
          <w:sz w:val="22"/>
          <w:szCs w:val="22"/>
        </w:rPr>
        <w:t>a</w:t>
      </w:r>
      <w:r w:rsidRPr="009B6A13">
        <w:rPr>
          <w:rFonts w:ascii="Century Gothic" w:hAnsi="Century Gothic" w:cstheme="minorHAnsi"/>
          <w:sz w:val="22"/>
          <w:szCs w:val="22"/>
        </w:rPr>
        <w:t> najdôležitejšie považujeme nasledovné identifikovateľné oblasti:</w:t>
      </w:r>
    </w:p>
    <w:p w14:paraId="43F6D0D1" w14:textId="77777777" w:rsidR="007B7154" w:rsidRPr="009B6A13" w:rsidRDefault="007B7154" w:rsidP="007B7154">
      <w:pPr>
        <w:spacing w:line="240" w:lineRule="auto"/>
        <w:ind w:left="360"/>
        <w:rPr>
          <w:rFonts w:ascii="Century Gothic" w:hAnsi="Century Gothic" w:cstheme="minorHAnsi"/>
          <w:b/>
          <w:bCs/>
          <w:sz w:val="22"/>
          <w:szCs w:val="22"/>
        </w:rPr>
      </w:pPr>
    </w:p>
    <w:p w14:paraId="6EB5BFBC"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Zdravotná starostlivosť zameraná v princípe lekár prichádza za pacientom</w:t>
      </w:r>
    </w:p>
    <w:p w14:paraId="4D899006"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 rekonštruovanej dobudovanej nemocnici Žilina je centrom záujmu pacient, jeho zdravie, jeho bezpečnosť a pohodlie. Súčasťou zdravotnej starostlivosti orientovanej na pacientov je preto tiež efektivita, to všetko vedúce k jeho skorému uzdraveniu a </w:t>
      </w:r>
      <w:proofErr w:type="spellStart"/>
      <w:r w:rsidRPr="009B6A13">
        <w:rPr>
          <w:rFonts w:ascii="Century Gothic" w:hAnsi="Century Gothic" w:cstheme="minorHAnsi"/>
          <w:sz w:val="22"/>
          <w:szCs w:val="22"/>
        </w:rPr>
        <w:t>demitácií</w:t>
      </w:r>
      <w:proofErr w:type="spellEnd"/>
      <w:r w:rsidRPr="009B6A13">
        <w:rPr>
          <w:rFonts w:ascii="Century Gothic" w:hAnsi="Century Gothic" w:cstheme="minorHAnsi"/>
          <w:sz w:val="22"/>
          <w:szCs w:val="22"/>
        </w:rPr>
        <w:t xml:space="preserve">. V dobudovanej nemocnici bude kladený dôraz na čo najmenšiu potrebu pohybu hospitalizovaného pacienta po priestore. Zdravotnícky personál aj s potrebným vybavením prichádza za pacientom, nie naopak, resp. každý transport pacienta na diagnostiku a liečbu má vopred premyslenú schému. Celý komplex výstavby je navrhnutý účelne, efektívne a hospodárne s cieľom minimalizácie času stráveného neúčelne pri transporte. </w:t>
      </w:r>
    </w:p>
    <w:p w14:paraId="3167126B" w14:textId="77777777" w:rsidR="007B7154" w:rsidRPr="009B6A13" w:rsidRDefault="007B7154" w:rsidP="007B7154">
      <w:pPr>
        <w:spacing w:line="240" w:lineRule="auto"/>
        <w:rPr>
          <w:rFonts w:ascii="Century Gothic" w:hAnsi="Century Gothic" w:cstheme="minorHAnsi"/>
          <w:b/>
          <w:bCs/>
          <w:sz w:val="22"/>
          <w:szCs w:val="22"/>
        </w:rPr>
      </w:pPr>
      <w:r w:rsidRPr="009B6A13">
        <w:rPr>
          <w:rFonts w:ascii="Century Gothic" w:hAnsi="Century Gothic" w:cstheme="minorHAnsi"/>
          <w:sz w:val="22"/>
          <w:szCs w:val="22"/>
        </w:rPr>
        <w:t xml:space="preserve"> </w:t>
      </w:r>
    </w:p>
    <w:p w14:paraId="5A3A5D59"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Logistika nemocnice so zohľadnením objemových konceptov (dôraz na akútnu zdravotnú starostlivosť, odčlenenie následnej a chronickej starostlivosti)</w:t>
      </w:r>
    </w:p>
    <w:p w14:paraId="0C1C0E4E"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 novom dobudovanom pavilóne sa bude takmer výlučne poskytovať urgentná a akútna zdravotná starostlivosť. Všetky </w:t>
      </w:r>
      <w:proofErr w:type="spellStart"/>
      <w:r w:rsidRPr="009B6A13">
        <w:rPr>
          <w:rFonts w:ascii="Century Gothic" w:hAnsi="Century Gothic" w:cstheme="minorHAnsi"/>
          <w:sz w:val="22"/>
          <w:szCs w:val="22"/>
        </w:rPr>
        <w:t>subjednotky</w:t>
      </w:r>
      <w:proofErr w:type="spellEnd"/>
      <w:r w:rsidRPr="009B6A13">
        <w:rPr>
          <w:rFonts w:ascii="Century Gothic" w:hAnsi="Century Gothic" w:cstheme="minorHAnsi"/>
          <w:sz w:val="22"/>
          <w:szCs w:val="22"/>
        </w:rPr>
        <w:t xml:space="preserve">, ktoré sa tu budú nachádzať, budú preto logisticky podriadené najmä medicínskym princípom, ktoré budú prihliadať na urgentnosť jednotlivých procesov pre bezpečnosť pacienta (priame ohrozenie života-ohrozenie z následkov omeškania-ohrozenie zdravia). Následná a chronická starostlivosť budú naďalej vykonávané a rozvíjané v ostatnej časti nemocnice – jej jestvujúcich pavilónoch. </w:t>
      </w:r>
    </w:p>
    <w:p w14:paraId="2B5D7A30" w14:textId="77777777" w:rsidR="007B7154" w:rsidRPr="009B6A13" w:rsidRDefault="007B7154" w:rsidP="007B7154">
      <w:pPr>
        <w:spacing w:line="240" w:lineRule="auto"/>
        <w:rPr>
          <w:rFonts w:ascii="Century Gothic" w:hAnsi="Century Gothic" w:cstheme="minorHAnsi"/>
          <w:b/>
          <w:bCs/>
          <w:sz w:val="22"/>
          <w:szCs w:val="22"/>
        </w:rPr>
      </w:pPr>
    </w:p>
    <w:p w14:paraId="3C255197" w14:textId="23FCF646" w:rsidR="007B7154" w:rsidRDefault="006D51F4" w:rsidP="007E7F12">
      <w:pPr>
        <w:spacing w:line="240" w:lineRule="auto"/>
        <w:rPr>
          <w:rFonts w:ascii="Century Gothic" w:hAnsi="Century Gothic" w:cstheme="minorHAnsi"/>
          <w:b/>
          <w:bCs/>
          <w:sz w:val="22"/>
          <w:szCs w:val="22"/>
        </w:rPr>
      </w:pPr>
      <w:r>
        <w:rPr>
          <w:rFonts w:ascii="Century Gothic" w:hAnsi="Century Gothic" w:cstheme="minorHAnsi"/>
          <w:b/>
          <w:bCs/>
          <w:sz w:val="22"/>
          <w:szCs w:val="22"/>
        </w:rPr>
        <w:t>Optimalizácia logistických rokov - k</w:t>
      </w:r>
      <w:r w:rsidR="007B7154" w:rsidRPr="007E7F12">
        <w:rPr>
          <w:rFonts w:ascii="Century Gothic" w:hAnsi="Century Gothic" w:cstheme="minorHAnsi"/>
          <w:b/>
          <w:bCs/>
          <w:sz w:val="22"/>
          <w:szCs w:val="22"/>
        </w:rPr>
        <w:t>rátke vzdialenosti so zvýšenou produktivitou v logistike poskytovania zdravotnej starostlivosti</w:t>
      </w:r>
    </w:p>
    <w:p w14:paraId="34671222" w14:textId="5CEF53A5" w:rsidR="006D51F4" w:rsidRPr="00A96674" w:rsidRDefault="006D51F4" w:rsidP="006D51F4">
      <w:pPr>
        <w:shd w:val="clear" w:color="auto" w:fill="FFFFFF"/>
        <w:tabs>
          <w:tab w:val="left" w:pos="720"/>
        </w:tabs>
        <w:spacing w:line="240" w:lineRule="auto"/>
        <w:rPr>
          <w:rFonts w:ascii="Century Gothic" w:hAnsi="Century Gothic"/>
          <w:sz w:val="22"/>
          <w:szCs w:val="22"/>
        </w:rPr>
      </w:pPr>
      <w:r>
        <w:rPr>
          <w:rFonts w:ascii="Century Gothic" w:hAnsi="Century Gothic"/>
          <w:color w:val="000000"/>
          <w:sz w:val="22"/>
          <w:szCs w:val="22"/>
        </w:rPr>
        <w:t>P</w:t>
      </w:r>
      <w:r w:rsidRPr="00A96674">
        <w:rPr>
          <w:rFonts w:ascii="Century Gothic" w:hAnsi="Century Gothic"/>
          <w:color w:val="000000"/>
          <w:sz w:val="22"/>
          <w:szCs w:val="22"/>
        </w:rPr>
        <w:t xml:space="preserve">riestorové riešenie budovy </w:t>
      </w:r>
      <w:r>
        <w:rPr>
          <w:rFonts w:ascii="Century Gothic" w:hAnsi="Century Gothic"/>
          <w:color w:val="000000"/>
          <w:sz w:val="22"/>
          <w:szCs w:val="22"/>
        </w:rPr>
        <w:t xml:space="preserve">bude </w:t>
      </w:r>
      <w:r w:rsidRPr="00A96674">
        <w:rPr>
          <w:rFonts w:ascii="Century Gothic" w:hAnsi="Century Gothic"/>
          <w:color w:val="000000"/>
          <w:sz w:val="22"/>
          <w:szCs w:val="22"/>
        </w:rPr>
        <w:t>prispôsobené požiadavkám na maximálnu efektívnosť prevádzkových procesov.</w:t>
      </w:r>
      <w:r>
        <w:rPr>
          <w:rFonts w:ascii="Century Gothic" w:hAnsi="Century Gothic"/>
          <w:color w:val="000000"/>
          <w:sz w:val="22"/>
          <w:szCs w:val="22"/>
        </w:rPr>
        <w:t xml:space="preserve"> </w:t>
      </w:r>
    </w:p>
    <w:p w14:paraId="794A6EE2" w14:textId="370F8E8D"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 xml:space="preserve">Dôležitým faktorom logistiky nemocnice je správne smerovanie pacienta tak, aby bolo efektívne, priateľské, pohodlné a jednoduché. Budú prísne oddelení ambulantní pacienti, smerujúci na príjem od hospitalizovaných. Každá táto kategória má v nemocnici samostatnú trasu tak, aby nedochádzalo ku kríženiu klientov na lôžku a pacientov v ambulanciách. Ich vzájomné oddelenie bude realizované na niekoľkých úrovniach. Akútni pacienti budú do nemocnice transportovaní samostatnou komunikáciou, k vstupu do urgentného príjmu, kde vo vertikálnej osi je prepojená cesta so strešným </w:t>
      </w:r>
      <w:proofErr w:type="spellStart"/>
      <w:r w:rsidRPr="00A96674">
        <w:rPr>
          <w:rFonts w:ascii="Century Gothic" w:hAnsi="Century Gothic"/>
          <w:sz w:val="22"/>
          <w:szCs w:val="22"/>
        </w:rPr>
        <w:t>heliportom</w:t>
      </w:r>
      <w:proofErr w:type="spellEnd"/>
      <w:r w:rsidRPr="00A96674">
        <w:rPr>
          <w:rFonts w:ascii="Century Gothic" w:hAnsi="Century Gothic"/>
          <w:sz w:val="22"/>
          <w:szCs w:val="22"/>
        </w:rPr>
        <w:t>. Pacientske trasy budú oddelené farebne. Nemenej dôležitá je trasa zamestnancov, ktorých presuny za pacientom budú priame, jednoduché a účelné. Návštevníci nemocnice neprídu do styku s pacientmi, ak to sami nebudú chcieť.</w:t>
      </w:r>
      <w:r>
        <w:rPr>
          <w:rFonts w:ascii="Century Gothic" w:hAnsi="Century Gothic"/>
          <w:sz w:val="22"/>
          <w:szCs w:val="22"/>
        </w:rPr>
        <w:t xml:space="preserve"> </w:t>
      </w:r>
      <w:r w:rsidRPr="00A96674">
        <w:rPr>
          <w:rFonts w:ascii="Century Gothic" w:hAnsi="Century Gothic"/>
          <w:sz w:val="22"/>
          <w:szCs w:val="22"/>
        </w:rPr>
        <w:t>Urgentný príjem, služobné vstupy pre zamestnancov či vjazd do logistického centra oddelené od hlavného vchodu do budovy.</w:t>
      </w:r>
      <w:r>
        <w:rPr>
          <w:rFonts w:ascii="Century Gothic" w:hAnsi="Century Gothic"/>
          <w:sz w:val="22"/>
          <w:szCs w:val="22"/>
        </w:rPr>
        <w:t xml:space="preserve"> Bude pripravený š</w:t>
      </w:r>
      <w:r w:rsidRPr="00A96674">
        <w:rPr>
          <w:rFonts w:ascii="Century Gothic" w:hAnsi="Century Gothic"/>
          <w:sz w:val="22"/>
          <w:szCs w:val="22"/>
        </w:rPr>
        <w:t>peciálny kontajnerový systém na prepravu biologického materiálu, stravy, bielizne a pod. podľa najprísnejších hygienických štandardov.</w:t>
      </w:r>
      <w:r w:rsidR="005C15FC">
        <w:rPr>
          <w:rFonts w:ascii="Century Gothic" w:hAnsi="Century Gothic"/>
          <w:sz w:val="22"/>
          <w:szCs w:val="22"/>
        </w:rPr>
        <w:t xml:space="preserve"> </w:t>
      </w:r>
      <w:r w:rsidRPr="00A96674">
        <w:rPr>
          <w:rFonts w:ascii="Century Gothic" w:hAnsi="Century Gothic"/>
          <w:sz w:val="22"/>
          <w:szCs w:val="22"/>
        </w:rPr>
        <w:t>Vnútorná logistika bude doplnená o pneumatický dopravný systém, ktorý eliminuje neúčelné zaťaženie vertikálnych trás pavilónu.</w:t>
      </w:r>
    </w:p>
    <w:p w14:paraId="13BFC054" w14:textId="38141062" w:rsidR="006D51F4" w:rsidRPr="007E7F12" w:rsidRDefault="006D51F4" w:rsidP="007E7F12">
      <w:pPr>
        <w:spacing w:line="240" w:lineRule="auto"/>
        <w:rPr>
          <w:rFonts w:ascii="Century Gothic" w:hAnsi="Century Gothic" w:cstheme="minorHAnsi"/>
          <w:b/>
          <w:bCs/>
          <w:sz w:val="22"/>
          <w:szCs w:val="22"/>
        </w:rPr>
      </w:pPr>
    </w:p>
    <w:p w14:paraId="7EB7D2A3" w14:textId="5BADCEDE"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Vďaka sústredeniu zdravotnej starostlivosti na jednom mieste a presunu tzv. suchou nohou po celom priestore nemocnice dochádza k zvýšenej produktivite </w:t>
      </w:r>
      <w:r w:rsidRPr="009B6A13">
        <w:rPr>
          <w:rFonts w:ascii="Century Gothic" w:hAnsi="Century Gothic" w:cstheme="minorHAnsi"/>
          <w:sz w:val="22"/>
          <w:szCs w:val="22"/>
        </w:rPr>
        <w:br/>
        <w:t xml:space="preserve">v logistike poskytovania zdravotnej starostlivosti. Krátke vzdialenosti znamenajú okrem iného aj flexibilnejšie využitie pracovnej sily personálu nemocnice tam, kde je to </w:t>
      </w:r>
      <w:r w:rsidRPr="009B6A13">
        <w:rPr>
          <w:rFonts w:ascii="Century Gothic" w:hAnsi="Century Gothic" w:cstheme="minorHAnsi"/>
          <w:sz w:val="22"/>
          <w:szCs w:val="22"/>
        </w:rPr>
        <w:lastRenderedPageBreak/>
        <w:t>najviac potrebné (u pacienta). Ťažiť z toho môžu najmä lôžkové oddelenia, ale aj priestory, ktoré môžu meniť flexibilne svoj účel bez akýchkoľvek stavebných úprav. Potrebou bude jednotná štruktúra oddelení aj budovy samotnej s unifikovaným usporiadaním. Logistika nemocnice zameraná na zohľadnenie objemových konceptov (tzv. tichšia zóna)</w:t>
      </w:r>
      <w:r w:rsidR="006D51F4">
        <w:rPr>
          <w:rFonts w:ascii="Century Gothic" w:hAnsi="Century Gothic" w:cstheme="minorHAnsi"/>
          <w:sz w:val="22"/>
          <w:szCs w:val="22"/>
        </w:rPr>
        <w:t>.</w:t>
      </w:r>
      <w:r w:rsidRPr="009B6A13">
        <w:rPr>
          <w:rFonts w:ascii="Century Gothic" w:hAnsi="Century Gothic" w:cstheme="minorHAnsi"/>
          <w:sz w:val="22"/>
          <w:szCs w:val="22"/>
        </w:rPr>
        <w:t xml:space="preserve"> Základná schéma rozvrhnutia prevádzok nemocnice vychádza z potrebných a logických nadväzností medzi jednotlivými prevádzkami a z logiky a frekvencie pohybu pacientov. Rozmiestnenie jednotlivých pracovísk rešpektuje princíp vertikálnej a horizontálnej osi nemocnice v závislosti od intenzity prevádzky od najrušnejších po naj kľudnejšie prevádzky pri zachovaní čo najlepšej  a najkratšej trasy.</w:t>
      </w:r>
    </w:p>
    <w:p w14:paraId="6D18ADAD" w14:textId="77777777" w:rsidR="007B7154" w:rsidRPr="009B6A13" w:rsidRDefault="007B7154" w:rsidP="007B7154">
      <w:pPr>
        <w:spacing w:line="240" w:lineRule="auto"/>
        <w:rPr>
          <w:rFonts w:ascii="Century Gothic" w:hAnsi="Century Gothic" w:cstheme="minorHAnsi"/>
          <w:b/>
          <w:bCs/>
          <w:sz w:val="22"/>
          <w:szCs w:val="22"/>
        </w:rPr>
      </w:pPr>
    </w:p>
    <w:p w14:paraId="66CBA66E"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Oddelené trasy ambulantných pacientov od hospitalizovaných pacientov</w:t>
      </w:r>
    </w:p>
    <w:p w14:paraId="2DBCA90C"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 dobudovanej nemocnici budú prísne oddelení ambulantní pacienti, smerujúci na príjem od hospitalizovaných. Každá táto kategória má v nemocnici samostatnú trasu tak, aby nedochádzalo ku kríženiu klientov na lôžku a pacientov v ambulanciách. Ich vzájomné oddelenie bude realizované na niekoľkých úrovniach. Všetky odborné a následné ambulantné zložky budú lokalizované v priestoroch terajšej polikliniky so samostatnými vstupnými koridormi, ktoré budú plynule napojené na samostatné SVALZ pracoviská. Akútni pacienti budú do nemocnice transportovaní samostatne cestou urgentného príjmu, kde vo vertikálnej osi je prepojená cesta so strešným </w:t>
      </w:r>
      <w:proofErr w:type="spellStart"/>
      <w:r w:rsidRPr="009B6A13">
        <w:rPr>
          <w:rFonts w:ascii="Century Gothic" w:hAnsi="Century Gothic" w:cstheme="minorHAnsi"/>
          <w:sz w:val="22"/>
          <w:szCs w:val="22"/>
        </w:rPr>
        <w:t>heliportom</w:t>
      </w:r>
      <w:proofErr w:type="spellEnd"/>
      <w:r w:rsidRPr="009B6A13">
        <w:rPr>
          <w:rFonts w:ascii="Century Gothic" w:hAnsi="Century Gothic" w:cstheme="minorHAnsi"/>
          <w:sz w:val="22"/>
          <w:szCs w:val="22"/>
        </w:rPr>
        <w:t xml:space="preserve">. </w:t>
      </w:r>
      <w:proofErr w:type="spellStart"/>
      <w:r w:rsidRPr="009B6A13">
        <w:rPr>
          <w:rFonts w:ascii="Century Gothic" w:hAnsi="Century Gothic" w:cstheme="minorHAnsi"/>
          <w:sz w:val="22"/>
          <w:szCs w:val="22"/>
        </w:rPr>
        <w:t>Pacientské</w:t>
      </w:r>
      <w:proofErr w:type="spellEnd"/>
      <w:r w:rsidRPr="009B6A13">
        <w:rPr>
          <w:rFonts w:ascii="Century Gothic" w:hAnsi="Century Gothic" w:cstheme="minorHAnsi"/>
          <w:sz w:val="22"/>
          <w:szCs w:val="22"/>
        </w:rPr>
        <w:t xml:space="preserve"> trasy budú oddelené farebne. Samostatné budú trasy návštevníkov hospitalizovaných pacientov, zamestnancov pri príjazde a príchode do práce ako aj tras materiálu a tovaru.</w:t>
      </w:r>
    </w:p>
    <w:p w14:paraId="39ADF818" w14:textId="77777777" w:rsidR="007B7154" w:rsidRPr="009B6A13" w:rsidRDefault="007B7154" w:rsidP="007B7154">
      <w:pPr>
        <w:spacing w:line="240" w:lineRule="auto"/>
        <w:rPr>
          <w:rFonts w:ascii="Century Gothic" w:hAnsi="Century Gothic" w:cstheme="minorHAnsi"/>
          <w:b/>
          <w:bCs/>
          <w:sz w:val="22"/>
          <w:szCs w:val="22"/>
        </w:rPr>
      </w:pPr>
    </w:p>
    <w:p w14:paraId="6213762D"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Pro-rodinne individualizovaná starostlivosť o novorodeneckého pacienta</w:t>
      </w:r>
    </w:p>
    <w:p w14:paraId="74460297" w14:textId="77777777" w:rsidR="00761134" w:rsidRPr="00A96674" w:rsidRDefault="007B7154" w:rsidP="00761134">
      <w:pPr>
        <w:spacing w:line="240" w:lineRule="auto"/>
        <w:rPr>
          <w:rFonts w:ascii="Century Gothic" w:hAnsi="Century Gothic"/>
          <w:sz w:val="22"/>
          <w:szCs w:val="22"/>
        </w:rPr>
      </w:pPr>
      <w:r w:rsidRPr="009B6A13">
        <w:rPr>
          <w:rFonts w:ascii="Century Gothic" w:hAnsi="Century Gothic" w:cstheme="minorHAnsi"/>
          <w:sz w:val="22"/>
          <w:szCs w:val="22"/>
        </w:rPr>
        <w:t xml:space="preserve">V dobudovanej nemocnici Žilina je prioritou pro-rodinne individualizovaná starostlivosť o novorodenca a matku. </w:t>
      </w:r>
      <w:r w:rsidR="00761134" w:rsidRPr="00A96674">
        <w:rPr>
          <w:rFonts w:ascii="Century Gothic" w:hAnsi="Century Gothic"/>
          <w:sz w:val="22"/>
          <w:szCs w:val="22"/>
        </w:rPr>
        <w:t>Súčasťou nového pavilónu bude priestorovo rozšírené gynekologicko-pôrodnícke oddelenie a novorodenecké oddelenie, ktoré budú tvoriť jeden funkčný celok. Pôrodné izby v hotelovom štandarde umožňujúcimi prítomnosť blízkej osoby počas celej doby pôrodu. Vybudovaný moderný trakt ponúkne matke a dieťaťu taktiež komfort v podobe pobytu na izbe rodinného hotelového typu, kde môže zostať po celý čas hospitalizácie, a to aj s rodinnými príslušníkmi. Zdravotnícky personál tak bude prichádzať za matkou aj novorodencom. Zároveň je veľmi dôležité vybudovať sociálne zázemie pre otcov a ev. iných rodinných príslušníkov, ktorí z rôznych dôvodov nechcú alebo nemôžu byť  prítomní pri pôrode.</w:t>
      </w:r>
    </w:p>
    <w:p w14:paraId="455867E4" w14:textId="77777777" w:rsidR="007B7154" w:rsidRPr="009B6A13" w:rsidRDefault="007B7154" w:rsidP="007B7154">
      <w:pPr>
        <w:spacing w:line="240" w:lineRule="auto"/>
        <w:rPr>
          <w:rFonts w:ascii="Century Gothic" w:hAnsi="Century Gothic" w:cstheme="minorHAnsi"/>
          <w:b/>
          <w:bCs/>
          <w:sz w:val="22"/>
          <w:szCs w:val="22"/>
        </w:rPr>
      </w:pPr>
    </w:p>
    <w:p w14:paraId="6B96713D"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Hotelový komfort pre pacienta a príbuzných</w:t>
      </w:r>
    </w:p>
    <w:p w14:paraId="05832215"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Členenie nového pavilónu a jednotlivých ošetrovacích jednotiek bude usporiadané podľa intenzity pohybu pacientov.  Každá izba na lôžkovom oddelení nového pavilónu bude primárne určená pre jedného pacienta, technicky ich však bude v prípade doplniť potreby o druhé lôžko (príbuzný), a to bez akýchkoľvek konštrukčných zmien. Súčasťou každej izby je sociálne zariadenie v bezbariérovom režime.</w:t>
      </w:r>
    </w:p>
    <w:p w14:paraId="12BF28EB" w14:textId="77777777" w:rsidR="007B7154" w:rsidRPr="009B6A13" w:rsidRDefault="007B7154" w:rsidP="007B7154">
      <w:pPr>
        <w:spacing w:line="240" w:lineRule="auto"/>
        <w:rPr>
          <w:rFonts w:ascii="Century Gothic" w:hAnsi="Century Gothic" w:cstheme="minorHAnsi"/>
          <w:b/>
          <w:bCs/>
          <w:sz w:val="22"/>
          <w:szCs w:val="22"/>
        </w:rPr>
      </w:pPr>
    </w:p>
    <w:p w14:paraId="4A917612"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Centralizované logistické centrum</w:t>
      </w:r>
    </w:p>
    <w:p w14:paraId="496B5AF1"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Logistické toky sú v nemocnici dôležitým predpokladom pre zabezpečenie hladkého fungovania zdravotníckych procesov a samotnej organizácie. Logistika vyplýva najmä z jednotlivých oddelených trás pre pacientov, zamestnancov, návštevníkov a tovaru. Dôležitým faktorom logistiky nemocnice je správne smerovanie pacienta tak, aby bolo efektívne, priateľské, pohodlné a jednoduché. Nemenej dôležitá je trasa zamestnancov, ktorých presuny za pacientom budú priame, jednoduché a účelné. Návštevníci nemocnice neprídu do styku s pacientmi, ak to sami nebudú chcieť - </w:t>
      </w:r>
      <w:r w:rsidRPr="009B6A13">
        <w:rPr>
          <w:rFonts w:ascii="Century Gothic" w:hAnsi="Century Gothic" w:cstheme="minorHAnsi"/>
          <w:sz w:val="22"/>
          <w:szCs w:val="22"/>
        </w:rPr>
        <w:lastRenderedPageBreak/>
        <w:t xml:space="preserve">potom budú v určitý čas jasne a pohodlne nasmerovaní na lôžkové oddelenia. V opačnom prípade budú navedení smerom ku komerčnej časti nemocnice - lekárni, reštaurácii, kaviarni a podobne. Logistika tovaru je nutná, ale nie primárne, a nemala by rušiť ani jednu z uvedených trás. Vnútorná logistika bude doplnená o pneumatický dopravný systém, ktorý eliminuje neúčelné zaťaženie vertikálnych trás </w:t>
      </w:r>
      <w:proofErr w:type="spellStart"/>
      <w:r w:rsidRPr="009B6A13">
        <w:rPr>
          <w:rFonts w:ascii="Century Gothic" w:hAnsi="Century Gothic" w:cstheme="minorHAnsi"/>
          <w:sz w:val="22"/>
          <w:szCs w:val="22"/>
        </w:rPr>
        <w:t>polybloku</w:t>
      </w:r>
      <w:proofErr w:type="spellEnd"/>
      <w:r w:rsidRPr="009B6A13">
        <w:rPr>
          <w:rFonts w:ascii="Century Gothic" w:hAnsi="Century Gothic" w:cstheme="minorHAnsi"/>
          <w:sz w:val="22"/>
          <w:szCs w:val="22"/>
        </w:rPr>
        <w:t xml:space="preserve"> a zohľadňuje lepšie využitie ľudského kapitálu v starostlivosti o chorých.</w:t>
      </w:r>
    </w:p>
    <w:p w14:paraId="368CB78D" w14:textId="77777777" w:rsidR="007B7154" w:rsidRPr="009B6A13" w:rsidRDefault="007B7154" w:rsidP="007B7154">
      <w:pPr>
        <w:spacing w:line="240" w:lineRule="auto"/>
        <w:rPr>
          <w:rFonts w:ascii="Century Gothic" w:hAnsi="Century Gothic" w:cstheme="minorHAnsi"/>
          <w:b/>
          <w:bCs/>
          <w:sz w:val="22"/>
          <w:szCs w:val="22"/>
        </w:rPr>
      </w:pPr>
    </w:p>
    <w:p w14:paraId="4F6A7A8F" w14:textId="1E9B44F8"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Centralizovaný ambulantný trakt</w:t>
      </w:r>
      <w:r w:rsidR="005B0BD2">
        <w:rPr>
          <w:rFonts w:ascii="Century Gothic" w:hAnsi="Century Gothic" w:cstheme="minorHAnsi"/>
          <w:b/>
          <w:bCs/>
          <w:sz w:val="22"/>
          <w:szCs w:val="22"/>
        </w:rPr>
        <w:t xml:space="preserve"> – existujúci stav, ktorý sa nebude meniť</w:t>
      </w:r>
    </w:p>
    <w:p w14:paraId="42EC8DBA"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Všetky odborné ambulancie, poradne a vyšetrovne sú situované do jedného komplexu (miesta, tzv. poliklinického traktu). Pacienti a príbuzní sú priamo smerovaní z centrálnych parkovísk, z trasy od verejnej hromadnej dopravy priamo k samostatnému vstupu do polikliniky. Vstup je pro-klientsky prívetivý, systém nadväzujúcich komunikácií v smere na komplement je čitateľný, pacient neblúdi, je ihneď po vstupe do budovy nasmerovaný k informačnej recepcii, prípadne elektronickému vyvolávaciemu systému a následne "vypravený" k čakárni do svojej ambulancie. Všetko je prehľadne a kompaktne organizované v jednom priestore, na ktorý nadväzuje komplement </w:t>
      </w:r>
      <w:r w:rsidRPr="009B6A13">
        <w:rPr>
          <w:rFonts w:ascii="Century Gothic" w:hAnsi="Century Gothic" w:cstheme="minorHAnsi"/>
          <w:sz w:val="22"/>
          <w:szCs w:val="22"/>
          <w:u w:val="single"/>
        </w:rPr>
        <w:t xml:space="preserve">s jednodňovým stacionárom, v ktorom sú sústredené hlavné diagnostické, liečebné a </w:t>
      </w:r>
      <w:proofErr w:type="spellStart"/>
      <w:r w:rsidRPr="009B6A13">
        <w:rPr>
          <w:rFonts w:ascii="Century Gothic" w:hAnsi="Century Gothic" w:cstheme="minorHAnsi"/>
          <w:sz w:val="22"/>
          <w:szCs w:val="22"/>
          <w:u w:val="single"/>
        </w:rPr>
        <w:t>zákrokové</w:t>
      </w:r>
      <w:proofErr w:type="spellEnd"/>
      <w:r w:rsidRPr="009B6A13">
        <w:rPr>
          <w:rFonts w:ascii="Century Gothic" w:hAnsi="Century Gothic" w:cstheme="minorHAnsi"/>
          <w:sz w:val="22"/>
          <w:szCs w:val="22"/>
          <w:u w:val="single"/>
        </w:rPr>
        <w:t xml:space="preserve"> ambulantné prevádzky</w:t>
      </w:r>
      <w:r w:rsidRPr="009B6A13">
        <w:rPr>
          <w:rFonts w:ascii="Century Gothic" w:hAnsi="Century Gothic" w:cstheme="minorHAnsi"/>
          <w:sz w:val="22"/>
          <w:szCs w:val="22"/>
        </w:rPr>
        <w:t xml:space="preserve">. </w:t>
      </w:r>
    </w:p>
    <w:p w14:paraId="0805E0E1" w14:textId="77777777" w:rsidR="007B7154" w:rsidRPr="009B6A13" w:rsidRDefault="007B7154" w:rsidP="007B7154">
      <w:pPr>
        <w:spacing w:line="240" w:lineRule="auto"/>
        <w:rPr>
          <w:rFonts w:ascii="Century Gothic" w:hAnsi="Century Gothic" w:cstheme="minorHAnsi"/>
          <w:b/>
          <w:bCs/>
          <w:sz w:val="22"/>
          <w:szCs w:val="22"/>
        </w:rPr>
      </w:pPr>
      <w:r w:rsidRPr="009B6A13">
        <w:rPr>
          <w:rFonts w:ascii="Century Gothic" w:hAnsi="Century Gothic" w:cstheme="minorHAnsi"/>
          <w:b/>
          <w:bCs/>
          <w:sz w:val="22"/>
          <w:szCs w:val="22"/>
        </w:rPr>
        <w:t xml:space="preserve"> </w:t>
      </w:r>
    </w:p>
    <w:p w14:paraId="6490D614" w14:textId="3B9F9BFE"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Elektronizácia medicínskych a nemedicínskych procesov</w:t>
      </w:r>
    </w:p>
    <w:p w14:paraId="23719BE7"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Moderné nemocnice 21. storočia už používajú papierovú dokumentáciu v obmedzenej miere. Tzv. bezpapierová nemocnica poskytuje rýchly prístup k </w:t>
      </w:r>
      <w:r w:rsidRPr="009B6A13">
        <w:rPr>
          <w:rFonts w:ascii="Century Gothic" w:hAnsi="Century Gothic" w:cstheme="minorHAnsi"/>
          <w:sz w:val="22"/>
          <w:szCs w:val="22"/>
        </w:rPr>
        <w:br/>
        <w:t xml:space="preserve">informáciám na všetkých nutných miestach. Tiež rekonštruovaná nemocnica Ružinov bude mať dostatočné </w:t>
      </w:r>
      <w:proofErr w:type="spellStart"/>
      <w:r w:rsidRPr="009B6A13">
        <w:rPr>
          <w:rFonts w:ascii="Century Gothic" w:hAnsi="Century Gothic" w:cstheme="minorHAnsi"/>
          <w:sz w:val="22"/>
          <w:szCs w:val="22"/>
        </w:rPr>
        <w:t>infraštrukturálne</w:t>
      </w:r>
      <w:proofErr w:type="spellEnd"/>
      <w:r w:rsidRPr="009B6A13">
        <w:rPr>
          <w:rFonts w:ascii="Century Gothic" w:hAnsi="Century Gothic" w:cstheme="minorHAnsi"/>
          <w:sz w:val="22"/>
          <w:szCs w:val="22"/>
        </w:rPr>
        <w:t xml:space="preserve"> vybavenie pre budúcu </w:t>
      </w:r>
      <w:r w:rsidRPr="009B6A13">
        <w:rPr>
          <w:rFonts w:ascii="Century Gothic" w:hAnsi="Century Gothic" w:cstheme="minorHAnsi"/>
          <w:sz w:val="22"/>
          <w:szCs w:val="22"/>
        </w:rPr>
        <w:br/>
        <w:t xml:space="preserve">elektronizáciu procesov. Nespornou výhodou elektronickej dokumentácie je prístupnosť v digitálnom nemocničnom informačnom systéme kdekoľvek v </w:t>
      </w:r>
      <w:r w:rsidRPr="009B6A13">
        <w:rPr>
          <w:rFonts w:ascii="Century Gothic" w:hAnsi="Century Gothic" w:cstheme="minorHAnsi"/>
          <w:sz w:val="22"/>
          <w:szCs w:val="22"/>
        </w:rPr>
        <w:br/>
        <w:t xml:space="preserve">nemocnici. Takýto IT systém uľahčuje pracovné procesy všetkým zamestnancom. Dokumenty môžu vidieť na akomkoľvek oddelení na PC, iPade alebo inom </w:t>
      </w:r>
      <w:r w:rsidRPr="009B6A13">
        <w:rPr>
          <w:rFonts w:ascii="Century Gothic" w:hAnsi="Century Gothic" w:cstheme="minorHAnsi"/>
          <w:sz w:val="22"/>
          <w:szCs w:val="22"/>
        </w:rPr>
        <w:br/>
        <w:t xml:space="preserve">mobilnom zariadení. Elektronizácia sa týka aj ďalších nemocničných nemedicínskych procesov, napríklad skladovej logistiky. </w:t>
      </w:r>
    </w:p>
    <w:p w14:paraId="5876B034"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br/>
        <w:t xml:space="preserve">Zohľadnenie bezpečnostných pravidiel (externých/interných) </w:t>
      </w:r>
      <w:r w:rsidRPr="009B6A13">
        <w:rPr>
          <w:rFonts w:ascii="Century Gothic" w:hAnsi="Century Gothic" w:cstheme="minorHAnsi"/>
          <w:sz w:val="22"/>
          <w:szCs w:val="22"/>
        </w:rPr>
        <w:br/>
        <w:t xml:space="preserve">Rekonštruovaná nemocnica bude spĺňať bezpečnostný štandard v riadených vstupoch do jednotlivých blokov, partií, oddelení atď. Koncept </w:t>
      </w:r>
      <w:r w:rsidRPr="009B6A13">
        <w:rPr>
          <w:rFonts w:ascii="Century Gothic" w:hAnsi="Century Gothic" w:cstheme="minorHAnsi"/>
          <w:sz w:val="22"/>
          <w:szCs w:val="22"/>
        </w:rPr>
        <w:br/>
        <w:t xml:space="preserve">bezpečnostnej politiky identifikuje postup a možnosti kto a ako sa dostane do riadenej zóny s akými právami a povinnosťami. Každý zdravotnícky pracovník </w:t>
      </w:r>
      <w:r w:rsidRPr="009B6A13">
        <w:rPr>
          <w:rFonts w:ascii="Century Gothic" w:hAnsi="Century Gothic" w:cstheme="minorHAnsi"/>
          <w:sz w:val="22"/>
          <w:szCs w:val="22"/>
        </w:rPr>
        <w:br/>
        <w:t>a pacient bude identifikovateľný, a to s elektronickou stopou.</w:t>
      </w:r>
    </w:p>
    <w:p w14:paraId="5C529913" w14:textId="77777777" w:rsidR="007B7154" w:rsidRPr="009B6A13" w:rsidRDefault="007B7154" w:rsidP="007B7154">
      <w:pPr>
        <w:spacing w:line="240" w:lineRule="auto"/>
        <w:rPr>
          <w:rFonts w:ascii="Century Gothic" w:hAnsi="Century Gothic" w:cstheme="minorHAnsi"/>
          <w:b/>
          <w:bCs/>
          <w:sz w:val="22"/>
          <w:szCs w:val="22"/>
        </w:rPr>
      </w:pPr>
    </w:p>
    <w:p w14:paraId="67C7541A"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Zohľadnenie bezpečnostných pravidiel (externých/interných)</w:t>
      </w:r>
    </w:p>
    <w:p w14:paraId="1E039CD5" w14:textId="344EB17A" w:rsidR="005B0BD2" w:rsidRPr="005B0BD2" w:rsidRDefault="005B0BD2" w:rsidP="005B0BD2">
      <w:pPr>
        <w:spacing w:line="240" w:lineRule="auto"/>
        <w:rPr>
          <w:rFonts w:ascii="Century Gothic" w:hAnsi="Century Gothic" w:cstheme="minorHAnsi"/>
          <w:bCs/>
          <w:sz w:val="22"/>
          <w:szCs w:val="22"/>
        </w:rPr>
      </w:pPr>
      <w:r w:rsidRPr="005B0BD2">
        <w:rPr>
          <w:rFonts w:ascii="Century Gothic" w:hAnsi="Century Gothic" w:cstheme="minorHAnsi"/>
          <w:bCs/>
          <w:sz w:val="22"/>
          <w:szCs w:val="22"/>
        </w:rPr>
        <w:t>Nové nastavenie procesov a zvýšenie hygienického štandardu v časti nový PUM prinesie zásadné zvýšenie medicínskej bezpečnosti prevádzky</w:t>
      </w:r>
      <w:r>
        <w:rPr>
          <w:rFonts w:ascii="Century Gothic" w:hAnsi="Century Gothic" w:cstheme="minorHAnsi"/>
          <w:bCs/>
          <w:sz w:val="22"/>
          <w:szCs w:val="22"/>
        </w:rPr>
        <w:t>.</w:t>
      </w:r>
    </w:p>
    <w:p w14:paraId="41676703" w14:textId="08A82691" w:rsidR="007B7154" w:rsidRDefault="007B7154" w:rsidP="007B7154">
      <w:pPr>
        <w:spacing w:line="240" w:lineRule="auto"/>
        <w:rPr>
          <w:rFonts w:ascii="Century Gothic" w:hAnsi="Century Gothic" w:cstheme="minorHAnsi"/>
          <w:b/>
          <w:bCs/>
          <w:sz w:val="22"/>
          <w:szCs w:val="22"/>
        </w:rPr>
      </w:pPr>
    </w:p>
    <w:p w14:paraId="36E7C3C5"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Dispozícia voľno časových aktivít (kaplnka, kaviarne, obchody..)</w:t>
      </w:r>
    </w:p>
    <w:p w14:paraId="744E22B2" w14:textId="0E12ABA7" w:rsidR="007B7154"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Dispozícia voľnočasových aktivít (nemocničná kaplnka, kaviarne, obchody). Vnútorné usporiadanie nemocnice bude vytvárať akýsi vnútorný bulvár, ktorí prepojí väčšinu nemocničných pracovísk. Svojim charakterom má pripomínať skôr letiskový terminál alebo nákupné centrum než nemocnicu. Najfrekventovanejšie časti budú dokonca prepojené okrem výťahov a pevných schodísk tiež eskalátormi, ktoré budú zabezpečovať rýchlu dostupnosť k vyšetreniam a na jednotlivé oddelenia. V uvedeného priestoru budú vybudované verejné služby ako kaviarne, obchody, kaplnka a podobne. Tieto budú slúžiť tak pacientom, návštevám ako aj personálu.</w:t>
      </w:r>
    </w:p>
    <w:p w14:paraId="18166D48" w14:textId="215E1DDC" w:rsidR="00E20886" w:rsidRPr="00E20886" w:rsidRDefault="00E20886" w:rsidP="00E20886">
      <w:pPr>
        <w:shd w:val="clear" w:color="auto" w:fill="FFFFFF"/>
        <w:tabs>
          <w:tab w:val="left" w:pos="720"/>
        </w:tabs>
        <w:spacing w:line="240" w:lineRule="auto"/>
        <w:rPr>
          <w:rFonts w:ascii="Century Gothic" w:hAnsi="Century Gothic"/>
          <w:b/>
          <w:bCs/>
          <w:color w:val="000000"/>
          <w:sz w:val="22"/>
          <w:szCs w:val="22"/>
          <w:u w:val="single"/>
        </w:rPr>
      </w:pPr>
      <w:r w:rsidRPr="00E20886">
        <w:rPr>
          <w:rFonts w:ascii="Century Gothic" w:hAnsi="Century Gothic"/>
          <w:b/>
          <w:bCs/>
          <w:color w:val="000000"/>
          <w:sz w:val="22"/>
          <w:szCs w:val="22"/>
        </w:rPr>
        <w:lastRenderedPageBreak/>
        <w:t xml:space="preserve">Výsledkom investície  do výstavby nového </w:t>
      </w:r>
      <w:r w:rsidR="00BB692D">
        <w:rPr>
          <w:rFonts w:ascii="Century Gothic" w:hAnsi="Century Gothic"/>
          <w:b/>
          <w:bCs/>
          <w:color w:val="000000"/>
          <w:sz w:val="22"/>
          <w:szCs w:val="22"/>
        </w:rPr>
        <w:t>P</w:t>
      </w:r>
      <w:r w:rsidRPr="00E20886">
        <w:rPr>
          <w:rFonts w:ascii="Century Gothic" w:hAnsi="Century Gothic"/>
          <w:b/>
          <w:bCs/>
          <w:color w:val="000000"/>
          <w:sz w:val="22"/>
          <w:szCs w:val="22"/>
        </w:rPr>
        <w:t>avilónu urgentnej a intervenčnej medicíny bude</w:t>
      </w:r>
      <w:r>
        <w:rPr>
          <w:rFonts w:ascii="Century Gothic" w:hAnsi="Century Gothic"/>
          <w:b/>
          <w:bCs/>
          <w:color w:val="000000"/>
          <w:sz w:val="22"/>
          <w:szCs w:val="22"/>
        </w:rPr>
        <w:t xml:space="preserve"> i</w:t>
      </w:r>
      <w:r w:rsidRPr="00E20886">
        <w:rPr>
          <w:rFonts w:ascii="Century Gothic" w:hAnsi="Century Gothic"/>
          <w:b/>
          <w:bCs/>
          <w:color w:val="000000"/>
          <w:sz w:val="22"/>
          <w:szCs w:val="22"/>
        </w:rPr>
        <w:t>ntegrácia oddelení a pracovísk do nového pavilónu</w:t>
      </w:r>
      <w:r>
        <w:rPr>
          <w:rFonts w:ascii="Century Gothic" w:hAnsi="Century Gothic"/>
          <w:b/>
          <w:bCs/>
          <w:color w:val="000000"/>
          <w:sz w:val="22"/>
          <w:szCs w:val="22"/>
        </w:rPr>
        <w:t>, pričom dôjde</w:t>
      </w:r>
      <w:r w:rsidRPr="00E20886">
        <w:rPr>
          <w:rFonts w:ascii="Century Gothic" w:hAnsi="Century Gothic"/>
          <w:b/>
          <w:bCs/>
          <w:color w:val="000000"/>
          <w:sz w:val="22"/>
          <w:szCs w:val="22"/>
        </w:rPr>
        <w:t xml:space="preserve">: </w:t>
      </w:r>
    </w:p>
    <w:p w14:paraId="3C6DEE25"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hAnsi="Century Gothic"/>
          <w:b/>
          <w:bCs/>
          <w:color w:val="000000"/>
          <w:sz w:val="22"/>
          <w:szCs w:val="22"/>
        </w:rPr>
        <w:t>k zefektívneniu liečby pacienta</w:t>
      </w:r>
      <w:r w:rsidRPr="00A96674">
        <w:rPr>
          <w:rFonts w:ascii="Century Gothic" w:hAnsi="Century Gothic"/>
          <w:color w:val="000000"/>
          <w:sz w:val="22"/>
          <w:szCs w:val="22"/>
        </w:rPr>
        <w:t xml:space="preserve"> z pohľadu medicínskeho (zlepšenie indikátorov Kvality poskytovanej ZS),</w:t>
      </w:r>
    </w:p>
    <w:p w14:paraId="6055E475"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hAnsi="Century Gothic"/>
          <w:b/>
          <w:bCs/>
          <w:color w:val="000000"/>
          <w:sz w:val="22"/>
          <w:szCs w:val="22"/>
        </w:rPr>
        <w:t xml:space="preserve">k zracionalizovaniu liečby pacienta </w:t>
      </w:r>
      <w:r w:rsidRPr="00A96674">
        <w:rPr>
          <w:rFonts w:ascii="Century Gothic" w:hAnsi="Century Gothic"/>
          <w:color w:val="000000"/>
          <w:sz w:val="22"/>
          <w:szCs w:val="22"/>
        </w:rPr>
        <w:t>z finančno-ekonomického pohľadu,</w:t>
      </w:r>
    </w:p>
    <w:p w14:paraId="5A2A4AF2"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hAnsi="Century Gothic"/>
          <w:b/>
          <w:bCs/>
          <w:color w:val="000000"/>
          <w:sz w:val="22"/>
          <w:szCs w:val="22"/>
        </w:rPr>
        <w:t>k zracionalizovaniu liečby pacienta</w:t>
      </w:r>
      <w:r w:rsidRPr="00A96674">
        <w:rPr>
          <w:rFonts w:ascii="Century Gothic" w:hAnsi="Century Gothic"/>
          <w:color w:val="000000"/>
          <w:sz w:val="22"/>
          <w:szCs w:val="22"/>
        </w:rPr>
        <w:t xml:space="preserve"> z pohľadu využitia obmedzených personálnych kapacít,</w:t>
      </w:r>
    </w:p>
    <w:p w14:paraId="238A1C14"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eastAsia="NimbusSanL-Bold" w:hAnsi="Century Gothic"/>
          <w:b/>
          <w:bCs/>
          <w:sz w:val="22"/>
          <w:szCs w:val="22"/>
        </w:rPr>
        <w:t xml:space="preserve">k zníženiu výskytu </w:t>
      </w:r>
      <w:proofErr w:type="spellStart"/>
      <w:r w:rsidRPr="00A96674">
        <w:rPr>
          <w:rFonts w:ascii="Century Gothic" w:eastAsia="NimbusSanL-Bold" w:hAnsi="Century Gothic"/>
          <w:b/>
          <w:bCs/>
          <w:sz w:val="22"/>
          <w:szCs w:val="22"/>
        </w:rPr>
        <w:t>nozokomiálnych</w:t>
      </w:r>
      <w:proofErr w:type="spellEnd"/>
      <w:r w:rsidRPr="00A96674">
        <w:rPr>
          <w:rFonts w:ascii="Century Gothic" w:eastAsia="NimbusSanL-Bold" w:hAnsi="Century Gothic"/>
          <w:b/>
          <w:bCs/>
          <w:sz w:val="22"/>
          <w:szCs w:val="22"/>
        </w:rPr>
        <w:t xml:space="preserve"> nákaz </w:t>
      </w:r>
      <w:r w:rsidRPr="00A96674">
        <w:rPr>
          <w:rFonts w:ascii="Century Gothic" w:eastAsia="NimbusSanL-Regu" w:hAnsi="Century Gothic"/>
          <w:sz w:val="22"/>
          <w:szCs w:val="22"/>
        </w:rPr>
        <w:t xml:space="preserve">(vylepšenie vzduchotechniky, </w:t>
      </w:r>
      <w:proofErr w:type="spellStart"/>
      <w:r w:rsidRPr="00A96674">
        <w:rPr>
          <w:rFonts w:ascii="Century Gothic" w:eastAsia="NimbusSanL-Regu" w:hAnsi="Century Gothic"/>
          <w:sz w:val="22"/>
          <w:szCs w:val="22"/>
        </w:rPr>
        <w:t>antimikrobiálne</w:t>
      </w:r>
      <w:proofErr w:type="spellEnd"/>
      <w:r w:rsidRPr="00A96674">
        <w:rPr>
          <w:rFonts w:ascii="Century Gothic" w:eastAsia="NimbusSanL-Regu" w:hAnsi="Century Gothic"/>
          <w:sz w:val="22"/>
          <w:szCs w:val="22"/>
        </w:rPr>
        <w:t xml:space="preserve"> povrchy, úprava dezinfekčných procesov, odstránenie plesní alebo živočíšnych škodcov),</w:t>
      </w:r>
    </w:p>
    <w:p w14:paraId="0463EFE7"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eastAsia="NimbusSanL-Bold" w:hAnsi="Century Gothic"/>
          <w:b/>
          <w:bCs/>
          <w:sz w:val="22"/>
          <w:szCs w:val="22"/>
        </w:rPr>
        <w:t xml:space="preserve">k zvýšeniu fyzického komfortu pacienta </w:t>
      </w:r>
      <w:r w:rsidRPr="00A96674">
        <w:rPr>
          <w:rFonts w:ascii="Century Gothic" w:eastAsia="NimbusSanL-Regu" w:hAnsi="Century Gothic"/>
          <w:sz w:val="22"/>
          <w:szCs w:val="22"/>
        </w:rPr>
        <w:t>(zjednodušená manipulácia s pacientom, bezbariérovosť, zvýšená samostatnosť  pacienta),</w:t>
      </w:r>
    </w:p>
    <w:p w14:paraId="08F73315"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eastAsia="NimbusSanL-Bold" w:hAnsi="Century Gothic"/>
          <w:b/>
          <w:bCs/>
          <w:sz w:val="22"/>
          <w:szCs w:val="22"/>
        </w:rPr>
        <w:t xml:space="preserve">k zvýšeniu psychického komfortu pacienta </w:t>
      </w:r>
      <w:r w:rsidRPr="00A96674">
        <w:rPr>
          <w:rFonts w:ascii="Century Gothic" w:eastAsia="NimbusSanL-Regu" w:hAnsi="Century Gothic"/>
          <w:sz w:val="22"/>
          <w:szCs w:val="22"/>
        </w:rPr>
        <w:t>(súkromie na izbe, lepšie možnosti návštev, voľnočasové aktivity, televízia),</w:t>
      </w:r>
    </w:p>
    <w:p w14:paraId="0E6F6F05" w14:textId="77777777" w:rsidR="00E20886" w:rsidRPr="00A96674" w:rsidRDefault="00E20886" w:rsidP="00E20886">
      <w:pPr>
        <w:pStyle w:val="Odsekzoznamu"/>
        <w:numPr>
          <w:ilvl w:val="0"/>
          <w:numId w:val="70"/>
        </w:numPr>
        <w:shd w:val="clear" w:color="auto" w:fill="FFFFFF"/>
        <w:tabs>
          <w:tab w:val="left" w:pos="720"/>
        </w:tabs>
        <w:spacing w:line="240" w:lineRule="auto"/>
        <w:rPr>
          <w:rFonts w:ascii="Century Gothic" w:hAnsi="Century Gothic"/>
          <w:color w:val="000000"/>
          <w:sz w:val="22"/>
          <w:szCs w:val="22"/>
        </w:rPr>
      </w:pPr>
      <w:r w:rsidRPr="00A96674">
        <w:rPr>
          <w:rFonts w:ascii="Century Gothic" w:eastAsia="NimbusSanL-Bold" w:hAnsi="Century Gothic"/>
          <w:b/>
          <w:bCs/>
          <w:sz w:val="22"/>
          <w:szCs w:val="22"/>
        </w:rPr>
        <w:t xml:space="preserve">k zjednodušeniu a zatraktívneniu práce personálu, čo pomôže  </w:t>
      </w:r>
      <w:r w:rsidRPr="00A96674">
        <w:rPr>
          <w:rFonts w:ascii="Century Gothic" w:hAnsi="Century Gothic"/>
          <w:sz w:val="22"/>
          <w:szCs w:val="22"/>
        </w:rPr>
        <w:t>znížiť jeho odliv do zahraničia- najmä novej generácie zdravotníckych pracovníkov</w:t>
      </w:r>
      <w:r w:rsidRPr="00A96674">
        <w:rPr>
          <w:rFonts w:ascii="Century Gothic" w:eastAsia="NimbusSanL-Regu" w:hAnsi="Century Gothic"/>
          <w:sz w:val="22"/>
          <w:szCs w:val="22"/>
        </w:rPr>
        <w:t>(zníženie potrebnej fyzickej námahy, skrátenie výkonov, skrátenie presunov medzi výkonmi, zjednodušenie pracovných procesov, moderné, účelné a atraktívne pracovné prostredie s integrovanými inteligentnými riešeniami),</w:t>
      </w:r>
    </w:p>
    <w:p w14:paraId="6402C3BE" w14:textId="77777777" w:rsidR="00E20886" w:rsidRPr="00A96674" w:rsidRDefault="00E20886" w:rsidP="00E20886">
      <w:pPr>
        <w:pStyle w:val="Odsekzoznamu"/>
        <w:numPr>
          <w:ilvl w:val="0"/>
          <w:numId w:val="70"/>
        </w:numPr>
        <w:shd w:val="clear" w:color="auto" w:fill="FFFFFF"/>
        <w:tabs>
          <w:tab w:val="left" w:pos="720"/>
        </w:tabs>
        <w:spacing w:line="240" w:lineRule="auto"/>
        <w:jc w:val="left"/>
        <w:rPr>
          <w:rFonts w:ascii="Century Gothic" w:hAnsi="Century Gothic"/>
          <w:color w:val="000000"/>
          <w:sz w:val="22"/>
          <w:szCs w:val="22"/>
        </w:rPr>
      </w:pPr>
      <w:r w:rsidRPr="00A96674">
        <w:rPr>
          <w:rFonts w:ascii="Century Gothic" w:eastAsia="NimbusSanL-Bold" w:hAnsi="Century Gothic"/>
          <w:b/>
          <w:bCs/>
          <w:sz w:val="22"/>
          <w:szCs w:val="22"/>
        </w:rPr>
        <w:t xml:space="preserve">k zvýšeniu konkurencieschopnosti poskytovateľa ZS z pohľadu udržania personálu </w:t>
      </w:r>
      <w:r w:rsidRPr="00A96674">
        <w:rPr>
          <w:rFonts w:ascii="Century Gothic" w:eastAsia="NimbusSanL-Regu" w:hAnsi="Century Gothic"/>
          <w:sz w:val="22"/>
          <w:szCs w:val="22"/>
        </w:rPr>
        <w:t>(voľnočasové možnosti, zjednodušene dochádzania alebo parkovania).</w:t>
      </w:r>
    </w:p>
    <w:p w14:paraId="0A8A0641" w14:textId="77777777" w:rsidR="007B7154" w:rsidRPr="009B6A13" w:rsidRDefault="007B7154" w:rsidP="007B7154">
      <w:pPr>
        <w:spacing w:line="240" w:lineRule="auto"/>
        <w:rPr>
          <w:rFonts w:ascii="Century Gothic" w:hAnsi="Century Gothic"/>
          <w:b/>
          <w:sz w:val="22"/>
          <w:szCs w:val="22"/>
        </w:rPr>
      </w:pPr>
    </w:p>
    <w:p w14:paraId="1766CAF9" w14:textId="750837BD" w:rsidR="007B7154" w:rsidRDefault="007B7154" w:rsidP="00D43498">
      <w:pPr>
        <w:pStyle w:val="Nadpis2"/>
        <w:keepLines w:val="0"/>
        <w:numPr>
          <w:ilvl w:val="1"/>
          <w:numId w:val="0"/>
        </w:numPr>
        <w:suppressAutoHyphens/>
        <w:spacing w:before="0" w:line="240" w:lineRule="auto"/>
        <w:ind w:left="578" w:hanging="578"/>
        <w:jc w:val="left"/>
        <w:rPr>
          <w:rFonts w:ascii="Century Gothic" w:hAnsi="Century Gothic"/>
          <w:sz w:val="22"/>
          <w:szCs w:val="22"/>
        </w:rPr>
      </w:pPr>
      <w:bookmarkStart w:id="143" w:name="_Toc145219969"/>
      <w:r w:rsidRPr="00D43498">
        <w:rPr>
          <w:rFonts w:ascii="Century Gothic" w:hAnsi="Century Gothic"/>
          <w:sz w:val="22"/>
          <w:szCs w:val="22"/>
        </w:rPr>
        <w:t>Medicínske funkčné celky - logistické inovácie a</w:t>
      </w:r>
      <w:r w:rsidR="00E20886">
        <w:rPr>
          <w:rFonts w:ascii="Century Gothic" w:hAnsi="Century Gothic"/>
          <w:sz w:val="22"/>
          <w:szCs w:val="22"/>
        </w:rPr>
        <w:t> </w:t>
      </w:r>
      <w:r w:rsidRPr="00D43498">
        <w:rPr>
          <w:rFonts w:ascii="Century Gothic" w:hAnsi="Century Gothic"/>
          <w:sz w:val="22"/>
          <w:szCs w:val="22"/>
        </w:rPr>
        <w:t>nadväznosti</w:t>
      </w:r>
      <w:bookmarkEnd w:id="143"/>
    </w:p>
    <w:p w14:paraId="5D12213F" w14:textId="77777777" w:rsidR="00E20886" w:rsidRPr="00E20886" w:rsidRDefault="00E20886" w:rsidP="00E20886"/>
    <w:p w14:paraId="54B3559D" w14:textId="62B563B8" w:rsidR="00E20886" w:rsidRDefault="00E20886" w:rsidP="00E20886">
      <w:pPr>
        <w:spacing w:line="240" w:lineRule="auto"/>
        <w:rPr>
          <w:rFonts w:ascii="Century Gothic" w:hAnsi="Century Gothic"/>
          <w:sz w:val="22"/>
          <w:szCs w:val="22"/>
        </w:rPr>
      </w:pPr>
      <w:r w:rsidRPr="00A96674">
        <w:rPr>
          <w:rFonts w:ascii="Century Gothic" w:hAnsi="Century Gothic"/>
          <w:sz w:val="22"/>
          <w:szCs w:val="22"/>
        </w:rPr>
        <w:t>Manažment urgentného pacienta a operovaného pacienta je najdrahší zdrav</w:t>
      </w:r>
      <w:r w:rsidR="00BB692D">
        <w:rPr>
          <w:rFonts w:ascii="Century Gothic" w:hAnsi="Century Gothic"/>
          <w:sz w:val="22"/>
          <w:szCs w:val="22"/>
        </w:rPr>
        <w:t xml:space="preserve">otnícky proces. Vzhľadom na to, </w:t>
      </w:r>
      <w:r w:rsidRPr="00A96674">
        <w:rPr>
          <w:rFonts w:ascii="Century Gothic" w:hAnsi="Century Gothic"/>
          <w:sz w:val="22"/>
          <w:szCs w:val="22"/>
        </w:rPr>
        <w:t>správne umiestnenie a kvalita priestorov z oblasti operačnej</w:t>
      </w:r>
      <w:r w:rsidR="00BB692D">
        <w:rPr>
          <w:rFonts w:ascii="Century Gothic" w:hAnsi="Century Gothic"/>
          <w:sz w:val="22"/>
          <w:szCs w:val="22"/>
        </w:rPr>
        <w:t xml:space="preserve"> </w:t>
      </w:r>
      <w:r w:rsidRPr="00A96674">
        <w:rPr>
          <w:rFonts w:ascii="Century Gothic" w:hAnsi="Century Gothic"/>
          <w:sz w:val="22"/>
          <w:szCs w:val="22"/>
        </w:rPr>
        <w:t xml:space="preserve">(intervenčnej) starostlivosti, intenzívnej a resuscitačnej liečby môže významne prispieť k výsledkom zdravotnej starostlivosti, znížiť personálne a v neposlednej miere aj ekonomické nároky na tento typ zdravotnej starostlivosti. Samostatnou témou je starostlivosť o rodičku a novorodenca s predpokladom výskytu </w:t>
      </w:r>
      <w:proofErr w:type="spellStart"/>
      <w:r w:rsidRPr="00A96674">
        <w:rPr>
          <w:rFonts w:ascii="Century Gothic" w:hAnsi="Century Gothic"/>
          <w:sz w:val="22"/>
          <w:szCs w:val="22"/>
        </w:rPr>
        <w:t>perinatálnych</w:t>
      </w:r>
      <w:proofErr w:type="spellEnd"/>
      <w:r w:rsidRPr="00A96674">
        <w:rPr>
          <w:rFonts w:ascii="Century Gothic" w:hAnsi="Century Gothic"/>
          <w:sz w:val="22"/>
          <w:szCs w:val="22"/>
        </w:rPr>
        <w:t xml:space="preserve"> komplikácií.</w:t>
      </w:r>
    </w:p>
    <w:p w14:paraId="3EC5ACAB" w14:textId="77777777" w:rsidR="00E20886" w:rsidRPr="00A96674" w:rsidRDefault="00E20886" w:rsidP="00E20886">
      <w:pPr>
        <w:spacing w:line="240" w:lineRule="auto"/>
        <w:rPr>
          <w:rFonts w:ascii="Century Gothic" w:hAnsi="Century Gothic"/>
          <w:sz w:val="22"/>
          <w:szCs w:val="22"/>
        </w:rPr>
      </w:pPr>
    </w:p>
    <w:p w14:paraId="407DF36A" w14:textId="53EA8FA6" w:rsidR="00E20886" w:rsidRPr="00A96674" w:rsidRDefault="00BB692D" w:rsidP="00E20886">
      <w:pPr>
        <w:spacing w:line="240" w:lineRule="auto"/>
        <w:rPr>
          <w:rFonts w:ascii="Century Gothic" w:hAnsi="Century Gothic"/>
          <w:sz w:val="22"/>
          <w:szCs w:val="22"/>
        </w:rPr>
      </w:pPr>
      <w:r>
        <w:rPr>
          <w:rFonts w:ascii="Century Gothic" w:hAnsi="Century Gothic"/>
          <w:sz w:val="22"/>
          <w:szCs w:val="22"/>
        </w:rPr>
        <w:t>V novom P</w:t>
      </w:r>
      <w:r w:rsidR="00E20886" w:rsidRPr="00A96674">
        <w:rPr>
          <w:rFonts w:ascii="Century Gothic" w:hAnsi="Century Gothic"/>
          <w:sz w:val="22"/>
          <w:szCs w:val="22"/>
        </w:rPr>
        <w:t xml:space="preserve">avilóne </w:t>
      </w:r>
      <w:r w:rsidR="00E20886">
        <w:rPr>
          <w:rFonts w:ascii="Century Gothic" w:hAnsi="Century Gothic"/>
          <w:sz w:val="22"/>
          <w:szCs w:val="22"/>
        </w:rPr>
        <w:t xml:space="preserve">urgentnej medicíny </w:t>
      </w:r>
      <w:r w:rsidR="00E20886" w:rsidRPr="00A96674">
        <w:rPr>
          <w:rFonts w:ascii="Century Gothic" w:hAnsi="Century Gothic"/>
          <w:sz w:val="22"/>
          <w:szCs w:val="22"/>
        </w:rPr>
        <w:t>budú umiestnené tieto lôžkové oddelenia:</w:t>
      </w:r>
    </w:p>
    <w:p w14:paraId="228138BE" w14:textId="08BEEF09" w:rsidR="00E20886" w:rsidRPr="00E20886" w:rsidRDefault="00E20886" w:rsidP="00E20886">
      <w:pPr>
        <w:pStyle w:val="Odsekzoznamu"/>
        <w:numPr>
          <w:ilvl w:val="0"/>
          <w:numId w:val="71"/>
        </w:numPr>
        <w:spacing w:line="240" w:lineRule="auto"/>
        <w:rPr>
          <w:rFonts w:ascii="Century Gothic" w:hAnsi="Century Gothic"/>
          <w:sz w:val="22"/>
          <w:szCs w:val="22"/>
        </w:rPr>
      </w:pPr>
      <w:r>
        <w:rPr>
          <w:rFonts w:ascii="Century Gothic" w:hAnsi="Century Gothic"/>
          <w:sz w:val="22"/>
          <w:szCs w:val="22"/>
        </w:rPr>
        <w:t>Chirurgia.</w:t>
      </w:r>
    </w:p>
    <w:p w14:paraId="526A9283" w14:textId="19547A19" w:rsidR="00E20886" w:rsidRPr="00E20886" w:rsidRDefault="00E20886" w:rsidP="00E20886">
      <w:pPr>
        <w:pStyle w:val="Odsekzoznamu"/>
        <w:numPr>
          <w:ilvl w:val="0"/>
          <w:numId w:val="71"/>
        </w:numPr>
        <w:spacing w:line="240" w:lineRule="auto"/>
        <w:rPr>
          <w:rFonts w:ascii="Century Gothic" w:hAnsi="Century Gothic"/>
          <w:sz w:val="22"/>
          <w:szCs w:val="22"/>
        </w:rPr>
      </w:pPr>
      <w:r>
        <w:rPr>
          <w:rFonts w:ascii="Century Gothic" w:hAnsi="Century Gothic"/>
          <w:sz w:val="22"/>
          <w:szCs w:val="22"/>
        </w:rPr>
        <w:t>Neurochirurgia.</w:t>
      </w:r>
    </w:p>
    <w:p w14:paraId="5D837BFD" w14:textId="030A5492" w:rsidR="00E20886" w:rsidRPr="00E20886" w:rsidRDefault="00BB692D" w:rsidP="00E20886">
      <w:pPr>
        <w:pStyle w:val="Odsekzoznamu"/>
        <w:numPr>
          <w:ilvl w:val="0"/>
          <w:numId w:val="71"/>
        </w:numPr>
        <w:spacing w:line="240" w:lineRule="auto"/>
        <w:rPr>
          <w:rFonts w:ascii="Century Gothic" w:hAnsi="Century Gothic"/>
          <w:sz w:val="22"/>
          <w:szCs w:val="22"/>
        </w:rPr>
      </w:pPr>
      <w:r>
        <w:rPr>
          <w:rFonts w:ascii="Century Gothic" w:hAnsi="Century Gothic"/>
          <w:sz w:val="22"/>
          <w:szCs w:val="22"/>
        </w:rPr>
        <w:t>Urológia.</w:t>
      </w:r>
      <w:r w:rsidR="00E20886" w:rsidRPr="00E20886">
        <w:rPr>
          <w:rFonts w:ascii="Century Gothic" w:hAnsi="Century Gothic"/>
          <w:sz w:val="22"/>
          <w:szCs w:val="22"/>
        </w:rPr>
        <w:t xml:space="preserve"> </w:t>
      </w:r>
    </w:p>
    <w:p w14:paraId="18386EEE" w14:textId="05A4C90A" w:rsidR="00E20886" w:rsidRPr="00E20886" w:rsidRDefault="00E20886" w:rsidP="00E20886">
      <w:pPr>
        <w:pStyle w:val="Odsekzoznamu"/>
        <w:numPr>
          <w:ilvl w:val="0"/>
          <w:numId w:val="71"/>
        </w:numPr>
        <w:spacing w:line="240" w:lineRule="auto"/>
        <w:rPr>
          <w:rFonts w:ascii="Century Gothic" w:hAnsi="Century Gothic"/>
          <w:sz w:val="22"/>
          <w:szCs w:val="22"/>
        </w:rPr>
      </w:pPr>
      <w:r>
        <w:rPr>
          <w:rFonts w:ascii="Century Gothic" w:hAnsi="Century Gothic"/>
          <w:sz w:val="22"/>
          <w:szCs w:val="22"/>
        </w:rPr>
        <w:t>Traumatológia.</w:t>
      </w:r>
    </w:p>
    <w:p w14:paraId="48046804" w14:textId="2D419755" w:rsidR="00E20886" w:rsidRPr="00E20886" w:rsidRDefault="00E20886" w:rsidP="00E20886">
      <w:pPr>
        <w:pStyle w:val="Odsekzoznamu"/>
        <w:numPr>
          <w:ilvl w:val="0"/>
          <w:numId w:val="71"/>
        </w:numPr>
        <w:spacing w:line="240" w:lineRule="auto"/>
        <w:rPr>
          <w:rFonts w:ascii="Century Gothic" w:hAnsi="Century Gothic"/>
          <w:sz w:val="22"/>
          <w:szCs w:val="22"/>
        </w:rPr>
      </w:pPr>
      <w:r w:rsidRPr="00E20886">
        <w:rPr>
          <w:rFonts w:ascii="Century Gothic" w:hAnsi="Century Gothic"/>
          <w:sz w:val="22"/>
          <w:szCs w:val="22"/>
        </w:rPr>
        <w:t>ORL</w:t>
      </w:r>
      <w:r>
        <w:rPr>
          <w:rFonts w:ascii="Century Gothic" w:hAnsi="Century Gothic"/>
          <w:sz w:val="22"/>
          <w:szCs w:val="22"/>
        </w:rPr>
        <w:t>.</w:t>
      </w:r>
      <w:r w:rsidRPr="00E20886">
        <w:rPr>
          <w:rFonts w:ascii="Century Gothic" w:hAnsi="Century Gothic"/>
          <w:sz w:val="22"/>
          <w:szCs w:val="22"/>
        </w:rPr>
        <w:t xml:space="preserve"> </w:t>
      </w:r>
    </w:p>
    <w:p w14:paraId="6C174D33" w14:textId="7ECCE09C" w:rsidR="00E20886" w:rsidRPr="00E20886" w:rsidRDefault="00E20886" w:rsidP="00E20886">
      <w:pPr>
        <w:pStyle w:val="Odsekzoznamu"/>
        <w:numPr>
          <w:ilvl w:val="0"/>
          <w:numId w:val="71"/>
        </w:numPr>
        <w:spacing w:line="240" w:lineRule="auto"/>
        <w:rPr>
          <w:rFonts w:ascii="Century Gothic" w:hAnsi="Century Gothic"/>
          <w:sz w:val="22"/>
          <w:szCs w:val="22"/>
        </w:rPr>
      </w:pPr>
      <w:r>
        <w:rPr>
          <w:rFonts w:ascii="Century Gothic" w:hAnsi="Century Gothic"/>
          <w:sz w:val="22"/>
          <w:szCs w:val="22"/>
        </w:rPr>
        <w:t>Ortopédia.</w:t>
      </w:r>
    </w:p>
    <w:p w14:paraId="54F97F02" w14:textId="03266665" w:rsidR="00E20886" w:rsidRPr="00E20886" w:rsidRDefault="00E20886" w:rsidP="00E20886">
      <w:pPr>
        <w:pStyle w:val="Odsekzoznamu"/>
        <w:numPr>
          <w:ilvl w:val="0"/>
          <w:numId w:val="71"/>
        </w:numPr>
        <w:spacing w:line="240" w:lineRule="auto"/>
        <w:rPr>
          <w:rFonts w:ascii="Century Gothic" w:hAnsi="Century Gothic"/>
          <w:sz w:val="22"/>
          <w:szCs w:val="22"/>
        </w:rPr>
      </w:pPr>
      <w:r w:rsidRPr="00E20886">
        <w:rPr>
          <w:rFonts w:ascii="Century Gothic" w:hAnsi="Century Gothic"/>
          <w:sz w:val="22"/>
          <w:szCs w:val="22"/>
        </w:rPr>
        <w:t>Pediatrická ortopédia</w:t>
      </w:r>
      <w:r>
        <w:rPr>
          <w:rFonts w:ascii="Century Gothic" w:hAnsi="Century Gothic"/>
          <w:sz w:val="22"/>
          <w:szCs w:val="22"/>
        </w:rPr>
        <w:t>.</w:t>
      </w:r>
      <w:r w:rsidRPr="00E20886">
        <w:rPr>
          <w:rFonts w:ascii="Century Gothic" w:hAnsi="Century Gothic"/>
          <w:sz w:val="22"/>
          <w:szCs w:val="22"/>
        </w:rPr>
        <w:t xml:space="preserve"> </w:t>
      </w:r>
    </w:p>
    <w:p w14:paraId="028A55B5" w14:textId="4A40F1A7" w:rsidR="00E20886" w:rsidRPr="00E20886" w:rsidRDefault="00E20886" w:rsidP="00E20886">
      <w:pPr>
        <w:pStyle w:val="Odsekzoznamu"/>
        <w:numPr>
          <w:ilvl w:val="0"/>
          <w:numId w:val="71"/>
        </w:numPr>
        <w:spacing w:line="240" w:lineRule="auto"/>
        <w:rPr>
          <w:rFonts w:ascii="Century Gothic" w:hAnsi="Century Gothic"/>
          <w:sz w:val="22"/>
          <w:szCs w:val="22"/>
        </w:rPr>
      </w:pPr>
      <w:r w:rsidRPr="00E20886">
        <w:rPr>
          <w:rFonts w:ascii="Century Gothic" w:hAnsi="Century Gothic"/>
          <w:sz w:val="22"/>
          <w:szCs w:val="22"/>
        </w:rPr>
        <w:t>Gyn</w:t>
      </w:r>
      <w:r>
        <w:rPr>
          <w:rFonts w:ascii="Century Gothic" w:hAnsi="Century Gothic"/>
          <w:sz w:val="22"/>
          <w:szCs w:val="22"/>
        </w:rPr>
        <w:t>ekologicko-pôrodnícke oddelenie.</w:t>
      </w:r>
    </w:p>
    <w:p w14:paraId="1006BC66" w14:textId="1222A24F" w:rsidR="00E20886" w:rsidRPr="00E20886" w:rsidRDefault="00E20886" w:rsidP="00E20886">
      <w:pPr>
        <w:pStyle w:val="Odsekzoznamu"/>
        <w:numPr>
          <w:ilvl w:val="0"/>
          <w:numId w:val="71"/>
        </w:numPr>
        <w:spacing w:line="240" w:lineRule="auto"/>
        <w:rPr>
          <w:rFonts w:ascii="Century Gothic" w:hAnsi="Century Gothic"/>
          <w:sz w:val="22"/>
          <w:szCs w:val="22"/>
        </w:rPr>
      </w:pPr>
      <w:r w:rsidRPr="00E20886">
        <w:rPr>
          <w:rFonts w:ascii="Century Gothic" w:hAnsi="Century Gothic"/>
          <w:sz w:val="22"/>
          <w:szCs w:val="22"/>
        </w:rPr>
        <w:t>N</w:t>
      </w:r>
      <w:r>
        <w:rPr>
          <w:rFonts w:ascii="Century Gothic" w:hAnsi="Century Gothic"/>
          <w:sz w:val="22"/>
          <w:szCs w:val="22"/>
        </w:rPr>
        <w:t>ovorodenecké oddelenie.</w:t>
      </w:r>
    </w:p>
    <w:p w14:paraId="70A5458C" w14:textId="77777777" w:rsidR="00E20886" w:rsidRPr="00A96674" w:rsidRDefault="00E20886" w:rsidP="00E20886">
      <w:pPr>
        <w:spacing w:line="240" w:lineRule="auto"/>
        <w:rPr>
          <w:rFonts w:ascii="Century Gothic" w:hAnsi="Century Gothic"/>
          <w:sz w:val="22"/>
          <w:szCs w:val="22"/>
        </w:rPr>
      </w:pPr>
    </w:p>
    <w:p w14:paraId="657E4723" w14:textId="77777777" w:rsidR="007B7154" w:rsidRPr="009B6A13" w:rsidRDefault="007B7154" w:rsidP="007B7154">
      <w:pPr>
        <w:spacing w:line="240" w:lineRule="auto"/>
        <w:rPr>
          <w:rStyle w:val="markedcontent"/>
          <w:rFonts w:ascii="Century Gothic" w:eastAsiaTheme="majorEastAsia" w:hAnsi="Century Gothic" w:cstheme="minorHAnsi"/>
          <w:sz w:val="22"/>
          <w:szCs w:val="22"/>
        </w:rPr>
      </w:pPr>
      <w:r w:rsidRPr="009B6A13">
        <w:rPr>
          <w:rStyle w:val="markedcontent"/>
          <w:rFonts w:ascii="Century Gothic" w:eastAsiaTheme="majorEastAsia" w:hAnsi="Century Gothic" w:cstheme="minorHAnsi"/>
          <w:sz w:val="22"/>
          <w:szCs w:val="22"/>
        </w:rPr>
        <w:t xml:space="preserve">Dostavba pavilónu pre urgentnú a akútnu zdravotnú starostlivosť dáva príležitosť pre novú a najmä modernú organizáciu tých zložiek zdravotnej starostlivosti, ktoré sú v jestvujúcej pavilónovej nemocnici nastavené zastaralo a sú viac umením možného ako by reflektovali moderné trendy v organizácii zdravotníctva. Jednotlivé inovácie sú zoradené voľne, avšak ich vzťahy sú veľmi konkrétne pomenované. </w:t>
      </w:r>
    </w:p>
    <w:p w14:paraId="387BE906" w14:textId="77777777" w:rsidR="007B7154" w:rsidRPr="009B6A13" w:rsidRDefault="007B7154" w:rsidP="007B7154">
      <w:pPr>
        <w:spacing w:line="240" w:lineRule="auto"/>
        <w:rPr>
          <w:rStyle w:val="markedcontent"/>
          <w:rFonts w:ascii="Century Gothic" w:eastAsiaTheme="majorEastAsia" w:hAnsi="Century Gothic" w:cstheme="minorHAnsi"/>
          <w:b/>
          <w:bCs/>
          <w:sz w:val="22"/>
          <w:szCs w:val="22"/>
        </w:rPr>
      </w:pPr>
    </w:p>
    <w:p w14:paraId="4AA7F1AC" w14:textId="737CFA68" w:rsidR="00761134" w:rsidRPr="00761134" w:rsidRDefault="00761134" w:rsidP="00761134">
      <w:pPr>
        <w:spacing w:line="240" w:lineRule="auto"/>
        <w:rPr>
          <w:rFonts w:ascii="Century Gothic" w:hAnsi="Century Gothic" w:cstheme="minorHAnsi"/>
          <w:b/>
          <w:bCs/>
          <w:sz w:val="22"/>
          <w:szCs w:val="22"/>
        </w:rPr>
      </w:pPr>
      <w:r>
        <w:rPr>
          <w:rFonts w:ascii="Century Gothic" w:hAnsi="Century Gothic" w:cstheme="minorHAnsi"/>
          <w:b/>
          <w:bCs/>
          <w:sz w:val="22"/>
          <w:szCs w:val="22"/>
        </w:rPr>
        <w:lastRenderedPageBreak/>
        <w:t>C</w:t>
      </w:r>
      <w:r w:rsidRPr="00761134">
        <w:rPr>
          <w:rFonts w:ascii="Century Gothic" w:hAnsi="Century Gothic" w:cstheme="minorHAnsi"/>
          <w:b/>
          <w:bCs/>
          <w:sz w:val="22"/>
          <w:szCs w:val="22"/>
        </w:rPr>
        <w:t xml:space="preserve">entrálny urgentný príjem s komplexným zabezpečením diagnostiky, </w:t>
      </w:r>
      <w:proofErr w:type="spellStart"/>
      <w:r w:rsidRPr="00761134">
        <w:rPr>
          <w:rFonts w:ascii="Century Gothic" w:hAnsi="Century Gothic" w:cstheme="minorHAnsi"/>
          <w:b/>
          <w:bCs/>
          <w:sz w:val="22"/>
          <w:szCs w:val="22"/>
        </w:rPr>
        <w:t>expektácie</w:t>
      </w:r>
      <w:proofErr w:type="spellEnd"/>
      <w:r w:rsidRPr="00761134">
        <w:rPr>
          <w:rFonts w:ascii="Century Gothic" w:hAnsi="Century Gothic" w:cstheme="minorHAnsi"/>
          <w:b/>
          <w:bCs/>
          <w:sz w:val="22"/>
          <w:szCs w:val="22"/>
        </w:rPr>
        <w:t xml:space="preserve"> a mul</w:t>
      </w:r>
      <w:r>
        <w:rPr>
          <w:rFonts w:ascii="Century Gothic" w:hAnsi="Century Gothic" w:cstheme="minorHAnsi"/>
          <w:b/>
          <w:bCs/>
          <w:sz w:val="22"/>
          <w:szCs w:val="22"/>
        </w:rPr>
        <w:t>tidisciplinárnej starostlivosti</w:t>
      </w:r>
    </w:p>
    <w:p w14:paraId="5280CC75" w14:textId="550EE1CF" w:rsidR="00761134" w:rsidRDefault="00761134" w:rsidP="00761134">
      <w:pPr>
        <w:spacing w:line="240" w:lineRule="auto"/>
        <w:rPr>
          <w:rFonts w:ascii="Century Gothic" w:hAnsi="Century Gothic"/>
          <w:sz w:val="22"/>
          <w:szCs w:val="22"/>
        </w:rPr>
      </w:pPr>
      <w:r w:rsidRPr="00A96674">
        <w:rPr>
          <w:rFonts w:ascii="Century Gothic" w:hAnsi="Century Gothic"/>
          <w:sz w:val="22"/>
          <w:szCs w:val="22"/>
        </w:rPr>
        <w:t xml:space="preserve">Pacienti prichádzajú s urgentnými/akútnymi stavmi do nemocnice cestou urgentného príjmu dvoma cestami – chodiaci  a privezení-  RLP resp. RZP. Príjazd sanitiek k Oddeleniu urgentného medicíny (OUM)  by mal byť zabezpečený tak, aby zvuk a blikanie sirén neovplyvňovali ostatných pacientov v nemocnici. Vzhľadom na túto skutočnosť musí byť logistika nastavená od začiatku diferencovane, podľa možnosti aj úplne samostatne. Pre pacientov, ktorí prídu samostatne potrebujeme koridor základného administratívneho triedenia, následnej čakárne, ambulantnej diagnostiky, ošetrenia a prepustenia domov. Variantne títo pacienti sú presunutí na </w:t>
      </w:r>
      <w:proofErr w:type="spellStart"/>
      <w:r w:rsidRPr="00A96674">
        <w:rPr>
          <w:rFonts w:ascii="Century Gothic" w:hAnsi="Century Gothic"/>
          <w:sz w:val="22"/>
          <w:szCs w:val="22"/>
        </w:rPr>
        <w:t>expektáciu</w:t>
      </w:r>
      <w:proofErr w:type="spellEnd"/>
      <w:r w:rsidRPr="00A96674">
        <w:rPr>
          <w:rFonts w:ascii="Century Gothic" w:hAnsi="Century Gothic"/>
          <w:sz w:val="22"/>
          <w:szCs w:val="22"/>
        </w:rPr>
        <w:t xml:space="preserve">, a/alebo následne prijatý na oddelenie. Pre pacientov, ktorí sú privezení, je vhodný samostatný voľný koridor na </w:t>
      </w:r>
      <w:proofErr w:type="spellStart"/>
      <w:r w:rsidRPr="00A96674">
        <w:rPr>
          <w:rFonts w:ascii="Century Gothic" w:hAnsi="Century Gothic"/>
          <w:sz w:val="22"/>
          <w:szCs w:val="22"/>
        </w:rPr>
        <w:t>expektačné</w:t>
      </w:r>
      <w:proofErr w:type="spellEnd"/>
      <w:r w:rsidRPr="00A96674">
        <w:rPr>
          <w:rFonts w:ascii="Century Gothic" w:hAnsi="Century Gothic"/>
          <w:sz w:val="22"/>
          <w:szCs w:val="22"/>
        </w:rPr>
        <w:t xml:space="preserve"> lôžko (prichádzajú na lôžku). Tu prebehne diferenciálna diagnostika, ev. liečba a/alebo sú následne prepustení domov, prijatí na oddelenie, odovzdaní na ďalší prevoz. Meritórne pre efektivitu je zabezpečenie separátnej a dobre dostupnej zobrazovacej diagnostiky (RTG, USG,CT) a rýchlych (on table) a bežných laboratórnych techník. Neoddeliteľnou a nezanedbateľnou zložkou je pobyt dostatočného personálu, ktorý je buď kmeňový (sanitári/sestry a niektorý lekári) alebo prichádza za pacientom na zavolanie (niektorí lekári). Pre všetky tieto skupiny je potrebné primerané zázemie priamo na OUM (samostatná denná časť s kuchynkou a sociálnym zariadením, samostatná, ale nadväzujúca nočná časť) – tieto musia spĺňať podmienky rýchlej reakcie a dostupnosti.</w:t>
      </w:r>
    </w:p>
    <w:p w14:paraId="36F9AD0C" w14:textId="77777777" w:rsidR="005C15FC" w:rsidRPr="00A96674" w:rsidRDefault="005C15FC" w:rsidP="00761134">
      <w:pPr>
        <w:spacing w:line="240" w:lineRule="auto"/>
        <w:rPr>
          <w:rFonts w:ascii="Century Gothic" w:hAnsi="Century Gothic"/>
          <w:sz w:val="22"/>
          <w:szCs w:val="22"/>
        </w:rPr>
      </w:pPr>
    </w:p>
    <w:p w14:paraId="3230811E" w14:textId="77777777" w:rsidR="00761134" w:rsidRPr="00A96674" w:rsidRDefault="00761134" w:rsidP="00761134">
      <w:pPr>
        <w:shd w:val="clear" w:color="auto" w:fill="FFFFFF"/>
        <w:tabs>
          <w:tab w:val="left" w:pos="720"/>
        </w:tabs>
        <w:spacing w:line="240" w:lineRule="auto"/>
        <w:rPr>
          <w:rFonts w:ascii="Century Gothic" w:hAnsi="Century Gothic"/>
          <w:sz w:val="22"/>
          <w:szCs w:val="22"/>
        </w:rPr>
      </w:pPr>
      <w:r w:rsidRPr="00A96674">
        <w:rPr>
          <w:rFonts w:ascii="Century Gothic" w:hAnsi="Century Gothic"/>
          <w:sz w:val="22"/>
          <w:szCs w:val="22"/>
        </w:rPr>
        <w:t xml:space="preserve">Urgentný príjem musí mať zabezpečený logistický koridor na ďalšiu operačnú a resuscitačnú starostlivosť, hoci základnú nechirurgickú ako aj chirurgickú liečbu musí byť možné zabezpečiť priamo na oddelení pri náhlych srdcových zástavách a veľkých krvácaniach, preto musí byť v blízkosti, ba až súčasťou, koridoru na </w:t>
      </w:r>
      <w:proofErr w:type="spellStart"/>
      <w:r w:rsidRPr="00A96674">
        <w:rPr>
          <w:rFonts w:ascii="Century Gothic" w:hAnsi="Century Gothic"/>
          <w:sz w:val="22"/>
          <w:szCs w:val="22"/>
        </w:rPr>
        <w:t>expektáciu</w:t>
      </w:r>
      <w:proofErr w:type="spellEnd"/>
      <w:r w:rsidRPr="00A96674">
        <w:rPr>
          <w:rFonts w:ascii="Century Gothic" w:hAnsi="Century Gothic"/>
          <w:sz w:val="22"/>
          <w:szCs w:val="22"/>
        </w:rPr>
        <w:t xml:space="preserve"> aj </w:t>
      </w:r>
      <w:proofErr w:type="spellStart"/>
      <w:r w:rsidRPr="00A96674">
        <w:rPr>
          <w:rFonts w:ascii="Century Gothic" w:hAnsi="Century Gothic"/>
          <w:sz w:val="22"/>
          <w:szCs w:val="22"/>
        </w:rPr>
        <w:t>zákrokovňa</w:t>
      </w:r>
      <w:proofErr w:type="spellEnd"/>
      <w:r w:rsidRPr="00A96674">
        <w:rPr>
          <w:rFonts w:ascii="Century Gothic" w:hAnsi="Century Gothic"/>
          <w:sz w:val="22"/>
          <w:szCs w:val="22"/>
        </w:rPr>
        <w:t xml:space="preserve"> s možnosťou </w:t>
      </w:r>
      <w:proofErr w:type="spellStart"/>
      <w:r w:rsidRPr="00A96674">
        <w:rPr>
          <w:rFonts w:ascii="Century Gothic" w:hAnsi="Century Gothic"/>
          <w:sz w:val="22"/>
          <w:szCs w:val="22"/>
        </w:rPr>
        <w:t>kardiopulmonálnej</w:t>
      </w:r>
      <w:proofErr w:type="spellEnd"/>
      <w:r w:rsidRPr="00A96674">
        <w:rPr>
          <w:rFonts w:ascii="Century Gothic" w:hAnsi="Century Gothic"/>
          <w:sz w:val="22"/>
          <w:szCs w:val="22"/>
        </w:rPr>
        <w:t xml:space="preserve"> resuscitácie a akútnej chirurgickej intervencie.</w:t>
      </w:r>
    </w:p>
    <w:p w14:paraId="02A4A191" w14:textId="77777777" w:rsidR="007B7154" w:rsidRPr="009B6A13" w:rsidRDefault="007B7154" w:rsidP="007B7154">
      <w:pPr>
        <w:spacing w:line="240" w:lineRule="auto"/>
        <w:rPr>
          <w:rFonts w:ascii="Century Gothic" w:hAnsi="Century Gothic" w:cstheme="minorHAnsi"/>
          <w:sz w:val="22"/>
          <w:szCs w:val="22"/>
        </w:rPr>
      </w:pPr>
    </w:p>
    <w:p w14:paraId="00D6FBA4" w14:textId="77777777" w:rsidR="007B7154" w:rsidRPr="00761134" w:rsidRDefault="007B7154" w:rsidP="007B7154">
      <w:pPr>
        <w:spacing w:line="240" w:lineRule="auto"/>
        <w:rPr>
          <w:rFonts w:ascii="Century Gothic" w:hAnsi="Century Gothic" w:cstheme="minorHAnsi"/>
          <w:sz w:val="22"/>
          <w:szCs w:val="22"/>
        </w:rPr>
      </w:pPr>
      <w:r w:rsidRPr="00761134">
        <w:rPr>
          <w:rFonts w:ascii="Century Gothic" w:hAnsi="Century Gothic" w:cstheme="minorHAnsi"/>
          <w:sz w:val="22"/>
          <w:szCs w:val="22"/>
        </w:rPr>
        <w:t>Otvorenou otázkou zostáva starostlivosť o urgentného detského pacienta. Sú dve možnosti ako k veci pristupovať – buď pediater prichádza na urgentný príjem za pacientom a v rámci tohto pracoviska sa vyčlenia priestory pre deti, alebo sa buduje samostatný urgentný príjem pre deti.</w:t>
      </w:r>
    </w:p>
    <w:p w14:paraId="52806C64" w14:textId="64C55980" w:rsidR="007B7154" w:rsidRDefault="007B7154" w:rsidP="007B7154">
      <w:pPr>
        <w:spacing w:line="240" w:lineRule="auto"/>
        <w:rPr>
          <w:rFonts w:ascii="Century Gothic" w:hAnsi="Century Gothic" w:cstheme="minorHAnsi"/>
          <w:sz w:val="22"/>
          <w:szCs w:val="22"/>
        </w:rPr>
      </w:pPr>
      <w:r w:rsidRPr="00761134">
        <w:rPr>
          <w:rFonts w:ascii="Century Gothic" w:hAnsi="Century Gothic" w:cstheme="minorHAnsi"/>
          <w:sz w:val="22"/>
          <w:szCs w:val="22"/>
        </w:rPr>
        <w:t xml:space="preserve">Vzhľadom na historické špecifiká vo </w:t>
      </w:r>
      <w:proofErr w:type="spellStart"/>
      <w:r w:rsidRPr="00761134">
        <w:rPr>
          <w:rFonts w:ascii="Century Gothic" w:hAnsi="Century Gothic" w:cstheme="minorHAnsi"/>
          <w:sz w:val="22"/>
          <w:szCs w:val="22"/>
        </w:rPr>
        <w:t>FNsP</w:t>
      </w:r>
      <w:proofErr w:type="spellEnd"/>
      <w:r w:rsidRPr="00761134">
        <w:rPr>
          <w:rFonts w:ascii="Century Gothic" w:hAnsi="Century Gothic" w:cstheme="minorHAnsi"/>
          <w:sz w:val="22"/>
          <w:szCs w:val="22"/>
        </w:rPr>
        <w:t xml:space="preserve"> Žilina sa ešte ponúka hybridný model (tretia cesta) a to zriadiť samostatný internistický (teda pediatrický v pravom slova zmysle) príjem v nadväznosti na následnú stacionárnu (</w:t>
      </w:r>
      <w:proofErr w:type="spellStart"/>
      <w:r w:rsidRPr="00761134">
        <w:rPr>
          <w:rFonts w:ascii="Century Gothic" w:hAnsi="Century Gothic" w:cstheme="minorHAnsi"/>
          <w:sz w:val="22"/>
          <w:szCs w:val="22"/>
        </w:rPr>
        <w:t>expektačnú</w:t>
      </w:r>
      <w:proofErr w:type="spellEnd"/>
      <w:r w:rsidRPr="00761134">
        <w:rPr>
          <w:rFonts w:ascii="Century Gothic" w:hAnsi="Century Gothic" w:cstheme="minorHAnsi"/>
          <w:sz w:val="22"/>
          <w:szCs w:val="22"/>
        </w:rPr>
        <w:t xml:space="preserve"> starostlivosť) a pediatrické oddelenie. Môže a nemusí mu priamo predchádzať LSPP pre deti. V tomto modeli bude potrebné doriešiť toky pacientov k zobrazovacím metodikám (susedí s dospelým </w:t>
      </w:r>
      <w:proofErr w:type="spellStart"/>
      <w:r w:rsidR="00BB692D">
        <w:rPr>
          <w:rFonts w:ascii="Century Gothic" w:hAnsi="Century Gothic" w:cstheme="minorHAnsi"/>
          <w:sz w:val="22"/>
          <w:szCs w:val="22"/>
        </w:rPr>
        <w:t>u</w:t>
      </w:r>
      <w:r w:rsidRPr="00761134">
        <w:rPr>
          <w:rFonts w:ascii="Century Gothic" w:hAnsi="Century Gothic" w:cstheme="minorHAnsi"/>
          <w:sz w:val="22"/>
          <w:szCs w:val="22"/>
        </w:rPr>
        <w:t>rgentom</w:t>
      </w:r>
      <w:proofErr w:type="spellEnd"/>
      <w:r w:rsidRPr="00761134">
        <w:rPr>
          <w:rFonts w:ascii="Century Gothic" w:hAnsi="Century Gothic" w:cstheme="minorHAnsi"/>
          <w:sz w:val="22"/>
          <w:szCs w:val="22"/>
        </w:rPr>
        <w:t xml:space="preserve">) a laboratóriám (potrubná pošta). Chirurgicko-traumatologický pacienti by mali potom vyhradenú samostatnú čakáreň v rámci dospelého </w:t>
      </w:r>
      <w:proofErr w:type="spellStart"/>
      <w:r w:rsidRPr="00761134">
        <w:rPr>
          <w:rFonts w:ascii="Century Gothic" w:hAnsi="Century Gothic" w:cstheme="minorHAnsi"/>
          <w:sz w:val="22"/>
          <w:szCs w:val="22"/>
        </w:rPr>
        <w:t>urgentu</w:t>
      </w:r>
      <w:proofErr w:type="spellEnd"/>
      <w:r w:rsidRPr="00761134">
        <w:rPr>
          <w:rFonts w:ascii="Century Gothic" w:hAnsi="Century Gothic" w:cstheme="minorHAnsi"/>
          <w:sz w:val="22"/>
          <w:szCs w:val="22"/>
        </w:rPr>
        <w:t>.</w:t>
      </w:r>
    </w:p>
    <w:p w14:paraId="23CB1071" w14:textId="77777777" w:rsidR="007B7154" w:rsidRPr="009B6A13" w:rsidRDefault="007B7154" w:rsidP="007B7154">
      <w:pPr>
        <w:spacing w:line="240" w:lineRule="auto"/>
        <w:rPr>
          <w:rFonts w:ascii="Century Gothic" w:hAnsi="Century Gothic" w:cstheme="minorHAnsi"/>
          <w:b/>
          <w:bCs/>
          <w:sz w:val="22"/>
          <w:szCs w:val="22"/>
        </w:rPr>
      </w:pPr>
    </w:p>
    <w:p w14:paraId="404276CC"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Lôžková časť pre akútne medicínske odbory</w:t>
      </w:r>
    </w:p>
    <w:p w14:paraId="50D44F58" w14:textId="6A54231E"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V rámci konsenzu boli určené tak chirurgické ako aj nechirurgické odbory akútnej zdravotnej starostlivosti do nového pavilónu. Štandard oddelenia bude daný jednolôžkovými izbami s možnosťou rozšírenia na dvojlôžkové, priestormi pre prijímanie a prepúšťanie pacientov, vyšetrovňami, skladmi a administratívnou časťou. Vzhľadom na 24 hodinovú starostlivosť v prevažne 12 a viac hodinových smenách je nevyhnutné špeciálne sa zaoberať priestormi pre personál.  Keďže tento chceme „udržať“ n</w:t>
      </w:r>
      <w:r w:rsidR="00BB692D">
        <w:rPr>
          <w:rFonts w:ascii="Century Gothic" w:hAnsi="Century Gothic" w:cstheme="minorHAnsi"/>
          <w:sz w:val="22"/>
          <w:szCs w:val="22"/>
        </w:rPr>
        <w:t>a oddelení v priamom kontakte s</w:t>
      </w:r>
      <w:r w:rsidRPr="009B6A13">
        <w:rPr>
          <w:rFonts w:ascii="Century Gothic" w:hAnsi="Century Gothic" w:cstheme="minorHAnsi"/>
          <w:sz w:val="22"/>
          <w:szCs w:val="22"/>
        </w:rPr>
        <w:t xml:space="preserve"> pacientmi, musí poskytovať vysoký štandard pre administratívnu ako aj oddychovú časť samostatne pre lekárov a pre sestry a nižší </w:t>
      </w:r>
      <w:r w:rsidRPr="009B6A13">
        <w:rPr>
          <w:rFonts w:ascii="Century Gothic" w:hAnsi="Century Gothic" w:cstheme="minorHAnsi"/>
          <w:sz w:val="22"/>
          <w:szCs w:val="22"/>
        </w:rPr>
        <w:lastRenderedPageBreak/>
        <w:t>zdravotný personál. V rámci oddelenia sa nepredpokladajú lôžka pre nočnú službu lekárov, tie budú v hotelovej časti.</w:t>
      </w:r>
    </w:p>
    <w:p w14:paraId="7BF4B7A2"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V rámci každého oddelenia sa predpokladá aj seminárna miestnosť pre potreby personálu ako aj vzdelávacích aktivít študentov.</w:t>
      </w:r>
    </w:p>
    <w:p w14:paraId="7635CBCB"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Z hľadiska izieb sa predpokladá určenie niektorých izieb ako infekčných (10-20% kapacity), ktoré budú vybavené podtlakovou výmenou vzduchu.</w:t>
      </w:r>
    </w:p>
    <w:p w14:paraId="08D81406" w14:textId="77777777" w:rsidR="007B7154" w:rsidRPr="009B6A13" w:rsidRDefault="007B7154" w:rsidP="007B7154">
      <w:pPr>
        <w:pStyle w:val="Odsekzoznamu"/>
        <w:spacing w:line="240" w:lineRule="auto"/>
        <w:rPr>
          <w:rFonts w:ascii="Century Gothic" w:hAnsi="Century Gothic" w:cstheme="minorHAnsi"/>
          <w:b/>
          <w:bCs/>
          <w:sz w:val="22"/>
          <w:szCs w:val="22"/>
        </w:rPr>
      </w:pPr>
    </w:p>
    <w:p w14:paraId="00AE9F21" w14:textId="5894F6FC" w:rsidR="005C15FC" w:rsidRPr="007E7F12" w:rsidRDefault="005C15FC" w:rsidP="005C15FC">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 xml:space="preserve">Centrálne operačné sály s novou logistikou </w:t>
      </w:r>
      <w:r w:rsidRPr="005C15FC">
        <w:rPr>
          <w:rFonts w:ascii="Century Gothic" w:hAnsi="Century Gothic" w:cstheme="minorHAnsi"/>
          <w:b/>
          <w:bCs/>
          <w:sz w:val="22"/>
          <w:szCs w:val="22"/>
        </w:rPr>
        <w:t>s integrovanými modernými technológiami s vysokou mierou elektronizácie a digitalizácie</w:t>
      </w:r>
    </w:p>
    <w:p w14:paraId="24EA0547" w14:textId="35AC08E7" w:rsidR="006D51F4" w:rsidRPr="00A96674" w:rsidRDefault="006D51F4" w:rsidP="006D51F4">
      <w:pPr>
        <w:spacing w:line="240" w:lineRule="auto"/>
        <w:rPr>
          <w:rFonts w:ascii="Century Gothic" w:hAnsi="Century Gothic"/>
          <w:sz w:val="22"/>
          <w:szCs w:val="22"/>
        </w:rPr>
      </w:pPr>
      <w:r>
        <w:rPr>
          <w:rFonts w:ascii="Century Gothic" w:hAnsi="Century Gothic"/>
          <w:sz w:val="22"/>
          <w:szCs w:val="22"/>
        </w:rPr>
        <w:t>C</w:t>
      </w:r>
      <w:r w:rsidRPr="00A96674">
        <w:rPr>
          <w:rFonts w:ascii="Century Gothic" w:hAnsi="Century Gothic"/>
          <w:sz w:val="22"/>
          <w:szCs w:val="22"/>
        </w:rPr>
        <w:t>entrálne operačné sály, vrátane hybridnej s integrovanými modernými technológiami s vysokou mierou elektronizácie a digitalizácie.</w:t>
      </w:r>
    </w:p>
    <w:p w14:paraId="6B68517F"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Centrálne operačné sály (COS)</w:t>
      </w:r>
      <w:r w:rsidRPr="00A96674">
        <w:rPr>
          <w:rFonts w:ascii="Century Gothic" w:hAnsi="Century Gothic"/>
          <w:b/>
          <w:bCs/>
          <w:sz w:val="22"/>
          <w:szCs w:val="22"/>
        </w:rPr>
        <w:t xml:space="preserve"> </w:t>
      </w:r>
      <w:r w:rsidRPr="00A96674">
        <w:rPr>
          <w:rFonts w:ascii="Century Gothic" w:hAnsi="Century Gothic"/>
          <w:sz w:val="22"/>
          <w:szCs w:val="22"/>
        </w:rPr>
        <w:t xml:space="preserve">s novou logistikou (anestéziologická príprava na operáciu je vykonávaná v mieste prípravy a dospávania pacientov). Pre špeciálne prípravy budú mať jednotlivé sály vybudované </w:t>
      </w:r>
      <w:proofErr w:type="spellStart"/>
      <w:r w:rsidRPr="00A96674">
        <w:rPr>
          <w:rFonts w:ascii="Century Gothic" w:hAnsi="Century Gothic"/>
          <w:sz w:val="22"/>
          <w:szCs w:val="22"/>
        </w:rPr>
        <w:t>predsálie</w:t>
      </w:r>
      <w:proofErr w:type="spellEnd"/>
      <w:r w:rsidRPr="00A96674">
        <w:rPr>
          <w:rFonts w:ascii="Century Gothic" w:hAnsi="Century Gothic"/>
          <w:sz w:val="22"/>
          <w:szCs w:val="22"/>
        </w:rPr>
        <w:t>.</w:t>
      </w:r>
    </w:p>
    <w:p w14:paraId="1C0B6096" w14:textId="77777777" w:rsidR="006D51F4" w:rsidRPr="00A96674" w:rsidRDefault="006D51F4" w:rsidP="006D51F4">
      <w:pPr>
        <w:spacing w:line="240" w:lineRule="auto"/>
        <w:rPr>
          <w:rFonts w:ascii="Century Gothic" w:hAnsi="Century Gothic"/>
          <w:sz w:val="22"/>
          <w:szCs w:val="22"/>
        </w:rPr>
      </w:pPr>
    </w:p>
    <w:p w14:paraId="7B85203F"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 xml:space="preserve">V rámci COS sa predpokladá vybudovanie troch typov operačných sál: </w:t>
      </w:r>
    </w:p>
    <w:p w14:paraId="6BC18A10" w14:textId="4809C0C5" w:rsidR="006D51F4" w:rsidRPr="00A96674" w:rsidRDefault="00C67E68" w:rsidP="006D51F4">
      <w:pPr>
        <w:pStyle w:val="Odsekzoznamu"/>
        <w:numPr>
          <w:ilvl w:val="0"/>
          <w:numId w:val="68"/>
        </w:numPr>
        <w:spacing w:line="240" w:lineRule="auto"/>
        <w:rPr>
          <w:rFonts w:ascii="Century Gothic" w:hAnsi="Century Gothic"/>
          <w:sz w:val="22"/>
          <w:szCs w:val="22"/>
        </w:rPr>
      </w:pPr>
      <w:r>
        <w:rPr>
          <w:rFonts w:ascii="Century Gothic" w:hAnsi="Century Gothic"/>
          <w:sz w:val="22"/>
          <w:szCs w:val="22"/>
        </w:rPr>
        <w:t>1</w:t>
      </w:r>
      <w:r w:rsidR="006D51F4" w:rsidRPr="00A96674">
        <w:rPr>
          <w:rFonts w:ascii="Century Gothic" w:hAnsi="Century Gothic"/>
          <w:sz w:val="22"/>
          <w:szCs w:val="22"/>
        </w:rPr>
        <w:t xml:space="preserve">. sály určené pre jednotlivé odbornosti (so špecifickým vybavením), </w:t>
      </w:r>
    </w:p>
    <w:p w14:paraId="7ADA72A8" w14:textId="77777777" w:rsidR="006D51F4" w:rsidRPr="00A96674" w:rsidRDefault="006D51F4" w:rsidP="006D51F4">
      <w:pPr>
        <w:pStyle w:val="Odsekzoznamu"/>
        <w:numPr>
          <w:ilvl w:val="0"/>
          <w:numId w:val="68"/>
        </w:numPr>
        <w:spacing w:line="240" w:lineRule="auto"/>
        <w:rPr>
          <w:rFonts w:ascii="Century Gothic" w:hAnsi="Century Gothic"/>
          <w:sz w:val="22"/>
          <w:szCs w:val="22"/>
        </w:rPr>
      </w:pPr>
      <w:r w:rsidRPr="00A96674">
        <w:rPr>
          <w:rFonts w:ascii="Century Gothic" w:hAnsi="Century Gothic"/>
          <w:sz w:val="22"/>
          <w:szCs w:val="22"/>
        </w:rPr>
        <w:t xml:space="preserve">2. všeobecné sály (využívajú viaceré odbornosti podľa potreby), </w:t>
      </w:r>
    </w:p>
    <w:p w14:paraId="296D9822" w14:textId="77777777" w:rsidR="006D51F4" w:rsidRPr="00A96674" w:rsidRDefault="006D51F4" w:rsidP="006D51F4">
      <w:pPr>
        <w:pStyle w:val="Odsekzoznamu"/>
        <w:numPr>
          <w:ilvl w:val="0"/>
          <w:numId w:val="68"/>
        </w:numPr>
        <w:spacing w:line="240" w:lineRule="auto"/>
        <w:rPr>
          <w:rFonts w:ascii="Century Gothic" w:hAnsi="Century Gothic"/>
          <w:sz w:val="22"/>
          <w:szCs w:val="22"/>
        </w:rPr>
      </w:pPr>
      <w:r w:rsidRPr="00A96674">
        <w:rPr>
          <w:rFonts w:ascii="Century Gothic" w:hAnsi="Century Gothic"/>
          <w:sz w:val="22"/>
          <w:szCs w:val="22"/>
        </w:rPr>
        <w:t xml:space="preserve">3. jednodňové sály (využívajú viaceré odbornosti). </w:t>
      </w:r>
    </w:p>
    <w:p w14:paraId="059E7048" w14:textId="77777777" w:rsidR="006D51F4" w:rsidRDefault="006D51F4" w:rsidP="006D51F4">
      <w:pPr>
        <w:spacing w:line="240" w:lineRule="auto"/>
        <w:rPr>
          <w:rFonts w:ascii="Century Gothic" w:hAnsi="Century Gothic"/>
          <w:sz w:val="22"/>
          <w:szCs w:val="22"/>
        </w:rPr>
      </w:pPr>
    </w:p>
    <w:p w14:paraId="6C7228FD" w14:textId="1D646345"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Podľa veľkosti sa pred</w:t>
      </w:r>
      <w:r w:rsidR="00001283">
        <w:rPr>
          <w:rFonts w:ascii="Century Gothic" w:hAnsi="Century Gothic"/>
          <w:sz w:val="22"/>
          <w:szCs w:val="22"/>
        </w:rPr>
        <w:t>pokladá, že sály 1. budú mať 45</w:t>
      </w:r>
      <w:r w:rsidRPr="00A96674">
        <w:rPr>
          <w:rFonts w:ascii="Century Gothic" w:hAnsi="Century Gothic"/>
          <w:sz w:val="22"/>
          <w:szCs w:val="22"/>
        </w:rPr>
        <w:t xml:space="preserve"> m</w:t>
      </w:r>
      <w:r w:rsidRPr="006D51F4">
        <w:rPr>
          <w:rFonts w:ascii="Century Gothic" w:hAnsi="Century Gothic"/>
          <w:sz w:val="22"/>
          <w:szCs w:val="22"/>
          <w:vertAlign w:val="superscript"/>
        </w:rPr>
        <w:t>2</w:t>
      </w:r>
      <w:r w:rsidRPr="00A96674">
        <w:rPr>
          <w:rFonts w:ascii="Century Gothic" w:hAnsi="Century Gothic"/>
          <w:sz w:val="22"/>
          <w:szCs w:val="22"/>
        </w:rPr>
        <w:t>, sály 2. 35 m</w:t>
      </w:r>
      <w:r w:rsidRPr="006D51F4">
        <w:rPr>
          <w:rFonts w:ascii="Century Gothic" w:hAnsi="Century Gothic"/>
          <w:sz w:val="22"/>
          <w:szCs w:val="22"/>
          <w:vertAlign w:val="superscript"/>
        </w:rPr>
        <w:t>2</w:t>
      </w:r>
      <w:r w:rsidRPr="00A96674">
        <w:rPr>
          <w:rFonts w:ascii="Century Gothic" w:hAnsi="Century Gothic"/>
          <w:sz w:val="22"/>
          <w:szCs w:val="22"/>
        </w:rPr>
        <w:t xml:space="preserve"> a sály 3. cca</w:t>
      </w:r>
      <w:r w:rsidR="00001283">
        <w:rPr>
          <w:rFonts w:ascii="Century Gothic" w:hAnsi="Century Gothic"/>
          <w:sz w:val="22"/>
          <w:szCs w:val="22"/>
        </w:rPr>
        <w:t>.</w:t>
      </w:r>
      <w:r w:rsidRPr="00A96674">
        <w:rPr>
          <w:rFonts w:ascii="Century Gothic" w:hAnsi="Century Gothic"/>
          <w:sz w:val="22"/>
          <w:szCs w:val="22"/>
        </w:rPr>
        <w:t xml:space="preserve"> 25-30 m</w:t>
      </w:r>
      <w:r w:rsidRPr="006D51F4">
        <w:rPr>
          <w:rFonts w:ascii="Century Gothic" w:hAnsi="Century Gothic"/>
          <w:sz w:val="22"/>
          <w:szCs w:val="22"/>
          <w:vertAlign w:val="superscript"/>
        </w:rPr>
        <w:t>2</w:t>
      </w:r>
      <w:r w:rsidRPr="00A96674">
        <w:rPr>
          <w:rFonts w:ascii="Century Gothic" w:hAnsi="Century Gothic"/>
          <w:sz w:val="22"/>
          <w:szCs w:val="22"/>
        </w:rPr>
        <w:t>.</w:t>
      </w:r>
    </w:p>
    <w:p w14:paraId="729B6D8A" w14:textId="77777777" w:rsidR="006D51F4" w:rsidRPr="00A96674" w:rsidRDefault="006D51F4" w:rsidP="006D51F4">
      <w:pPr>
        <w:spacing w:line="240" w:lineRule="auto"/>
        <w:rPr>
          <w:rFonts w:ascii="Century Gothic" w:hAnsi="Century Gothic"/>
          <w:sz w:val="22"/>
          <w:szCs w:val="22"/>
        </w:rPr>
      </w:pPr>
    </w:p>
    <w:p w14:paraId="4FC63C3F"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 xml:space="preserve">Pacienti prichádzajú z oddelení na operačnú sálu ako chodiaci, alebo na lôžku a čakajú na samotný výkon v rámci </w:t>
      </w:r>
      <w:proofErr w:type="spellStart"/>
      <w:r w:rsidRPr="00A96674">
        <w:rPr>
          <w:rFonts w:ascii="Century Gothic" w:hAnsi="Century Gothic"/>
          <w:sz w:val="22"/>
          <w:szCs w:val="22"/>
        </w:rPr>
        <w:t>premedikačnej</w:t>
      </w:r>
      <w:proofErr w:type="spellEnd"/>
      <w:r w:rsidRPr="00A96674">
        <w:rPr>
          <w:rFonts w:ascii="Century Gothic" w:hAnsi="Century Gothic"/>
          <w:sz w:val="22"/>
          <w:szCs w:val="22"/>
        </w:rPr>
        <w:t>/</w:t>
      </w:r>
      <w:proofErr w:type="spellStart"/>
      <w:r w:rsidRPr="00A96674">
        <w:rPr>
          <w:rFonts w:ascii="Century Gothic" w:hAnsi="Century Gothic"/>
          <w:sz w:val="22"/>
          <w:szCs w:val="22"/>
        </w:rPr>
        <w:t>expektačnej</w:t>
      </w:r>
      <w:proofErr w:type="spellEnd"/>
      <w:r w:rsidRPr="00A96674">
        <w:rPr>
          <w:rFonts w:ascii="Century Gothic" w:hAnsi="Century Gothic"/>
          <w:sz w:val="22"/>
          <w:szCs w:val="22"/>
        </w:rPr>
        <w:t xml:space="preserve"> spoločnej miestnosti, resp. sú špeciálne pripravovaní na </w:t>
      </w:r>
      <w:proofErr w:type="spellStart"/>
      <w:r w:rsidRPr="00A96674">
        <w:rPr>
          <w:rFonts w:ascii="Century Gothic" w:hAnsi="Century Gothic"/>
          <w:sz w:val="22"/>
          <w:szCs w:val="22"/>
        </w:rPr>
        <w:t>predsáliach</w:t>
      </w:r>
      <w:proofErr w:type="spellEnd"/>
      <w:r w:rsidRPr="00A96674">
        <w:rPr>
          <w:rFonts w:ascii="Century Gothic" w:hAnsi="Century Gothic"/>
          <w:sz w:val="22"/>
          <w:szCs w:val="22"/>
        </w:rPr>
        <w:t xml:space="preserve"> jednotlivých sál. Pacienti, ktorí po operácii vyžadujú ďalšiu resuscitačnú alebo intenzívnu liečbu, budú priamo prevezení na centrálnu JIS alebo OAIM. Bežní pacienti „dospávajú“ v </w:t>
      </w:r>
      <w:proofErr w:type="spellStart"/>
      <w:r w:rsidRPr="00A96674">
        <w:rPr>
          <w:rFonts w:ascii="Century Gothic" w:hAnsi="Century Gothic"/>
          <w:sz w:val="22"/>
          <w:szCs w:val="22"/>
        </w:rPr>
        <w:t>expektačnej</w:t>
      </w:r>
      <w:proofErr w:type="spellEnd"/>
      <w:r w:rsidRPr="00A96674">
        <w:rPr>
          <w:rFonts w:ascii="Century Gothic" w:hAnsi="Century Gothic"/>
          <w:sz w:val="22"/>
          <w:szCs w:val="22"/>
        </w:rPr>
        <w:t xml:space="preserve"> miestnosti, odkiaľ odchádzajú na jednotlivé oddelenia na lôžka.</w:t>
      </w:r>
    </w:p>
    <w:p w14:paraId="03021322"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br/>
        <w:t xml:space="preserve">Z hľadiska logistiky COS sa striktne oddelia "čisté" a "špinavé" trasy a zohľadní sa nový rozsah operácií,  aj vo vzťahu k sálam určeným pre jednodňovú chirurgiu. Z jednej strany pôjde na operačné sály tzv. čistý, teda sterilný personál, ktorý prejde spoločným filtrom a pripraví si potrebné zázemie k operácii. Z druhej strany bude zabezpečená nečistá strana s trasou odpadového hospodárstva, ktoré ústia do technického koridoru spoločne so sterilizáciou, ktorá bude plniť úlohu centrálnej sterilizácie. </w:t>
      </w:r>
    </w:p>
    <w:p w14:paraId="01A4B574" w14:textId="074BE7D0"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 xml:space="preserve">COS budú nadväzovať  na </w:t>
      </w:r>
      <w:proofErr w:type="spellStart"/>
      <w:r w:rsidRPr="00A96674">
        <w:rPr>
          <w:rFonts w:ascii="Century Gothic" w:hAnsi="Century Gothic"/>
          <w:sz w:val="22"/>
          <w:szCs w:val="22"/>
        </w:rPr>
        <w:t>endoskopické</w:t>
      </w:r>
      <w:proofErr w:type="spellEnd"/>
      <w:r w:rsidRPr="00A96674">
        <w:rPr>
          <w:rFonts w:ascii="Century Gothic" w:hAnsi="Century Gothic"/>
          <w:sz w:val="22"/>
          <w:szCs w:val="22"/>
        </w:rPr>
        <w:t xml:space="preserve"> centrum a pracoviská intervenčnej rádiológie, </w:t>
      </w:r>
      <w:proofErr w:type="spellStart"/>
      <w:r w:rsidRPr="00A96674">
        <w:rPr>
          <w:rFonts w:ascii="Century Gothic" w:hAnsi="Century Gothic"/>
          <w:sz w:val="22"/>
          <w:szCs w:val="22"/>
        </w:rPr>
        <w:t>angiológie</w:t>
      </w:r>
      <w:proofErr w:type="spellEnd"/>
      <w:r w:rsidR="005C15FC">
        <w:rPr>
          <w:rFonts w:ascii="Century Gothic" w:hAnsi="Century Gothic"/>
          <w:sz w:val="22"/>
          <w:szCs w:val="22"/>
        </w:rPr>
        <w:t>.</w:t>
      </w:r>
    </w:p>
    <w:p w14:paraId="3E7F11CD" w14:textId="77777777" w:rsidR="007B7154" w:rsidRPr="009B6A13" w:rsidRDefault="007B7154" w:rsidP="007B7154">
      <w:pPr>
        <w:spacing w:line="240" w:lineRule="auto"/>
        <w:rPr>
          <w:rFonts w:ascii="Century Gothic" w:hAnsi="Century Gothic" w:cstheme="minorHAnsi"/>
          <w:sz w:val="22"/>
          <w:szCs w:val="22"/>
        </w:rPr>
      </w:pPr>
    </w:p>
    <w:p w14:paraId="51E098BD"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V rámci COS bude tak ako na urgentnom príjme vybudované silné zázemie pre personál, s administratívnou častou a oddychovou časťou (kuchynky a sociálne zariadenia sú samozrejmosťou).</w:t>
      </w:r>
    </w:p>
    <w:p w14:paraId="01185B2E" w14:textId="77777777" w:rsidR="007B7154" w:rsidRPr="009B6A13" w:rsidRDefault="007B7154" w:rsidP="007B7154">
      <w:pPr>
        <w:spacing w:line="240" w:lineRule="auto"/>
        <w:rPr>
          <w:rFonts w:ascii="Century Gothic" w:hAnsi="Century Gothic" w:cstheme="minorHAnsi"/>
          <w:sz w:val="22"/>
          <w:szCs w:val="22"/>
        </w:rPr>
      </w:pPr>
    </w:p>
    <w:p w14:paraId="251D10D5" w14:textId="15B67A9B" w:rsidR="006D51F4" w:rsidRPr="00A96674" w:rsidRDefault="006D51F4" w:rsidP="006D51F4">
      <w:pPr>
        <w:shd w:val="clear" w:color="auto" w:fill="FFFFFF"/>
        <w:tabs>
          <w:tab w:val="left" w:pos="720"/>
        </w:tabs>
        <w:spacing w:line="240" w:lineRule="auto"/>
        <w:rPr>
          <w:rFonts w:ascii="Century Gothic" w:hAnsi="Century Gothic"/>
          <w:sz w:val="22"/>
          <w:szCs w:val="22"/>
        </w:rPr>
      </w:pPr>
      <w:r w:rsidRPr="00A96674">
        <w:rPr>
          <w:rFonts w:ascii="Century Gothic" w:hAnsi="Century Gothic"/>
          <w:sz w:val="22"/>
          <w:szCs w:val="22"/>
        </w:rPr>
        <w:t>V rámci COS bude seminárna miestnosť s </w:t>
      </w:r>
      <w:proofErr w:type="spellStart"/>
      <w:r w:rsidRPr="00A96674">
        <w:rPr>
          <w:rFonts w:ascii="Century Gothic" w:hAnsi="Century Gothic"/>
          <w:sz w:val="22"/>
          <w:szCs w:val="22"/>
        </w:rPr>
        <w:t>videoprenosovou</w:t>
      </w:r>
      <w:proofErr w:type="spellEnd"/>
      <w:r w:rsidRPr="00A96674">
        <w:rPr>
          <w:rFonts w:ascii="Century Gothic" w:hAnsi="Century Gothic"/>
          <w:sz w:val="22"/>
          <w:szCs w:val="22"/>
        </w:rPr>
        <w:t xml:space="preserve"> technikou </w:t>
      </w:r>
      <w:r w:rsidR="00BB692D">
        <w:rPr>
          <w:rFonts w:ascii="Century Gothic" w:hAnsi="Century Gothic"/>
          <w:sz w:val="22"/>
          <w:szCs w:val="22"/>
        </w:rPr>
        <w:t xml:space="preserve">s možnosťou </w:t>
      </w:r>
      <w:r w:rsidRPr="00A96674">
        <w:rPr>
          <w:rFonts w:ascii="Century Gothic" w:hAnsi="Century Gothic"/>
          <w:sz w:val="22"/>
          <w:szCs w:val="22"/>
        </w:rPr>
        <w:t>vzdelávania personálu ako aj stážistov.</w:t>
      </w:r>
    </w:p>
    <w:p w14:paraId="1516995D" w14:textId="77777777" w:rsidR="007B7154" w:rsidRPr="009B6A13" w:rsidRDefault="007B7154" w:rsidP="007B7154">
      <w:pPr>
        <w:spacing w:line="240" w:lineRule="auto"/>
        <w:rPr>
          <w:rFonts w:ascii="Century Gothic" w:hAnsi="Century Gothic" w:cstheme="minorHAnsi"/>
          <w:b/>
          <w:bCs/>
          <w:sz w:val="22"/>
          <w:szCs w:val="22"/>
        </w:rPr>
      </w:pPr>
    </w:p>
    <w:p w14:paraId="1F065094"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Organizácia jednodňovej chirurgie</w:t>
      </w:r>
    </w:p>
    <w:p w14:paraId="504DFA0B"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Vzhľadom na prudký rozvoj jednodňovej chirurgie je potrebné túto organizovať pre všetky odbory centrálne a vysoko efektívne. Pre našu potrebu navrhujeme čiastočne hybridný model, tzn. nepôjde o celkom samostatný útvar, ale pacienti budú operovaní v rámci COS. Samostatný však bude príjem a prepustenie pacientov ako </w:t>
      </w:r>
      <w:r w:rsidRPr="009B6A13">
        <w:rPr>
          <w:rFonts w:ascii="Century Gothic" w:hAnsi="Century Gothic" w:cstheme="minorHAnsi"/>
          <w:sz w:val="22"/>
          <w:szCs w:val="22"/>
        </w:rPr>
        <w:lastRenderedPageBreak/>
        <w:t xml:space="preserve">aj pred a pooperačné sledovanie v rámci samostatnej </w:t>
      </w:r>
      <w:proofErr w:type="spellStart"/>
      <w:r w:rsidRPr="009B6A13">
        <w:rPr>
          <w:rFonts w:ascii="Century Gothic" w:hAnsi="Century Gothic" w:cstheme="minorHAnsi"/>
          <w:sz w:val="22"/>
          <w:szCs w:val="22"/>
        </w:rPr>
        <w:t>subjednotky</w:t>
      </w:r>
      <w:proofErr w:type="spellEnd"/>
      <w:r w:rsidRPr="009B6A13">
        <w:rPr>
          <w:rFonts w:ascii="Century Gothic" w:hAnsi="Century Gothic" w:cstheme="minorHAnsi"/>
          <w:sz w:val="22"/>
          <w:szCs w:val="22"/>
        </w:rPr>
        <w:t xml:space="preserve">. Preto bude táto jednotka JCH nadväzovať na COS so strany, v ktorej budú vybudované sály 3. Predpokladá sa, že pracovisko bude fungovať 8, resp. max. 12 hodín denne a bude podľa jednotlivých operačných dní určené pre niektoré medicínske odbory. Nevylučuje sa však ani </w:t>
      </w:r>
      <w:proofErr w:type="spellStart"/>
      <w:r w:rsidRPr="009B6A13">
        <w:rPr>
          <w:rFonts w:ascii="Century Gothic" w:hAnsi="Century Gothic" w:cstheme="minorHAnsi"/>
          <w:sz w:val="22"/>
          <w:szCs w:val="22"/>
        </w:rPr>
        <w:t>multiodborové</w:t>
      </w:r>
      <w:proofErr w:type="spellEnd"/>
      <w:r w:rsidRPr="009B6A13">
        <w:rPr>
          <w:rFonts w:ascii="Century Gothic" w:hAnsi="Century Gothic" w:cstheme="minorHAnsi"/>
          <w:sz w:val="22"/>
          <w:szCs w:val="22"/>
        </w:rPr>
        <w:t xml:space="preserve"> využitie v jednotlivých dňoch. Výhodou bude, že medicínsky personál bude vchádzať do COS cez jeden filter a bude môcť podľa potreby pracovať na rôznych sálach v jeden deň bez potreby prezliekania sa. </w:t>
      </w:r>
    </w:p>
    <w:p w14:paraId="5A7E6A00" w14:textId="77777777" w:rsidR="007B7154" w:rsidRPr="009B6A13" w:rsidRDefault="007B7154" w:rsidP="007B7154">
      <w:pPr>
        <w:spacing w:line="240" w:lineRule="auto"/>
        <w:rPr>
          <w:rFonts w:ascii="Century Gothic" w:hAnsi="Century Gothic" w:cstheme="minorHAnsi"/>
          <w:b/>
          <w:bCs/>
          <w:sz w:val="22"/>
          <w:szCs w:val="22"/>
        </w:rPr>
      </w:pPr>
    </w:p>
    <w:p w14:paraId="08D08CAD" w14:textId="5A0F6323" w:rsidR="006D51F4" w:rsidRPr="00FA28B6" w:rsidRDefault="00FA28B6" w:rsidP="006D51F4">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 xml:space="preserve">Centralizovaná </w:t>
      </w:r>
      <w:r w:rsidRPr="00FA28B6">
        <w:rPr>
          <w:rFonts w:ascii="Century Gothic" w:hAnsi="Century Gothic" w:cstheme="minorHAnsi"/>
          <w:b/>
          <w:bCs/>
          <w:sz w:val="22"/>
          <w:szCs w:val="22"/>
        </w:rPr>
        <w:t>intenzívna starostlivosť</w:t>
      </w:r>
    </w:p>
    <w:p w14:paraId="1C8C3B4F" w14:textId="230069F6" w:rsidR="006D51F4" w:rsidRPr="00A96674" w:rsidRDefault="006D51F4" w:rsidP="006D51F4">
      <w:pPr>
        <w:spacing w:line="240" w:lineRule="auto"/>
        <w:rPr>
          <w:rFonts w:ascii="Century Gothic" w:hAnsi="Century Gothic"/>
          <w:sz w:val="22"/>
          <w:szCs w:val="22"/>
        </w:rPr>
      </w:pPr>
      <w:r w:rsidRPr="006D51F4">
        <w:rPr>
          <w:rFonts w:ascii="Century Gothic" w:hAnsi="Century Gothic"/>
          <w:sz w:val="22"/>
          <w:szCs w:val="22"/>
        </w:rPr>
        <w:t xml:space="preserve">Centralizovaná intenzívna a resuscitačná starostlivosť umožní </w:t>
      </w:r>
      <w:r w:rsidRPr="00A96674">
        <w:rPr>
          <w:rFonts w:ascii="Century Gothic" w:hAnsi="Century Gothic"/>
          <w:sz w:val="22"/>
          <w:szCs w:val="22"/>
        </w:rPr>
        <w:t>zvyšovanie bezpečnosti pacienta efektívnejším využívaním odborného personálu a technológii, rovnako zdieľanie lôžkovej kapacity.</w:t>
      </w:r>
    </w:p>
    <w:p w14:paraId="3B5E9CCE"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 xml:space="preserve">Centralizácia intenzívnej starostlivosť v rámci akútnych nemocníc prináša vyššiu efektivitu využitia zdravotníckej techniky ako aj personálu a je </w:t>
      </w:r>
      <w:proofErr w:type="spellStart"/>
      <w:r w:rsidRPr="00A96674">
        <w:rPr>
          <w:rFonts w:ascii="Century Gothic" w:hAnsi="Century Gothic"/>
          <w:sz w:val="22"/>
          <w:szCs w:val="22"/>
        </w:rPr>
        <w:t>benefitná</w:t>
      </w:r>
      <w:proofErr w:type="spellEnd"/>
      <w:r w:rsidRPr="00A96674">
        <w:rPr>
          <w:rFonts w:ascii="Century Gothic" w:hAnsi="Century Gothic"/>
          <w:sz w:val="22"/>
          <w:szCs w:val="22"/>
        </w:rPr>
        <w:t xml:space="preserve"> pre pacienta. Vzhľadom na zaužívaný modus </w:t>
      </w:r>
      <w:proofErr w:type="spellStart"/>
      <w:r w:rsidRPr="00A96674">
        <w:rPr>
          <w:rFonts w:ascii="Century Gothic" w:hAnsi="Century Gothic"/>
          <w:sz w:val="22"/>
          <w:szCs w:val="22"/>
        </w:rPr>
        <w:t>operandi</w:t>
      </w:r>
      <w:proofErr w:type="spellEnd"/>
      <w:r w:rsidRPr="00A96674">
        <w:rPr>
          <w:rFonts w:ascii="Century Gothic" w:hAnsi="Century Gothic"/>
          <w:sz w:val="22"/>
          <w:szCs w:val="22"/>
        </w:rPr>
        <w:t xml:space="preserve"> bude centrálna JIS čiastočne rozdelená medzi jednotlivé odbornosti, najmä však budú pacienti rozdeľovaní medzi „čistých“ a „špinavých“, preto bude mať dve takéto časti s rozdielnou vzduchotechnikou. </w:t>
      </w:r>
    </w:p>
    <w:p w14:paraId="37B25AEF" w14:textId="77777777" w:rsidR="006D51F4" w:rsidRPr="00A96674" w:rsidRDefault="006D51F4" w:rsidP="006D51F4">
      <w:pPr>
        <w:spacing w:line="240" w:lineRule="auto"/>
        <w:rPr>
          <w:rFonts w:ascii="Century Gothic" w:hAnsi="Century Gothic"/>
          <w:sz w:val="22"/>
          <w:szCs w:val="22"/>
        </w:rPr>
      </w:pPr>
      <w:r w:rsidRPr="00A96674">
        <w:rPr>
          <w:rFonts w:ascii="Century Gothic" w:hAnsi="Century Gothic"/>
          <w:sz w:val="22"/>
          <w:szCs w:val="22"/>
        </w:rPr>
        <w:t xml:space="preserve">Pacientov z pohľadu špecifických disciplín ošetrujú lekári jednotlivých oddelení, predpokladá sa ale aj blízky vzťah k dohľadu anestéziológov. </w:t>
      </w:r>
    </w:p>
    <w:p w14:paraId="50576355" w14:textId="77777777" w:rsidR="006D51F4" w:rsidRPr="00A96674" w:rsidRDefault="006D51F4" w:rsidP="006D51F4">
      <w:pPr>
        <w:shd w:val="clear" w:color="auto" w:fill="FFFFFF"/>
        <w:tabs>
          <w:tab w:val="left" w:pos="720"/>
        </w:tabs>
        <w:spacing w:line="240" w:lineRule="auto"/>
        <w:rPr>
          <w:rFonts w:ascii="Century Gothic" w:hAnsi="Century Gothic"/>
          <w:sz w:val="22"/>
          <w:szCs w:val="22"/>
        </w:rPr>
      </w:pPr>
      <w:r w:rsidRPr="00A96674">
        <w:rPr>
          <w:rFonts w:ascii="Century Gothic" w:hAnsi="Century Gothic"/>
          <w:sz w:val="22"/>
          <w:szCs w:val="22"/>
        </w:rPr>
        <w:t>Na vstup na JIS bude vstavaný filter, kde sa bude personál prezliekať denne do čistej bielizne, rovnako ako konziliárni lekári – títo budú musieť použiť minimálne jednorazové obleky a rukavice.</w:t>
      </w:r>
    </w:p>
    <w:p w14:paraId="61905F80" w14:textId="77777777" w:rsidR="007E7F12" w:rsidRPr="009B6A13" w:rsidRDefault="007E7F12" w:rsidP="007B7154">
      <w:pPr>
        <w:spacing w:line="240" w:lineRule="auto"/>
        <w:rPr>
          <w:rFonts w:ascii="Century Gothic" w:hAnsi="Century Gothic" w:cstheme="minorHAnsi"/>
          <w:sz w:val="22"/>
          <w:szCs w:val="22"/>
        </w:rPr>
      </w:pPr>
    </w:p>
    <w:p w14:paraId="1A48B660"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Pôrodnica a novorodenecké oddelenie</w:t>
      </w:r>
    </w:p>
    <w:p w14:paraId="72894F79" w14:textId="645B897F"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Presťahovanie pôrodnice a novorodeneckého oddelenia má výrazný potenciál zlepšiť starostlivosť o matku a novorodenca dobrým nastavením pri</w:t>
      </w:r>
      <w:r w:rsidR="004E231E">
        <w:rPr>
          <w:rFonts w:ascii="Century Gothic" w:hAnsi="Century Gothic" w:cstheme="minorHAnsi"/>
          <w:sz w:val="22"/>
          <w:szCs w:val="22"/>
        </w:rPr>
        <w:t>estorových podmienok a logistiky</w:t>
      </w:r>
      <w:r w:rsidRPr="009B6A13">
        <w:rPr>
          <w:rFonts w:ascii="Century Gothic" w:hAnsi="Century Gothic" w:cstheme="minorHAnsi"/>
          <w:sz w:val="22"/>
          <w:szCs w:val="22"/>
        </w:rPr>
        <w:t xml:space="preserve"> procesov. </w:t>
      </w:r>
      <w:proofErr w:type="spellStart"/>
      <w:r w:rsidRPr="009B6A13">
        <w:rPr>
          <w:rFonts w:ascii="Century Gothic" w:hAnsi="Century Gothic" w:cstheme="minorHAnsi"/>
          <w:sz w:val="22"/>
          <w:szCs w:val="22"/>
        </w:rPr>
        <w:t>Subjednotka</w:t>
      </w:r>
      <w:proofErr w:type="spellEnd"/>
      <w:r w:rsidRPr="009B6A13">
        <w:rPr>
          <w:rFonts w:ascii="Century Gothic" w:hAnsi="Century Gothic" w:cstheme="minorHAnsi"/>
          <w:sz w:val="22"/>
          <w:szCs w:val="22"/>
        </w:rPr>
        <w:t xml:space="preserve"> by mala susediť na jednej strane s detským oddelením (pre potrebu možných konziliárnych vyšetrení) na druhej strane s gynekológiou pre čiastočnú potrebu miešania personálu. Vzhľadom ku špecifikám pôrodu a jeho možných komplikácií je potrebné zabezpečiť v stavbe rýchly koridor k pôrodným sálam zo sanitky alebo auta a úzke spojenie štandardných pôrodných sál so sekčnou sálou (na úrovni metrov). Samozrejmé sú samostatné pôrodné boxy, samostatný trakt pre </w:t>
      </w:r>
      <w:proofErr w:type="spellStart"/>
      <w:r w:rsidRPr="009B6A13">
        <w:rPr>
          <w:rFonts w:ascii="Century Gothic" w:hAnsi="Century Gothic" w:cstheme="minorHAnsi"/>
          <w:sz w:val="22"/>
          <w:szCs w:val="22"/>
        </w:rPr>
        <w:t>rooming</w:t>
      </w:r>
      <w:proofErr w:type="spellEnd"/>
      <w:r w:rsidRPr="009B6A13">
        <w:rPr>
          <w:rFonts w:ascii="Century Gothic" w:hAnsi="Century Gothic" w:cstheme="minorHAnsi"/>
          <w:sz w:val="22"/>
          <w:szCs w:val="22"/>
        </w:rPr>
        <w:t xml:space="preserve"> fyziologických novorodencov a úzka blízkosť izieb matiek s časťou patologických novorodencov. V rámci pôrodnice musí byť významné hotelové zázemie pre personál, ktorý s logických dôvodov nemôže pôrodnicu opustiť 24/7. Zároveň je veľmi dôležité vybudovať sociálne zázemie pre otcov a ev. iných rodinných príslušníkov počas pôrodu, najmä pokiaľ zdravotný stav alebo sociálna situácia nedovoľuje ich prítomnosť pri pôrode.</w:t>
      </w:r>
    </w:p>
    <w:p w14:paraId="18BAC38E" w14:textId="77777777" w:rsidR="007B7154" w:rsidRPr="009B6A13" w:rsidRDefault="007B7154" w:rsidP="0032655A">
      <w:pPr>
        <w:pStyle w:val="Odsekzoznamu"/>
        <w:spacing w:line="240" w:lineRule="auto"/>
        <w:ind w:left="851"/>
        <w:rPr>
          <w:rFonts w:ascii="Century Gothic" w:hAnsi="Century Gothic" w:cstheme="minorHAnsi"/>
          <w:b/>
          <w:bCs/>
          <w:sz w:val="22"/>
          <w:szCs w:val="22"/>
        </w:rPr>
      </w:pPr>
    </w:p>
    <w:p w14:paraId="4FECD5F5" w14:textId="20617833" w:rsidR="007B7154" w:rsidRPr="00FA28B6" w:rsidRDefault="00761134" w:rsidP="007E7F12">
      <w:pPr>
        <w:spacing w:line="240" w:lineRule="auto"/>
        <w:rPr>
          <w:rFonts w:ascii="Century Gothic" w:hAnsi="Century Gothic" w:cstheme="minorHAnsi"/>
          <w:b/>
          <w:bCs/>
          <w:sz w:val="22"/>
          <w:szCs w:val="22"/>
        </w:rPr>
      </w:pPr>
      <w:r w:rsidRPr="00FA28B6">
        <w:rPr>
          <w:rFonts w:ascii="Century Gothic" w:hAnsi="Century Gothic" w:cstheme="minorHAnsi"/>
          <w:b/>
          <w:bCs/>
          <w:sz w:val="22"/>
          <w:szCs w:val="22"/>
        </w:rPr>
        <w:t>Grafické vyšetrenia</w:t>
      </w:r>
    </w:p>
    <w:p w14:paraId="056A0E4F" w14:textId="77777777" w:rsidR="00761134" w:rsidRPr="00A96674" w:rsidRDefault="00761134" w:rsidP="00761134">
      <w:pPr>
        <w:spacing w:line="240" w:lineRule="auto"/>
        <w:rPr>
          <w:rFonts w:ascii="Century Gothic" w:hAnsi="Century Gothic"/>
          <w:sz w:val="22"/>
          <w:szCs w:val="22"/>
        </w:rPr>
      </w:pPr>
      <w:r w:rsidRPr="00A96674">
        <w:rPr>
          <w:rFonts w:ascii="Century Gothic" w:hAnsi="Century Gothic"/>
          <w:sz w:val="22"/>
          <w:szCs w:val="22"/>
        </w:rPr>
        <w:t xml:space="preserve">V súčasnosti  je </w:t>
      </w:r>
      <w:proofErr w:type="spellStart"/>
      <w:r w:rsidRPr="00A96674">
        <w:rPr>
          <w:rFonts w:ascii="Century Gothic" w:hAnsi="Century Gothic"/>
          <w:sz w:val="22"/>
          <w:szCs w:val="22"/>
        </w:rPr>
        <w:t>rádiodiagnostické</w:t>
      </w:r>
      <w:proofErr w:type="spellEnd"/>
      <w:r w:rsidRPr="00A96674">
        <w:rPr>
          <w:rFonts w:ascii="Century Gothic" w:hAnsi="Century Gothic"/>
          <w:sz w:val="22"/>
          <w:szCs w:val="22"/>
        </w:rPr>
        <w:t xml:space="preserve"> oddelenie samostatnou jednotkou, kde prichádzajú ambulantní pacienti, pacienti z urgentného príjmu ako aj lôžkoví pacienti. Tento stav je nevyhovujúci. Zároveň je oddelenie poddimenzované priestorovo, absentuje NMR. Oddelenie preto bude rozdelené na tri jednotky, ktoré sa budú samozrejme v určitých prípadoch dopĺňať.</w:t>
      </w:r>
    </w:p>
    <w:p w14:paraId="50B3B0A9" w14:textId="6E648541" w:rsidR="00761134" w:rsidRPr="00761134" w:rsidRDefault="00761134" w:rsidP="00761134">
      <w:pPr>
        <w:spacing w:line="240" w:lineRule="auto"/>
        <w:rPr>
          <w:rFonts w:ascii="Century Gothic" w:hAnsi="Century Gothic" w:cstheme="minorHAnsi"/>
          <w:sz w:val="22"/>
          <w:szCs w:val="22"/>
        </w:rPr>
      </w:pPr>
      <w:r w:rsidRPr="00761134">
        <w:rPr>
          <w:rFonts w:ascii="Century Gothic" w:hAnsi="Century Gothic" w:cstheme="minorHAnsi"/>
          <w:sz w:val="22"/>
          <w:szCs w:val="22"/>
        </w:rPr>
        <w:t>1. Pre ambulantnú časť bude ponechané pôvodné, reorganizované oddelenie s napojením na ambulantný trakt nehospitalizovaných pacientov.</w:t>
      </w:r>
    </w:p>
    <w:p w14:paraId="188D1392" w14:textId="2D56F576" w:rsidR="00761134" w:rsidRPr="00761134" w:rsidRDefault="00761134" w:rsidP="00761134">
      <w:pPr>
        <w:spacing w:line="240" w:lineRule="auto"/>
        <w:rPr>
          <w:rFonts w:ascii="Century Gothic" w:hAnsi="Century Gothic" w:cstheme="minorHAnsi"/>
          <w:sz w:val="22"/>
          <w:szCs w:val="22"/>
        </w:rPr>
      </w:pPr>
      <w:r w:rsidRPr="00761134">
        <w:rPr>
          <w:rFonts w:ascii="Century Gothic" w:hAnsi="Century Gothic" w:cstheme="minorHAnsi"/>
          <w:sz w:val="22"/>
          <w:szCs w:val="22"/>
        </w:rPr>
        <w:t xml:space="preserve">2. Pre nemocničnú časť bude zabezpečovať druhá </w:t>
      </w:r>
      <w:proofErr w:type="spellStart"/>
      <w:r w:rsidRPr="00761134">
        <w:rPr>
          <w:rFonts w:ascii="Century Gothic" w:hAnsi="Century Gothic" w:cstheme="minorHAnsi"/>
          <w:sz w:val="22"/>
          <w:szCs w:val="22"/>
        </w:rPr>
        <w:t>podjednotka</w:t>
      </w:r>
      <w:proofErr w:type="spellEnd"/>
      <w:r w:rsidRPr="00761134">
        <w:rPr>
          <w:rFonts w:ascii="Century Gothic" w:hAnsi="Century Gothic" w:cstheme="minorHAnsi"/>
          <w:sz w:val="22"/>
          <w:szCs w:val="22"/>
        </w:rPr>
        <w:t xml:space="preserve">, kde bude zriadené samostatné CT a NMR pracovisko. </w:t>
      </w:r>
    </w:p>
    <w:p w14:paraId="77348926" w14:textId="2FABD587" w:rsidR="00761134" w:rsidRPr="00761134" w:rsidRDefault="00761134" w:rsidP="00761134">
      <w:pPr>
        <w:spacing w:line="240" w:lineRule="auto"/>
        <w:rPr>
          <w:rFonts w:ascii="Century Gothic" w:hAnsi="Century Gothic" w:cstheme="minorHAnsi"/>
          <w:sz w:val="22"/>
          <w:szCs w:val="22"/>
        </w:rPr>
      </w:pPr>
      <w:r w:rsidRPr="00761134">
        <w:rPr>
          <w:rFonts w:ascii="Century Gothic" w:hAnsi="Century Gothic" w:cstheme="minorHAnsi"/>
          <w:sz w:val="22"/>
          <w:szCs w:val="22"/>
        </w:rPr>
        <w:lastRenderedPageBreak/>
        <w:t>3. Na oddelení urgentnej medicíny bude zriadené tretie pracovisko s USG, RTG a CT. Od takejto organizácie si sľubujeme lepšiu dostupnosť v čase a priestore pre pacienta, ako aj šetrenie času personálu.</w:t>
      </w:r>
    </w:p>
    <w:p w14:paraId="357E7117" w14:textId="77777777" w:rsidR="00761134" w:rsidRPr="00A96674" w:rsidRDefault="00761134" w:rsidP="00761134">
      <w:pPr>
        <w:spacing w:line="240" w:lineRule="auto"/>
        <w:rPr>
          <w:rFonts w:ascii="Century Gothic" w:hAnsi="Century Gothic"/>
          <w:b/>
          <w:bCs/>
          <w:sz w:val="22"/>
          <w:szCs w:val="22"/>
          <w:u w:val="single"/>
        </w:rPr>
      </w:pPr>
    </w:p>
    <w:p w14:paraId="00BFCA16" w14:textId="1DECE3F2" w:rsidR="00761134" w:rsidRPr="00A96674" w:rsidRDefault="00761134" w:rsidP="00761134">
      <w:pPr>
        <w:spacing w:line="240" w:lineRule="auto"/>
        <w:rPr>
          <w:rFonts w:ascii="Century Gothic" w:hAnsi="Century Gothic"/>
          <w:sz w:val="22"/>
          <w:szCs w:val="22"/>
        </w:rPr>
      </w:pPr>
      <w:r w:rsidRPr="00A96674">
        <w:rPr>
          <w:rFonts w:ascii="Century Gothic" w:hAnsi="Century Gothic"/>
          <w:sz w:val="22"/>
          <w:szCs w:val="22"/>
        </w:rPr>
        <w:t xml:space="preserve">Poskytovanie zdravotnej starostlivosti urgentným a akútnym pacientom je silno naviazané na dostupnú a skorú diagnostiku. V rámci pavilónu bude preto realizovaná centrálna laboratórna diagnostika, ktorá združí všetky metodiky (hematológia, biochémia, mikrobiológia, genetika a iné špeciálne) na jedno miesto. Týmto sa dosiahne optimalizácia procesu uvedených služieb v čase ako aj optimalizácia personálneho a prístrojového vybavenia. V tejto súvislosti je veľmi dôležité posilnenie logistických nástrojov, nakoľko manuálne prenášanie vzoriek je potenciálnym zdrojom zdržaní ako aj znehodnotení výsledkov. Bude preto vybudovaný taký systém potrubnej pošty, ktorý zabezpečí automatizovanú prepravu vzoriek </w:t>
      </w:r>
      <w:r>
        <w:rPr>
          <w:rFonts w:ascii="Century Gothic" w:hAnsi="Century Gothic"/>
          <w:sz w:val="22"/>
          <w:szCs w:val="22"/>
        </w:rPr>
        <w:t xml:space="preserve">do laboratórií a bude mať </w:t>
      </w:r>
      <w:r w:rsidRPr="00A96674">
        <w:rPr>
          <w:rFonts w:ascii="Century Gothic" w:hAnsi="Century Gothic"/>
          <w:sz w:val="22"/>
          <w:szCs w:val="22"/>
        </w:rPr>
        <w:t>potenciál aj iných služieb.</w:t>
      </w:r>
    </w:p>
    <w:p w14:paraId="5E18CDC0" w14:textId="77777777" w:rsidR="007B7154" w:rsidRPr="009B6A13" w:rsidRDefault="007B7154" w:rsidP="007B7154">
      <w:pPr>
        <w:spacing w:line="240" w:lineRule="auto"/>
        <w:rPr>
          <w:rFonts w:ascii="Century Gothic" w:hAnsi="Century Gothic" w:cstheme="minorHAnsi"/>
          <w:sz w:val="22"/>
          <w:szCs w:val="22"/>
        </w:rPr>
      </w:pPr>
    </w:p>
    <w:p w14:paraId="789A2074"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Organizácia starostlivosti o deti a dorast</w:t>
      </w:r>
    </w:p>
    <w:p w14:paraId="4BDBFCF3" w14:textId="5474A394" w:rsidR="007B7154" w:rsidRPr="009B6A13" w:rsidRDefault="004E231E" w:rsidP="007B7154">
      <w:pPr>
        <w:spacing w:line="240" w:lineRule="auto"/>
        <w:rPr>
          <w:rFonts w:ascii="Century Gothic" w:hAnsi="Century Gothic" w:cstheme="minorHAnsi"/>
          <w:sz w:val="22"/>
          <w:szCs w:val="22"/>
        </w:rPr>
      </w:pPr>
      <w:r>
        <w:rPr>
          <w:rFonts w:ascii="Century Gothic" w:hAnsi="Century Gothic" w:cstheme="minorHAnsi"/>
          <w:sz w:val="22"/>
          <w:szCs w:val="22"/>
        </w:rPr>
        <w:t>V súčasnosti</w:t>
      </w:r>
      <w:r w:rsidRPr="009B6A13">
        <w:rPr>
          <w:rFonts w:ascii="Century Gothic" w:hAnsi="Century Gothic" w:cstheme="minorHAnsi"/>
          <w:sz w:val="22"/>
          <w:szCs w:val="22"/>
        </w:rPr>
        <w:t xml:space="preserve"> </w:t>
      </w:r>
      <w:r w:rsidR="007B7154" w:rsidRPr="009B6A13">
        <w:rPr>
          <w:rFonts w:ascii="Century Gothic" w:hAnsi="Century Gothic" w:cstheme="minorHAnsi"/>
          <w:sz w:val="22"/>
          <w:szCs w:val="22"/>
        </w:rPr>
        <w:t xml:space="preserve">existujúci pavilón pre deti a dorast spolu s detskou ortopédiou sú jediné na deti špecializované prevádzky v rámci </w:t>
      </w:r>
      <w:proofErr w:type="spellStart"/>
      <w:r w:rsidR="007B7154" w:rsidRPr="009B6A13">
        <w:rPr>
          <w:rFonts w:ascii="Century Gothic" w:hAnsi="Century Gothic" w:cstheme="minorHAnsi"/>
          <w:sz w:val="22"/>
          <w:szCs w:val="22"/>
        </w:rPr>
        <w:t>FNsP</w:t>
      </w:r>
      <w:proofErr w:type="spellEnd"/>
      <w:r w:rsidR="007B7154" w:rsidRPr="009B6A13">
        <w:rPr>
          <w:rFonts w:ascii="Century Gothic" w:hAnsi="Century Gothic" w:cstheme="minorHAnsi"/>
          <w:sz w:val="22"/>
          <w:szCs w:val="22"/>
        </w:rPr>
        <w:t>. To však neznamen</w:t>
      </w:r>
      <w:r w:rsidR="00FD3881">
        <w:rPr>
          <w:rFonts w:ascii="Century Gothic" w:hAnsi="Century Gothic" w:cstheme="minorHAnsi"/>
          <w:sz w:val="22"/>
          <w:szCs w:val="22"/>
        </w:rPr>
        <w:t>á, že starostlivosť o deti nepr</w:t>
      </w:r>
      <w:r w:rsidR="007B7154" w:rsidRPr="009B6A13">
        <w:rPr>
          <w:rFonts w:ascii="Century Gothic" w:hAnsi="Century Gothic" w:cstheme="minorHAnsi"/>
          <w:sz w:val="22"/>
          <w:szCs w:val="22"/>
        </w:rPr>
        <w:t xml:space="preserve">ebieha aj na iných oddeleniach  - </w:t>
      </w:r>
      <w:r w:rsidR="00BB692D">
        <w:rPr>
          <w:rFonts w:ascii="Century Gothic" w:hAnsi="Century Gothic" w:cstheme="minorHAnsi"/>
          <w:sz w:val="22"/>
          <w:szCs w:val="22"/>
        </w:rPr>
        <w:t>najmä ORL, urológia, chirurgia,</w:t>
      </w:r>
      <w:r w:rsidR="007B7154" w:rsidRPr="009B6A13">
        <w:rPr>
          <w:rFonts w:ascii="Century Gothic" w:hAnsi="Century Gothic" w:cstheme="minorHAnsi"/>
          <w:sz w:val="22"/>
          <w:szCs w:val="22"/>
        </w:rPr>
        <w:t xml:space="preserve"> neurochirurgia. Stavba dáva príležitosť zlepšiť organizáciu starostlivosti pre detských pacientov ako aj samotný komfort pre deti a ich rodičov. Jednou </w:t>
      </w:r>
      <w:proofErr w:type="spellStart"/>
      <w:r w:rsidR="007B7154" w:rsidRPr="009B6A13">
        <w:rPr>
          <w:rFonts w:ascii="Century Gothic" w:hAnsi="Century Gothic" w:cstheme="minorHAnsi"/>
          <w:sz w:val="22"/>
          <w:szCs w:val="22"/>
        </w:rPr>
        <w:t>variantou</w:t>
      </w:r>
      <w:proofErr w:type="spellEnd"/>
      <w:r w:rsidR="007B7154" w:rsidRPr="009B6A13">
        <w:rPr>
          <w:rFonts w:ascii="Century Gothic" w:hAnsi="Century Gothic" w:cstheme="minorHAnsi"/>
          <w:sz w:val="22"/>
          <w:szCs w:val="22"/>
        </w:rPr>
        <w:t xml:space="preserve"> je vytvoriť samostatné krídlo pre deti, kde by sa presťahovala pediatria so svojim stacionárom a urgentnou ambulanciou, následne by sa k tejto pridružila detská ortopédia ako samostatný celok, avšak pod jednu ošetrovaciu jednotku by bolo možné vsunúť aj tra</w:t>
      </w:r>
      <w:r w:rsidR="00FA28B6">
        <w:rPr>
          <w:rFonts w:ascii="Century Gothic" w:hAnsi="Century Gothic" w:cstheme="minorHAnsi"/>
          <w:sz w:val="22"/>
          <w:szCs w:val="22"/>
        </w:rPr>
        <w:t>u</w:t>
      </w:r>
      <w:r w:rsidR="007B7154" w:rsidRPr="009B6A13">
        <w:rPr>
          <w:rFonts w:ascii="Century Gothic" w:hAnsi="Century Gothic" w:cstheme="minorHAnsi"/>
          <w:sz w:val="22"/>
          <w:szCs w:val="22"/>
        </w:rPr>
        <w:t>matologických pacientov. Ako samostatné oddelenie (ale len z pohľadu ošetrovateľského) by sa zriadilo oddelenie chirurgických disciplín, kde by boli hospitalizovaní všetci detský pacienti napr. do 15 rokov a jednotliví ošetrujúci lekári by ich mali v starostlivosti.</w:t>
      </w:r>
    </w:p>
    <w:p w14:paraId="5183C507"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Podobnou témou je aj zriadení detských dní jednodňovej chirurgie, kde by paralelne cez jeden filter prichádzali detskí pacienti s rodičmi multiodborovo.</w:t>
      </w:r>
    </w:p>
    <w:p w14:paraId="472A73B6" w14:textId="77777777" w:rsidR="007B7154" w:rsidRPr="009B6A13" w:rsidRDefault="007B7154" w:rsidP="007B7154">
      <w:pPr>
        <w:spacing w:line="240" w:lineRule="auto"/>
        <w:rPr>
          <w:rFonts w:ascii="Century Gothic" w:hAnsi="Century Gothic" w:cstheme="minorHAnsi"/>
          <w:sz w:val="22"/>
          <w:szCs w:val="22"/>
        </w:rPr>
      </w:pPr>
    </w:p>
    <w:p w14:paraId="42A5E29C" w14:textId="77777777" w:rsidR="007B7154" w:rsidRPr="007E7F12" w:rsidRDefault="007B7154" w:rsidP="007E7F12">
      <w:pPr>
        <w:spacing w:line="240" w:lineRule="auto"/>
        <w:rPr>
          <w:rFonts w:ascii="Century Gothic" w:hAnsi="Century Gothic" w:cstheme="minorHAnsi"/>
          <w:b/>
          <w:bCs/>
          <w:sz w:val="22"/>
          <w:szCs w:val="22"/>
        </w:rPr>
      </w:pPr>
      <w:r w:rsidRPr="007E7F12">
        <w:rPr>
          <w:rFonts w:ascii="Century Gothic" w:hAnsi="Century Gothic" w:cstheme="minorHAnsi"/>
          <w:b/>
          <w:bCs/>
          <w:sz w:val="22"/>
          <w:szCs w:val="22"/>
        </w:rPr>
        <w:t>Nemocničná lekáreň s robotizáciou UDS</w:t>
      </w:r>
    </w:p>
    <w:p w14:paraId="70F35E2D" w14:textId="77777777" w:rsidR="007B7154" w:rsidRPr="009B6A13"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Už v roku 2015 si dala </w:t>
      </w:r>
      <w:proofErr w:type="spellStart"/>
      <w:r w:rsidRPr="009B6A13">
        <w:rPr>
          <w:rFonts w:ascii="Century Gothic" w:hAnsi="Century Gothic" w:cstheme="minorHAnsi"/>
          <w:sz w:val="22"/>
          <w:szCs w:val="22"/>
        </w:rPr>
        <w:t>FNsP</w:t>
      </w:r>
      <w:proofErr w:type="spellEnd"/>
      <w:r w:rsidRPr="009B6A13">
        <w:rPr>
          <w:rFonts w:ascii="Century Gothic" w:hAnsi="Century Gothic" w:cstheme="minorHAnsi"/>
          <w:sz w:val="22"/>
          <w:szCs w:val="22"/>
        </w:rPr>
        <w:t xml:space="preserve"> Žilina vypracovať štúdiu realizovateľnosti optimalizácie lekárenskej starostlivosti ako aj </w:t>
      </w:r>
      <w:proofErr w:type="spellStart"/>
      <w:r w:rsidRPr="009B6A13">
        <w:rPr>
          <w:rFonts w:ascii="Century Gothic" w:hAnsi="Century Gothic" w:cstheme="minorHAnsi"/>
          <w:sz w:val="22"/>
          <w:szCs w:val="22"/>
        </w:rPr>
        <w:t>vnútronemocničného</w:t>
      </w:r>
      <w:proofErr w:type="spellEnd"/>
      <w:r w:rsidRPr="009B6A13">
        <w:rPr>
          <w:rFonts w:ascii="Century Gothic" w:hAnsi="Century Gothic" w:cstheme="minorHAnsi"/>
          <w:sz w:val="22"/>
          <w:szCs w:val="22"/>
        </w:rPr>
        <w:t xml:space="preserve"> podávania liekov vo vzťahu k potencionálnym benefitom na poli lekárenskej služby pre verejnosť (finančné benefity) a pre lôžkových pacientov (medicínske a finančné benefity). Z uvedenej štúdie vyplývala potreba vlastníctva verejných lekární v areáli, ktorá sa realizovala v časti vlastníckych vzťahov, nie robotizácie. </w:t>
      </w:r>
    </w:p>
    <w:p w14:paraId="4370C694" w14:textId="45847552" w:rsidR="007B7154" w:rsidRDefault="007B7154" w:rsidP="007B7154">
      <w:pPr>
        <w:spacing w:line="240" w:lineRule="auto"/>
        <w:rPr>
          <w:rFonts w:ascii="Century Gothic" w:hAnsi="Century Gothic" w:cstheme="minorHAnsi"/>
          <w:sz w:val="22"/>
          <w:szCs w:val="22"/>
        </w:rPr>
      </w:pPr>
      <w:r w:rsidRPr="009B6A13">
        <w:rPr>
          <w:rFonts w:ascii="Century Gothic" w:hAnsi="Century Gothic" w:cstheme="minorHAnsi"/>
          <w:sz w:val="22"/>
          <w:szCs w:val="22"/>
        </w:rPr>
        <w:t xml:space="preserve">V prípravnej fáze bola aj diskusia o potrebe reorganizácie lekárenskej starostlivosti vo vzťahu k lôžkovým pacientom, ktorá sa nerealizovala, hoci dáta ukazovali veľmi perspektívne výsledky. Výstupmi tejto vetvy projektu mala byť kompletná elektronická </w:t>
      </w:r>
      <w:proofErr w:type="spellStart"/>
      <w:r w:rsidRPr="009B6A13">
        <w:rPr>
          <w:rFonts w:ascii="Century Gothic" w:hAnsi="Century Gothic" w:cstheme="minorHAnsi"/>
          <w:sz w:val="22"/>
          <w:szCs w:val="22"/>
        </w:rPr>
        <w:t>preskripcia</w:t>
      </w:r>
      <w:proofErr w:type="spellEnd"/>
      <w:r w:rsidRPr="009B6A13">
        <w:rPr>
          <w:rFonts w:ascii="Century Gothic" w:hAnsi="Century Gothic" w:cstheme="minorHAnsi"/>
          <w:sz w:val="22"/>
          <w:szCs w:val="22"/>
        </w:rPr>
        <w:t xml:space="preserve"> liekov naviazaná na skladovú politiku nemocničnej lekárne a </w:t>
      </w:r>
      <w:proofErr w:type="spellStart"/>
      <w:r w:rsidRPr="009B6A13">
        <w:rPr>
          <w:rFonts w:ascii="Century Gothic" w:hAnsi="Century Gothic" w:cstheme="minorHAnsi"/>
          <w:sz w:val="22"/>
          <w:szCs w:val="22"/>
        </w:rPr>
        <w:t>medzisklady</w:t>
      </w:r>
      <w:proofErr w:type="spellEnd"/>
      <w:r w:rsidRPr="009B6A13">
        <w:rPr>
          <w:rFonts w:ascii="Century Gothic" w:hAnsi="Century Gothic" w:cstheme="minorHAnsi"/>
          <w:sz w:val="22"/>
          <w:szCs w:val="22"/>
        </w:rPr>
        <w:t xml:space="preserve"> jednotlivých oddelení a/najmä robotizácia prípravy a podávania liekov UDS (</w:t>
      </w:r>
      <w:proofErr w:type="spellStart"/>
      <w:r w:rsidRPr="009B6A13">
        <w:rPr>
          <w:rFonts w:ascii="Century Gothic" w:hAnsi="Century Gothic" w:cstheme="minorHAnsi"/>
          <w:sz w:val="22"/>
          <w:szCs w:val="22"/>
        </w:rPr>
        <w:t>Unit</w:t>
      </w:r>
      <w:proofErr w:type="spellEnd"/>
      <w:r w:rsidRPr="009B6A13">
        <w:rPr>
          <w:rFonts w:ascii="Century Gothic" w:hAnsi="Century Gothic" w:cstheme="minorHAnsi"/>
          <w:sz w:val="22"/>
          <w:szCs w:val="22"/>
        </w:rPr>
        <w:t xml:space="preserve"> </w:t>
      </w:r>
      <w:proofErr w:type="spellStart"/>
      <w:r w:rsidRPr="009B6A13">
        <w:rPr>
          <w:rFonts w:ascii="Century Gothic" w:hAnsi="Century Gothic" w:cstheme="minorHAnsi"/>
          <w:sz w:val="22"/>
          <w:szCs w:val="22"/>
        </w:rPr>
        <w:t>Dose</w:t>
      </w:r>
      <w:proofErr w:type="spellEnd"/>
      <w:r w:rsidRPr="009B6A13">
        <w:rPr>
          <w:rFonts w:ascii="Century Gothic" w:hAnsi="Century Gothic" w:cstheme="minorHAnsi"/>
          <w:sz w:val="22"/>
          <w:szCs w:val="22"/>
        </w:rPr>
        <w:t xml:space="preserve"> </w:t>
      </w:r>
      <w:proofErr w:type="spellStart"/>
      <w:r w:rsidRPr="009B6A13">
        <w:rPr>
          <w:rFonts w:ascii="Century Gothic" w:hAnsi="Century Gothic" w:cstheme="minorHAnsi"/>
          <w:sz w:val="22"/>
          <w:szCs w:val="22"/>
        </w:rPr>
        <w:t>System</w:t>
      </w:r>
      <w:proofErr w:type="spellEnd"/>
      <w:r w:rsidRPr="009B6A13">
        <w:rPr>
          <w:rFonts w:ascii="Century Gothic" w:hAnsi="Century Gothic" w:cstheme="minorHAnsi"/>
          <w:sz w:val="22"/>
          <w:szCs w:val="22"/>
        </w:rPr>
        <w:t xml:space="preserve">). Systém má potenciál šetriť prácu lekárov a sestier, odstrániť medicínske chyby v podávaní liekov ako aj optimalizovať nákupy, skladové hospodárstvo a predchádzať liekovým </w:t>
      </w:r>
      <w:proofErr w:type="spellStart"/>
      <w:r w:rsidRPr="009B6A13">
        <w:rPr>
          <w:rFonts w:ascii="Century Gothic" w:hAnsi="Century Gothic" w:cstheme="minorHAnsi"/>
          <w:sz w:val="22"/>
          <w:szCs w:val="22"/>
        </w:rPr>
        <w:t>expiráciám</w:t>
      </w:r>
      <w:proofErr w:type="spellEnd"/>
      <w:r w:rsidRPr="009B6A13">
        <w:rPr>
          <w:rFonts w:ascii="Century Gothic" w:hAnsi="Century Gothic" w:cstheme="minorHAnsi"/>
          <w:sz w:val="22"/>
          <w:szCs w:val="22"/>
        </w:rPr>
        <w:t xml:space="preserve"> a iným znehodnoteniam. </w:t>
      </w:r>
      <w:r w:rsidR="00FD3881" w:rsidRPr="009B6A13">
        <w:rPr>
          <w:rFonts w:ascii="Century Gothic" w:hAnsi="Century Gothic" w:cstheme="minorHAnsi"/>
          <w:sz w:val="22"/>
          <w:szCs w:val="22"/>
        </w:rPr>
        <w:t>Medzičasom</w:t>
      </w:r>
      <w:r w:rsidRPr="009B6A13">
        <w:rPr>
          <w:rFonts w:ascii="Century Gothic" w:hAnsi="Century Gothic" w:cstheme="minorHAnsi"/>
          <w:sz w:val="22"/>
          <w:szCs w:val="22"/>
        </w:rPr>
        <w:t xml:space="preserve"> bol tento systém po prvý raz v SR realizovaný v NsP Michalovce a pripravuje sa aj inde. V čase realizácie tohto projektu je potrebné vytvoriť podmienky a najlepšie aj realizovať tento systém v plnej miere.</w:t>
      </w:r>
    </w:p>
    <w:p w14:paraId="05959319" w14:textId="77777777" w:rsidR="00761134" w:rsidRDefault="00761134" w:rsidP="007B7154">
      <w:pPr>
        <w:spacing w:line="240" w:lineRule="auto"/>
        <w:rPr>
          <w:rFonts w:ascii="Century Gothic" w:hAnsi="Century Gothic" w:cstheme="minorHAnsi"/>
          <w:sz w:val="22"/>
          <w:szCs w:val="22"/>
        </w:rPr>
      </w:pPr>
    </w:p>
    <w:p w14:paraId="40656455" w14:textId="77777777" w:rsidR="007B7154" w:rsidRPr="00E0451E"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44" w:name="_Toc145219970"/>
      <w:r w:rsidRPr="00E0451E">
        <w:rPr>
          <w:rFonts w:ascii="Century Gothic" w:hAnsi="Century Gothic" w:cs="Calibri Light"/>
          <w:b w:val="0"/>
          <w:bCs w:val="0"/>
          <w:color w:val="365F91" w:themeColor="accent1" w:themeShade="BF"/>
          <w:lang w:eastAsia="en-US"/>
        </w:rPr>
        <w:lastRenderedPageBreak/>
        <w:t>Lokalizácia nového pavilónu</w:t>
      </w:r>
      <w:bookmarkEnd w:id="144"/>
    </w:p>
    <w:p w14:paraId="0CC6EF24" w14:textId="05F81A20" w:rsidR="007B7154" w:rsidRDefault="007B7154" w:rsidP="007B7154">
      <w:pPr>
        <w:spacing w:line="240" w:lineRule="auto"/>
        <w:rPr>
          <w:rFonts w:ascii="Century Gothic" w:hAnsi="Century Gothic" w:cstheme="majorHAnsi"/>
        </w:rPr>
      </w:pPr>
    </w:p>
    <w:p w14:paraId="12336634" w14:textId="77777777" w:rsidR="00DE4959" w:rsidRPr="00DE4959" w:rsidRDefault="00DE4959" w:rsidP="00DE4959">
      <w:pPr>
        <w:autoSpaceDE w:val="0"/>
        <w:autoSpaceDN w:val="0"/>
        <w:adjustRightInd w:val="0"/>
        <w:spacing w:line="240" w:lineRule="auto"/>
        <w:jc w:val="left"/>
        <w:rPr>
          <w:rFonts w:ascii="Century Gothic" w:hAnsi="Century Gothic" w:cstheme="majorHAnsi"/>
          <w:sz w:val="22"/>
          <w:szCs w:val="22"/>
        </w:rPr>
      </w:pPr>
      <w:r w:rsidRPr="00DE4959">
        <w:rPr>
          <w:rFonts w:ascii="Century Gothic" w:hAnsi="Century Gothic" w:cstheme="majorHAnsi"/>
          <w:sz w:val="22"/>
          <w:szCs w:val="22"/>
        </w:rPr>
        <w:t>Nový pavilón je situovaný v rámci existujúceho areálu konkrétne na území:</w:t>
      </w:r>
    </w:p>
    <w:p w14:paraId="55BE233B" w14:textId="77777777" w:rsidR="00DE4959" w:rsidRPr="00DE4959" w:rsidRDefault="00DE4959" w:rsidP="00DE4959">
      <w:pPr>
        <w:autoSpaceDE w:val="0"/>
        <w:autoSpaceDN w:val="0"/>
        <w:adjustRightInd w:val="0"/>
        <w:spacing w:line="240" w:lineRule="auto"/>
        <w:jc w:val="left"/>
        <w:rPr>
          <w:rFonts w:ascii="Century Gothic" w:hAnsi="Century Gothic" w:cstheme="majorHAnsi"/>
          <w:sz w:val="22"/>
          <w:szCs w:val="22"/>
        </w:rPr>
      </w:pPr>
      <w:r w:rsidRPr="00DE4959">
        <w:rPr>
          <w:rFonts w:ascii="Century Gothic" w:hAnsi="Century Gothic" w:cstheme="majorHAnsi"/>
          <w:sz w:val="22"/>
          <w:szCs w:val="22"/>
        </w:rPr>
        <w:t xml:space="preserve">Stavba : Pavilón urgentnej medicíny </w:t>
      </w:r>
      <w:proofErr w:type="spellStart"/>
      <w:r w:rsidRPr="00DE4959">
        <w:rPr>
          <w:rFonts w:ascii="Century Gothic" w:hAnsi="Century Gothic" w:cstheme="majorHAnsi"/>
          <w:sz w:val="22"/>
          <w:szCs w:val="22"/>
        </w:rPr>
        <w:t>FNsP</w:t>
      </w:r>
      <w:proofErr w:type="spellEnd"/>
      <w:r w:rsidRPr="00DE4959">
        <w:rPr>
          <w:rFonts w:ascii="Century Gothic" w:hAnsi="Century Gothic" w:cstheme="majorHAnsi"/>
          <w:sz w:val="22"/>
          <w:szCs w:val="22"/>
        </w:rPr>
        <w:t xml:space="preserve"> Žilina</w:t>
      </w:r>
    </w:p>
    <w:p w14:paraId="7A5A651F" w14:textId="5B8ABF99" w:rsidR="00DE4959" w:rsidRPr="00DE4959" w:rsidRDefault="00DE4959" w:rsidP="00DE4959">
      <w:pPr>
        <w:autoSpaceDE w:val="0"/>
        <w:autoSpaceDN w:val="0"/>
        <w:adjustRightInd w:val="0"/>
        <w:spacing w:line="240" w:lineRule="auto"/>
        <w:jc w:val="left"/>
        <w:rPr>
          <w:rFonts w:ascii="Century Gothic" w:hAnsi="Century Gothic" w:cstheme="majorHAnsi"/>
          <w:sz w:val="22"/>
          <w:szCs w:val="22"/>
        </w:rPr>
      </w:pPr>
      <w:r w:rsidRPr="00DE4959">
        <w:rPr>
          <w:rFonts w:ascii="Century Gothic" w:hAnsi="Century Gothic" w:cstheme="majorHAnsi"/>
          <w:sz w:val="22"/>
          <w:szCs w:val="22"/>
        </w:rPr>
        <w:t xml:space="preserve">Miesto stavby: Areál Fakultnej nemocnice s poliklinikou </w:t>
      </w:r>
      <w:r w:rsidRPr="00DE4959">
        <w:rPr>
          <w:rFonts w:ascii="Century Gothic" w:hAnsi="Century Gothic" w:cstheme="majorHAnsi" w:hint="eastAsia"/>
          <w:sz w:val="22"/>
          <w:szCs w:val="22"/>
        </w:rPr>
        <w:t>Ž</w:t>
      </w:r>
      <w:r w:rsidRPr="00DE4959">
        <w:rPr>
          <w:rFonts w:ascii="Century Gothic" w:hAnsi="Century Gothic" w:cstheme="majorHAnsi"/>
          <w:sz w:val="22"/>
          <w:szCs w:val="22"/>
        </w:rPr>
        <w:t>ilina</w:t>
      </w:r>
    </w:p>
    <w:p w14:paraId="78E65C88" w14:textId="77777777" w:rsidR="00DE4959" w:rsidRPr="00DE4959" w:rsidRDefault="00DE4959" w:rsidP="00DE4959">
      <w:pPr>
        <w:autoSpaceDE w:val="0"/>
        <w:autoSpaceDN w:val="0"/>
        <w:adjustRightInd w:val="0"/>
        <w:spacing w:line="240" w:lineRule="auto"/>
        <w:jc w:val="left"/>
        <w:rPr>
          <w:rFonts w:ascii="Century Gothic" w:hAnsi="Century Gothic" w:cstheme="majorHAnsi"/>
          <w:sz w:val="22"/>
          <w:szCs w:val="22"/>
        </w:rPr>
      </w:pPr>
      <w:r w:rsidRPr="00DE4959">
        <w:rPr>
          <w:rFonts w:ascii="Century Gothic" w:hAnsi="Century Gothic" w:cstheme="majorHAnsi"/>
          <w:sz w:val="22"/>
          <w:szCs w:val="22"/>
        </w:rPr>
        <w:t>Dotknuté parcely:</w:t>
      </w:r>
    </w:p>
    <w:p w14:paraId="2C5FF7D9" w14:textId="62FA68CA" w:rsidR="00DE4959" w:rsidRPr="00DE4959" w:rsidRDefault="00DE4959" w:rsidP="00DE4959">
      <w:pPr>
        <w:autoSpaceDE w:val="0"/>
        <w:autoSpaceDN w:val="0"/>
        <w:adjustRightInd w:val="0"/>
        <w:spacing w:line="240" w:lineRule="auto"/>
        <w:rPr>
          <w:rFonts w:ascii="Century Gothic" w:hAnsi="Century Gothic" w:cstheme="majorHAnsi"/>
          <w:sz w:val="22"/>
          <w:szCs w:val="22"/>
        </w:rPr>
      </w:pPr>
      <w:r w:rsidRPr="00DE4959">
        <w:rPr>
          <w:rFonts w:ascii="Century Gothic" w:hAnsi="Century Gothic" w:cstheme="majorHAnsi"/>
          <w:sz w:val="22"/>
          <w:szCs w:val="22"/>
        </w:rPr>
        <w:t xml:space="preserve">KN-C </w:t>
      </w:r>
      <w:r w:rsidRPr="00DE4959">
        <w:rPr>
          <w:rFonts w:ascii="Century Gothic" w:hAnsi="Century Gothic" w:cstheme="majorHAnsi" w:hint="eastAsia"/>
          <w:sz w:val="22"/>
          <w:szCs w:val="22"/>
        </w:rPr>
        <w:t>č</w:t>
      </w:r>
      <w:r w:rsidRPr="00DE4959">
        <w:rPr>
          <w:rFonts w:ascii="Century Gothic" w:hAnsi="Century Gothic" w:cstheme="majorHAnsi"/>
          <w:sz w:val="22"/>
          <w:szCs w:val="22"/>
        </w:rPr>
        <w:t>.: 5166/4, 5166/16 ,5166/19, 5166/20, 5166/21, 5166/22, 5166/23, 5166/24,</w:t>
      </w:r>
      <w:r>
        <w:rPr>
          <w:rFonts w:ascii="Century Gothic" w:hAnsi="Century Gothic" w:cstheme="majorHAnsi"/>
          <w:sz w:val="22"/>
          <w:szCs w:val="22"/>
        </w:rPr>
        <w:t xml:space="preserve"> </w:t>
      </w:r>
      <w:r w:rsidRPr="00DE4959">
        <w:rPr>
          <w:rFonts w:ascii="Century Gothic" w:hAnsi="Century Gothic" w:cstheme="majorHAnsi"/>
          <w:sz w:val="22"/>
          <w:szCs w:val="22"/>
        </w:rPr>
        <w:t>5166/25, 5166/26, 5166/27, 5166/30, 5166/31, 5166/32, 5166/33, 5166/34,</w:t>
      </w:r>
      <w:r>
        <w:rPr>
          <w:rFonts w:ascii="Century Gothic" w:hAnsi="Century Gothic" w:cstheme="majorHAnsi"/>
          <w:sz w:val="22"/>
          <w:szCs w:val="22"/>
        </w:rPr>
        <w:t xml:space="preserve"> </w:t>
      </w:r>
      <w:r w:rsidRPr="00DE4959">
        <w:rPr>
          <w:rFonts w:ascii="Century Gothic" w:hAnsi="Century Gothic" w:cstheme="majorHAnsi"/>
          <w:sz w:val="22"/>
          <w:szCs w:val="22"/>
        </w:rPr>
        <w:t>5166/35, 5186/47, 5186/75, 5186/86, 5186/107, 5186/109, 5186/110, 5191/4,</w:t>
      </w:r>
      <w:r>
        <w:rPr>
          <w:rFonts w:ascii="Century Gothic" w:hAnsi="Century Gothic" w:cstheme="majorHAnsi"/>
          <w:sz w:val="22"/>
          <w:szCs w:val="22"/>
        </w:rPr>
        <w:t xml:space="preserve"> </w:t>
      </w:r>
      <w:r w:rsidRPr="00DE4959">
        <w:rPr>
          <w:rFonts w:ascii="Century Gothic" w:hAnsi="Century Gothic" w:cstheme="majorHAnsi"/>
          <w:sz w:val="22"/>
          <w:szCs w:val="22"/>
        </w:rPr>
        <w:t>5191/6, 5191/7, 5191/16, 5191/19, 5191/20, 5191/28, 5191/32, 5191/33,</w:t>
      </w:r>
      <w:r>
        <w:rPr>
          <w:rFonts w:ascii="Century Gothic" w:hAnsi="Century Gothic" w:cstheme="majorHAnsi"/>
          <w:sz w:val="22"/>
          <w:szCs w:val="22"/>
        </w:rPr>
        <w:t xml:space="preserve"> </w:t>
      </w:r>
      <w:r w:rsidRPr="00DE4959">
        <w:rPr>
          <w:rFonts w:ascii="Century Gothic" w:hAnsi="Century Gothic" w:cstheme="majorHAnsi"/>
          <w:sz w:val="22"/>
          <w:szCs w:val="22"/>
        </w:rPr>
        <w:t>5292, 5860/4, 5860/6, 5860/7, 5860/8, 5860/12, 5860/13, 5860/14, 5860/17,</w:t>
      </w:r>
      <w:r>
        <w:rPr>
          <w:rFonts w:ascii="Century Gothic" w:hAnsi="Century Gothic" w:cstheme="majorHAnsi"/>
          <w:sz w:val="22"/>
          <w:szCs w:val="22"/>
        </w:rPr>
        <w:t xml:space="preserve"> </w:t>
      </w:r>
      <w:r w:rsidRPr="00DE4959">
        <w:rPr>
          <w:rFonts w:ascii="Century Gothic" w:hAnsi="Century Gothic" w:cstheme="majorHAnsi"/>
          <w:sz w:val="22"/>
          <w:szCs w:val="22"/>
        </w:rPr>
        <w:t>5860/18, 5860/19, 5860/24</w:t>
      </w:r>
      <w:r>
        <w:rPr>
          <w:rFonts w:ascii="Century Gothic" w:hAnsi="Century Gothic" w:cstheme="majorHAnsi"/>
          <w:sz w:val="22"/>
          <w:szCs w:val="22"/>
        </w:rPr>
        <w:t xml:space="preserve"> sú</w:t>
      </w:r>
      <w:r w:rsidRPr="00DE4959">
        <w:rPr>
          <w:rFonts w:ascii="Century Gothic" w:hAnsi="Century Gothic" w:cstheme="majorHAnsi"/>
          <w:sz w:val="22"/>
          <w:szCs w:val="22"/>
        </w:rPr>
        <w:t xml:space="preserve"> vedene ako zastavane plochy a</w:t>
      </w:r>
      <w:r>
        <w:rPr>
          <w:rFonts w:ascii="Century Gothic" w:hAnsi="Century Gothic" w:cstheme="majorHAnsi"/>
          <w:sz w:val="22"/>
          <w:szCs w:val="22"/>
        </w:rPr>
        <w:t> </w:t>
      </w:r>
      <w:r w:rsidRPr="00DE4959">
        <w:rPr>
          <w:rFonts w:ascii="Century Gothic" w:hAnsi="Century Gothic" w:cstheme="majorHAnsi"/>
          <w:sz w:val="22"/>
          <w:szCs w:val="22"/>
        </w:rPr>
        <w:t>nádvoria</w:t>
      </w:r>
      <w:r>
        <w:rPr>
          <w:rFonts w:ascii="Century Gothic" w:hAnsi="Century Gothic" w:cstheme="majorHAnsi"/>
          <w:sz w:val="22"/>
          <w:szCs w:val="22"/>
        </w:rPr>
        <w:t>.</w:t>
      </w:r>
    </w:p>
    <w:p w14:paraId="7E73C5F0" w14:textId="40DE0413" w:rsidR="00DE4959" w:rsidRPr="00DE4959" w:rsidRDefault="00DE4959" w:rsidP="00DE4959">
      <w:pPr>
        <w:autoSpaceDE w:val="0"/>
        <w:autoSpaceDN w:val="0"/>
        <w:adjustRightInd w:val="0"/>
        <w:spacing w:line="240" w:lineRule="auto"/>
        <w:rPr>
          <w:rFonts w:ascii="Century Gothic" w:hAnsi="Century Gothic" w:cstheme="majorHAnsi"/>
          <w:sz w:val="22"/>
          <w:szCs w:val="22"/>
        </w:rPr>
      </w:pPr>
      <w:r w:rsidRPr="00DE4959">
        <w:rPr>
          <w:rFonts w:ascii="Century Gothic" w:hAnsi="Century Gothic" w:cstheme="majorHAnsi"/>
          <w:sz w:val="22"/>
          <w:szCs w:val="22"/>
        </w:rPr>
        <w:t xml:space="preserve">KN-C </w:t>
      </w:r>
      <w:r w:rsidRPr="00DE4959">
        <w:rPr>
          <w:rFonts w:ascii="Century Gothic" w:hAnsi="Century Gothic" w:cstheme="majorHAnsi" w:hint="eastAsia"/>
          <w:sz w:val="22"/>
          <w:szCs w:val="22"/>
        </w:rPr>
        <w:t>č</w:t>
      </w:r>
      <w:r w:rsidRPr="00DE4959">
        <w:rPr>
          <w:rFonts w:ascii="Century Gothic" w:hAnsi="Century Gothic" w:cstheme="majorHAnsi"/>
          <w:sz w:val="22"/>
          <w:szCs w:val="22"/>
        </w:rPr>
        <w:t>.: 5186/2, 5186/12, 5186/16, 5186/13, 5186/21, 5186/24, 5186/45, 5186/46,</w:t>
      </w:r>
      <w:r>
        <w:rPr>
          <w:rFonts w:ascii="Century Gothic" w:hAnsi="Century Gothic" w:cstheme="majorHAnsi"/>
          <w:sz w:val="22"/>
          <w:szCs w:val="22"/>
        </w:rPr>
        <w:t xml:space="preserve"> </w:t>
      </w:r>
      <w:r w:rsidRPr="00DE4959">
        <w:rPr>
          <w:rFonts w:ascii="Century Gothic" w:hAnsi="Century Gothic" w:cstheme="majorHAnsi"/>
          <w:sz w:val="22"/>
          <w:szCs w:val="22"/>
        </w:rPr>
        <w:t>5186/52, 5191/5, 5191/8, 5191/9</w:t>
      </w:r>
      <w:r>
        <w:rPr>
          <w:rFonts w:ascii="Century Gothic" w:hAnsi="Century Gothic" w:cstheme="majorHAnsi"/>
          <w:sz w:val="22"/>
          <w:szCs w:val="22"/>
        </w:rPr>
        <w:t xml:space="preserve"> </w:t>
      </w:r>
      <w:r w:rsidRPr="00DE4959">
        <w:rPr>
          <w:rFonts w:ascii="Century Gothic" w:hAnsi="Century Gothic" w:cstheme="majorHAnsi"/>
          <w:sz w:val="22"/>
          <w:szCs w:val="22"/>
        </w:rPr>
        <w:t>s</w:t>
      </w:r>
      <w:r>
        <w:rPr>
          <w:rFonts w:ascii="Century Gothic" w:hAnsi="Century Gothic" w:cstheme="majorHAnsi"/>
          <w:sz w:val="22"/>
          <w:szCs w:val="22"/>
        </w:rPr>
        <w:t xml:space="preserve">ú </w:t>
      </w:r>
      <w:r w:rsidRPr="00DE4959">
        <w:rPr>
          <w:rFonts w:ascii="Century Gothic" w:hAnsi="Century Gothic" w:cstheme="majorHAnsi"/>
          <w:sz w:val="22"/>
          <w:szCs w:val="22"/>
        </w:rPr>
        <w:t>vedene ako ostatne plochy</w:t>
      </w:r>
      <w:r>
        <w:rPr>
          <w:rFonts w:ascii="Century Gothic" w:hAnsi="Century Gothic" w:cstheme="majorHAnsi"/>
          <w:sz w:val="22"/>
          <w:szCs w:val="22"/>
        </w:rPr>
        <w:t>.</w:t>
      </w:r>
    </w:p>
    <w:p w14:paraId="3A7D7EBA" w14:textId="60E6CACA" w:rsidR="00DE4959" w:rsidRPr="00DE4959" w:rsidRDefault="00DE4959" w:rsidP="00DE4959">
      <w:pPr>
        <w:autoSpaceDE w:val="0"/>
        <w:autoSpaceDN w:val="0"/>
        <w:adjustRightInd w:val="0"/>
        <w:spacing w:line="240" w:lineRule="auto"/>
        <w:jc w:val="left"/>
        <w:rPr>
          <w:rFonts w:ascii="Century Gothic" w:hAnsi="Century Gothic" w:cstheme="majorHAnsi"/>
          <w:sz w:val="22"/>
          <w:szCs w:val="22"/>
        </w:rPr>
      </w:pPr>
      <w:r w:rsidRPr="00DE4959">
        <w:rPr>
          <w:rFonts w:ascii="Century Gothic" w:hAnsi="Century Gothic" w:cstheme="majorHAnsi"/>
          <w:sz w:val="22"/>
          <w:szCs w:val="22"/>
        </w:rPr>
        <w:t xml:space="preserve">KN-E </w:t>
      </w:r>
      <w:r w:rsidRPr="00DE4959">
        <w:rPr>
          <w:rFonts w:ascii="Century Gothic" w:hAnsi="Century Gothic" w:cstheme="majorHAnsi" w:hint="eastAsia"/>
          <w:sz w:val="22"/>
          <w:szCs w:val="22"/>
        </w:rPr>
        <w:t>č</w:t>
      </w:r>
      <w:r>
        <w:rPr>
          <w:rFonts w:ascii="Century Gothic" w:hAnsi="Century Gothic" w:cstheme="majorHAnsi"/>
          <w:sz w:val="22"/>
          <w:szCs w:val="22"/>
        </w:rPr>
        <w:t xml:space="preserve">.: 5298 </w:t>
      </w:r>
      <w:r w:rsidRPr="00DE4959">
        <w:rPr>
          <w:rFonts w:ascii="Century Gothic" w:hAnsi="Century Gothic" w:cstheme="majorHAnsi"/>
          <w:sz w:val="22"/>
          <w:szCs w:val="22"/>
        </w:rPr>
        <w:t>je vedená ako orná pôda</w:t>
      </w:r>
      <w:r>
        <w:rPr>
          <w:rFonts w:ascii="Century Gothic" w:hAnsi="Century Gothic" w:cstheme="majorHAnsi"/>
          <w:sz w:val="22"/>
          <w:szCs w:val="22"/>
        </w:rPr>
        <w:t>.</w:t>
      </w:r>
    </w:p>
    <w:p w14:paraId="6F52EBEE" w14:textId="77777777" w:rsidR="00DE4959" w:rsidRDefault="00DE4959" w:rsidP="00CF3426">
      <w:pPr>
        <w:spacing w:line="240" w:lineRule="auto"/>
        <w:rPr>
          <w:rFonts w:ascii="Century Gothic" w:hAnsi="Century Gothic" w:cstheme="majorHAnsi"/>
          <w:sz w:val="22"/>
          <w:szCs w:val="22"/>
        </w:rPr>
      </w:pPr>
    </w:p>
    <w:p w14:paraId="2A2CE70C" w14:textId="061DFBA2"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Nová nemocnica bude umiestnená do južnej časti existujúceho nemocničného areálu. Presná pozícia bude upresnená na základe detailného vyhodnotenia zvolených kritérií využiteľnosti územia a samozrejme pri plnom rešpektovaní všetkých limitov územia.</w:t>
      </w:r>
    </w:p>
    <w:p w14:paraId="17A88AC2" w14:textId="77777777" w:rsidR="00CF3426" w:rsidRPr="00CF3426" w:rsidRDefault="00CF3426" w:rsidP="00CF3426">
      <w:pPr>
        <w:spacing w:line="240" w:lineRule="auto"/>
        <w:rPr>
          <w:rFonts w:ascii="Century Gothic" w:hAnsi="Century Gothic" w:cstheme="majorHAnsi"/>
          <w:sz w:val="22"/>
          <w:szCs w:val="22"/>
        </w:rPr>
      </w:pPr>
    </w:p>
    <w:p w14:paraId="37DFEE52"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Podľa situačného riešenia by malo vzniknúť niekoľko nových objektov - pavilónov, vzájomne prepojených, pre ktoré bude uvoľnená potrebná plocha. Určená stavebná čiara bude reflektovať existujúcu zástavbu nemocnice a bezprostredného okolia.</w:t>
      </w:r>
    </w:p>
    <w:p w14:paraId="24C6A252" w14:textId="77777777" w:rsidR="00CF3426" w:rsidRPr="00CF3426" w:rsidRDefault="00CF3426" w:rsidP="00CF3426">
      <w:pPr>
        <w:spacing w:line="240" w:lineRule="auto"/>
        <w:rPr>
          <w:rFonts w:ascii="Century Gothic" w:hAnsi="Century Gothic" w:cstheme="majorHAnsi"/>
          <w:sz w:val="22"/>
          <w:szCs w:val="22"/>
        </w:rPr>
      </w:pPr>
    </w:p>
    <w:p w14:paraId="734DF828"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Pavilónový typ zástavby usporiadaný do kompaktného celku by umožnil, v prípade nutnosti, etapový spôsob výstavby prispôsobený charakteru prevádzky nemocničného areálu a možnostiam investora.</w:t>
      </w:r>
    </w:p>
    <w:p w14:paraId="1136049B" w14:textId="77777777" w:rsidR="00CF3426" w:rsidRPr="00CF3426" w:rsidRDefault="00CF3426" w:rsidP="00CF3426">
      <w:pPr>
        <w:spacing w:line="240" w:lineRule="auto"/>
        <w:rPr>
          <w:rFonts w:ascii="Century Gothic" w:hAnsi="Century Gothic" w:cstheme="majorHAnsi"/>
          <w:sz w:val="22"/>
          <w:szCs w:val="22"/>
        </w:rPr>
      </w:pPr>
    </w:p>
    <w:p w14:paraId="605B5B57"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Je uvažované, že nová nemocnica bude využívať napojenie na dopravnú a technickú infraštruktúru existujúceho areálu, ktorú bude nutné doplniť a vhodne</w:t>
      </w:r>
      <w:r w:rsidRPr="00CF3426">
        <w:rPr>
          <w:rFonts w:ascii="Century Gothic" w:hAnsi="Century Gothic" w:cstheme="minorHAnsi"/>
          <w:i/>
          <w:iCs/>
          <w:sz w:val="22"/>
          <w:szCs w:val="22"/>
        </w:rPr>
        <w:t xml:space="preserve"> upraviť o požiadavky novej zástavby. Súčasťou zámeru bude kapacitné riešenie </w:t>
      </w:r>
      <w:r w:rsidRPr="00CF3426">
        <w:rPr>
          <w:rFonts w:ascii="Century Gothic" w:hAnsi="Century Gothic" w:cstheme="majorHAnsi"/>
          <w:sz w:val="22"/>
          <w:szCs w:val="22"/>
        </w:rPr>
        <w:t>parkovania a revitalizácie súvisiaceho územia.</w:t>
      </w:r>
    </w:p>
    <w:p w14:paraId="2BCBF8D1" w14:textId="77777777" w:rsidR="00CF3426" w:rsidRPr="00CF3426" w:rsidRDefault="00CF3426" w:rsidP="00CF3426">
      <w:pPr>
        <w:spacing w:line="240" w:lineRule="auto"/>
        <w:rPr>
          <w:rFonts w:ascii="Century Gothic" w:hAnsi="Century Gothic" w:cstheme="majorHAnsi"/>
          <w:sz w:val="22"/>
          <w:szCs w:val="22"/>
        </w:rPr>
      </w:pPr>
    </w:p>
    <w:p w14:paraId="4B152618"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Architektonický výraz komplexu budov novej nemocnice by sa mala premieňať s využitím rôznych kombinácií geometrických tvarov a ich a vzájomných prienikov. Poňatie delenia fasád by malo odrážať rozdielnu funkčnú náplň jednotlivých častí budov - pavilónov. Snahou musí byť odlíšiť rôzne prostredia, v ktorých sa bude budúci užívateľ nemocnice nachádzať.</w:t>
      </w:r>
    </w:p>
    <w:p w14:paraId="05633B18" w14:textId="77777777" w:rsidR="00CF3426" w:rsidRPr="00CF3426" w:rsidRDefault="00CF3426" w:rsidP="00CF3426">
      <w:pPr>
        <w:spacing w:line="240" w:lineRule="auto"/>
        <w:rPr>
          <w:rFonts w:ascii="Century Gothic" w:hAnsi="Century Gothic" w:cstheme="majorHAnsi"/>
          <w:sz w:val="22"/>
          <w:szCs w:val="22"/>
        </w:rPr>
      </w:pPr>
    </w:p>
    <w:p w14:paraId="4ADEA910"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Z celkového nadhľadu by mala schematická kompozícia vychádzať z pravouhlého rastra s hlavným vstupom, kde by mali byť jasne oddelené vstupy pre návštevníkov, pavilón pre urgentný príjem, pavilóny lôžkovej starostlivosti a univerzálny pavilón.</w:t>
      </w:r>
    </w:p>
    <w:p w14:paraId="5B089E22" w14:textId="77777777" w:rsidR="00CF3426" w:rsidRPr="00CF3426" w:rsidRDefault="00CF3426" w:rsidP="00CF3426">
      <w:pPr>
        <w:spacing w:line="240" w:lineRule="auto"/>
        <w:rPr>
          <w:rFonts w:ascii="Century Gothic" w:hAnsi="Century Gothic" w:cstheme="majorHAnsi"/>
          <w:sz w:val="22"/>
          <w:szCs w:val="22"/>
        </w:rPr>
      </w:pPr>
    </w:p>
    <w:p w14:paraId="74A75797"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Vnútorné časti objektu by mali deliť od seba časť lôžkovú a časť akútnej starostlivosti, kde by mohli byť umiestnené prírodné prvky vegetácie, vodnej plochy, stromy, kríky, kameň.</w:t>
      </w:r>
    </w:p>
    <w:p w14:paraId="52D82282" w14:textId="102F9DBD" w:rsidR="00CF3426" w:rsidRDefault="00CF3426" w:rsidP="00CF3426">
      <w:pPr>
        <w:spacing w:line="252" w:lineRule="exact"/>
      </w:pPr>
    </w:p>
    <w:p w14:paraId="48B0A95F" w14:textId="77777777" w:rsidR="00CF3426" w:rsidRPr="00CF3426" w:rsidRDefault="00CF3426" w:rsidP="00CF3426">
      <w:pPr>
        <w:spacing w:line="240" w:lineRule="auto"/>
        <w:rPr>
          <w:rFonts w:ascii="Century Gothic" w:hAnsi="Century Gothic" w:cstheme="majorHAnsi"/>
          <w:sz w:val="22"/>
          <w:szCs w:val="22"/>
        </w:rPr>
      </w:pPr>
      <w:r w:rsidRPr="00CF3426">
        <w:rPr>
          <w:rFonts w:ascii="Century Gothic" w:hAnsi="Century Gothic" w:cstheme="majorHAnsi"/>
          <w:sz w:val="22"/>
          <w:szCs w:val="22"/>
        </w:rPr>
        <w:t xml:space="preserve">Pozemky, na ktorých stoja riešené objekty stoja, sú v majetku investora. Riešené územie sa nenachádza v oblasti záujmu pamiatkových orgánov, a preto sa na navrhované riešenie nevzťahujú špeciálne nároky. Predložené riešenie akceptuje podmienky a </w:t>
      </w:r>
      <w:r w:rsidRPr="00CF3426">
        <w:rPr>
          <w:rFonts w:ascii="Century Gothic" w:hAnsi="Century Gothic" w:cstheme="majorHAnsi"/>
          <w:sz w:val="22"/>
          <w:szCs w:val="22"/>
        </w:rPr>
        <w:lastRenderedPageBreak/>
        <w:t>normatívy pre toto územie vydané a je v súlade s cieľmi a zámermi v území stanovenými územnoplánovacou dokumentáciou.</w:t>
      </w:r>
    </w:p>
    <w:p w14:paraId="1A0EE03F" w14:textId="77777777" w:rsidR="005A6FC7" w:rsidRPr="00CC5E50" w:rsidRDefault="005A6FC7" w:rsidP="007B7154">
      <w:pPr>
        <w:spacing w:line="240" w:lineRule="auto"/>
        <w:rPr>
          <w:rFonts w:ascii="Century Gothic" w:hAnsi="Century Gothic" w:cstheme="majorHAnsi"/>
        </w:rPr>
      </w:pPr>
    </w:p>
    <w:p w14:paraId="46D0FEE3" w14:textId="77777777" w:rsidR="007B7154" w:rsidRPr="00E0451E"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45" w:name="_Toc145219971"/>
      <w:r w:rsidRPr="00E0451E">
        <w:rPr>
          <w:rFonts w:ascii="Century Gothic" w:hAnsi="Century Gothic" w:cs="Calibri Light"/>
          <w:b w:val="0"/>
          <w:bCs w:val="0"/>
          <w:color w:val="365F91" w:themeColor="accent1" w:themeShade="BF"/>
          <w:lang w:eastAsia="en-US"/>
        </w:rPr>
        <w:t>Dopravné napojenie nového pavilónu</w:t>
      </w:r>
      <w:bookmarkEnd w:id="145"/>
    </w:p>
    <w:p w14:paraId="0223EDC8" w14:textId="77777777" w:rsidR="005A6FC7" w:rsidRDefault="005A6FC7" w:rsidP="007B7154">
      <w:pPr>
        <w:rPr>
          <w:rFonts w:ascii="Century Gothic" w:hAnsi="Century Gothic" w:cstheme="majorHAnsi"/>
        </w:rPr>
      </w:pPr>
    </w:p>
    <w:p w14:paraId="23AD5A67" w14:textId="441C47D5" w:rsidR="00077ECE" w:rsidRDefault="00677D8F" w:rsidP="00677D8F">
      <w:pPr>
        <w:autoSpaceDE w:val="0"/>
        <w:autoSpaceDN w:val="0"/>
        <w:adjustRightInd w:val="0"/>
        <w:spacing w:line="240" w:lineRule="auto"/>
        <w:rPr>
          <w:rFonts w:ascii="Century Gothic" w:hAnsi="Century Gothic" w:cstheme="minorHAnsi"/>
          <w:sz w:val="22"/>
          <w:szCs w:val="22"/>
        </w:rPr>
      </w:pPr>
      <w:r>
        <w:rPr>
          <w:rFonts w:ascii="Century Gothic" w:hAnsi="Century Gothic" w:cstheme="minorHAnsi"/>
          <w:sz w:val="22"/>
          <w:szCs w:val="22"/>
        </w:rPr>
        <w:t>Ako dopravné</w:t>
      </w:r>
      <w:r w:rsidRPr="00677D8F">
        <w:rPr>
          <w:rFonts w:ascii="Century Gothic" w:hAnsi="Century Gothic" w:cstheme="minorHAnsi"/>
          <w:sz w:val="22"/>
          <w:szCs w:val="22"/>
        </w:rPr>
        <w:t xml:space="preserve"> napojenie existujúceho areálu </w:t>
      </w:r>
      <w:proofErr w:type="spellStart"/>
      <w:r w:rsidRPr="00677D8F">
        <w:rPr>
          <w:rFonts w:ascii="Century Gothic" w:hAnsi="Century Gothic" w:cstheme="minorHAnsi"/>
          <w:sz w:val="22"/>
          <w:szCs w:val="22"/>
        </w:rPr>
        <w:t>FNsP</w:t>
      </w:r>
      <w:proofErr w:type="spellEnd"/>
      <w:r w:rsidRPr="00677D8F">
        <w:rPr>
          <w:rFonts w:ascii="Century Gothic" w:hAnsi="Century Gothic" w:cstheme="minorHAnsi"/>
          <w:sz w:val="22"/>
          <w:szCs w:val="22"/>
        </w:rPr>
        <w:t xml:space="preserve"> </w:t>
      </w:r>
      <w:r w:rsidR="00527C3B">
        <w:rPr>
          <w:rFonts w:ascii="Century Gothic" w:hAnsi="Century Gothic" w:cstheme="minorHAnsi"/>
          <w:sz w:val="22"/>
          <w:szCs w:val="22"/>
        </w:rPr>
        <w:t xml:space="preserve">Žilina </w:t>
      </w:r>
      <w:r w:rsidRPr="00677D8F">
        <w:rPr>
          <w:rFonts w:ascii="Century Gothic" w:hAnsi="Century Gothic" w:cstheme="minorHAnsi"/>
          <w:sz w:val="22"/>
          <w:szCs w:val="22"/>
        </w:rPr>
        <w:t>bude slúžiť existujúci vjazd. V súčasnosti je nemocnica</w:t>
      </w:r>
      <w:r>
        <w:rPr>
          <w:rFonts w:ascii="Century Gothic" w:hAnsi="Century Gothic" w:cstheme="minorHAnsi"/>
          <w:sz w:val="22"/>
          <w:szCs w:val="22"/>
        </w:rPr>
        <w:t xml:space="preserve"> </w:t>
      </w:r>
      <w:r w:rsidRPr="00677D8F">
        <w:rPr>
          <w:rFonts w:ascii="Century Gothic" w:hAnsi="Century Gothic" w:cstheme="minorHAnsi"/>
          <w:sz w:val="22"/>
          <w:szCs w:val="22"/>
        </w:rPr>
        <w:t xml:space="preserve">napojená na smerovo rozdelenú cestu I/60 tak, </w:t>
      </w:r>
      <w:r w:rsidRPr="00677D8F">
        <w:rPr>
          <w:rFonts w:ascii="Century Gothic" w:hAnsi="Century Gothic" w:cstheme="minorHAnsi" w:hint="eastAsia"/>
          <w:sz w:val="22"/>
          <w:szCs w:val="22"/>
        </w:rPr>
        <w:t>ž</w:t>
      </w:r>
      <w:r w:rsidRPr="00677D8F">
        <w:rPr>
          <w:rFonts w:ascii="Century Gothic" w:hAnsi="Century Gothic" w:cstheme="minorHAnsi"/>
          <w:sz w:val="22"/>
          <w:szCs w:val="22"/>
        </w:rPr>
        <w:t>e vjazd do areálu je možný z oboch smerov, av</w:t>
      </w:r>
      <w:r w:rsidRPr="00677D8F">
        <w:rPr>
          <w:rFonts w:ascii="Century Gothic" w:hAnsi="Century Gothic" w:cstheme="minorHAnsi" w:hint="eastAsia"/>
          <w:sz w:val="22"/>
          <w:szCs w:val="22"/>
        </w:rPr>
        <w:t>š</w:t>
      </w:r>
      <w:r w:rsidRPr="00677D8F">
        <w:rPr>
          <w:rFonts w:ascii="Century Gothic" w:hAnsi="Century Gothic" w:cstheme="minorHAnsi"/>
          <w:sz w:val="22"/>
          <w:szCs w:val="22"/>
        </w:rPr>
        <w:t>ak výjazd je možný</w:t>
      </w:r>
      <w:r>
        <w:rPr>
          <w:rFonts w:ascii="Century Gothic" w:hAnsi="Century Gothic" w:cstheme="minorHAnsi"/>
          <w:sz w:val="22"/>
          <w:szCs w:val="22"/>
        </w:rPr>
        <w:t xml:space="preserve"> </w:t>
      </w:r>
      <w:r w:rsidRPr="00677D8F">
        <w:rPr>
          <w:rFonts w:ascii="Century Gothic" w:hAnsi="Century Gothic" w:cstheme="minorHAnsi"/>
          <w:sz w:val="22"/>
          <w:szCs w:val="22"/>
        </w:rPr>
        <w:t>len smerom na západ (centrum, Prievidza, Bratislava). Výjazd smerom na Ko</w:t>
      </w:r>
      <w:r w:rsidRPr="00677D8F">
        <w:rPr>
          <w:rFonts w:ascii="Century Gothic" w:hAnsi="Century Gothic" w:cstheme="minorHAnsi" w:hint="eastAsia"/>
          <w:sz w:val="22"/>
          <w:szCs w:val="22"/>
        </w:rPr>
        <w:t>š</w:t>
      </w:r>
      <w:r w:rsidRPr="00677D8F">
        <w:rPr>
          <w:rFonts w:ascii="Century Gothic" w:hAnsi="Century Gothic" w:cstheme="minorHAnsi"/>
          <w:sz w:val="22"/>
          <w:szCs w:val="22"/>
        </w:rPr>
        <w:t>ice, Terchovú a centrum smerom na</w:t>
      </w:r>
      <w:r>
        <w:rPr>
          <w:rFonts w:ascii="Century Gothic" w:hAnsi="Century Gothic" w:cstheme="minorHAnsi"/>
          <w:sz w:val="22"/>
          <w:szCs w:val="22"/>
        </w:rPr>
        <w:t xml:space="preserve"> </w:t>
      </w:r>
      <w:r w:rsidRPr="00677D8F">
        <w:rPr>
          <w:rFonts w:ascii="Century Gothic" w:hAnsi="Century Gothic" w:cstheme="minorHAnsi"/>
          <w:sz w:val="22"/>
          <w:szCs w:val="22"/>
        </w:rPr>
        <w:t>východ a sever nie je možný a v súčasnosti</w:t>
      </w:r>
      <w:r>
        <w:rPr>
          <w:rFonts w:ascii="Century Gothic" w:hAnsi="Century Gothic" w:cstheme="minorHAnsi"/>
          <w:sz w:val="22"/>
          <w:szCs w:val="22"/>
        </w:rPr>
        <w:t xml:space="preserve"> sú</w:t>
      </w:r>
      <w:r w:rsidRPr="00677D8F">
        <w:rPr>
          <w:rFonts w:ascii="Century Gothic" w:hAnsi="Century Gothic" w:cstheme="minorHAnsi"/>
          <w:sz w:val="22"/>
          <w:szCs w:val="22"/>
        </w:rPr>
        <w:t xml:space="preserve"> tieto pohyby vozidiel vedene cez ul. Vysokoškolákov, resp. ul.</w:t>
      </w:r>
      <w:r>
        <w:rPr>
          <w:rFonts w:ascii="Century Gothic" w:hAnsi="Century Gothic" w:cstheme="minorHAnsi"/>
          <w:sz w:val="22"/>
          <w:szCs w:val="22"/>
        </w:rPr>
        <w:t xml:space="preserve"> </w:t>
      </w:r>
      <w:r w:rsidRPr="00677D8F">
        <w:rPr>
          <w:rFonts w:ascii="Century Gothic" w:hAnsi="Century Gothic" w:cstheme="minorHAnsi"/>
          <w:sz w:val="22"/>
          <w:szCs w:val="22"/>
        </w:rPr>
        <w:t xml:space="preserve">Vojtecha </w:t>
      </w:r>
      <w:proofErr w:type="spellStart"/>
      <w:r w:rsidRPr="00677D8F">
        <w:rPr>
          <w:rFonts w:ascii="Century Gothic" w:hAnsi="Century Gothic" w:cstheme="minorHAnsi"/>
          <w:sz w:val="22"/>
          <w:szCs w:val="22"/>
        </w:rPr>
        <w:t>Spanyola</w:t>
      </w:r>
      <w:proofErr w:type="spellEnd"/>
      <w:r w:rsidRPr="00677D8F">
        <w:rPr>
          <w:rFonts w:ascii="Century Gothic" w:hAnsi="Century Gothic" w:cstheme="minorHAnsi"/>
          <w:sz w:val="22"/>
          <w:szCs w:val="22"/>
        </w:rPr>
        <w:t>.</w:t>
      </w:r>
    </w:p>
    <w:p w14:paraId="786B94E0" w14:textId="31CB1EEC" w:rsidR="00077ECE" w:rsidRDefault="00077ECE" w:rsidP="00677D8F">
      <w:pPr>
        <w:autoSpaceDE w:val="0"/>
        <w:autoSpaceDN w:val="0"/>
        <w:adjustRightInd w:val="0"/>
        <w:spacing w:line="240" w:lineRule="auto"/>
        <w:rPr>
          <w:rFonts w:ascii="Century Gothic" w:hAnsi="Century Gothic" w:cstheme="minorHAnsi"/>
          <w:sz w:val="22"/>
          <w:szCs w:val="22"/>
        </w:rPr>
      </w:pPr>
    </w:p>
    <w:p w14:paraId="60E74E3F" w14:textId="66A71BBC" w:rsidR="00C67E68" w:rsidRPr="00C67E68" w:rsidRDefault="00C67E68" w:rsidP="00C67E68">
      <w:pPr>
        <w:pStyle w:val="Popis"/>
        <w:spacing w:before="0" w:after="0" w:line="240" w:lineRule="auto"/>
        <w:rPr>
          <w:rFonts w:ascii="Century Gothic" w:hAnsi="Century Gothic"/>
          <w:b w:val="0"/>
          <w:i/>
        </w:rPr>
      </w:pPr>
      <w:bookmarkStart w:id="146" w:name="_Toc145219864"/>
      <w:r w:rsidRPr="00C67E68">
        <w:rPr>
          <w:rFonts w:ascii="Century Gothic" w:hAnsi="Century Gothic"/>
          <w:b w:val="0"/>
          <w:i/>
        </w:rPr>
        <w:t xml:space="preserve">Obrázok </w:t>
      </w:r>
      <w:r w:rsidRPr="00C67E68">
        <w:rPr>
          <w:rFonts w:ascii="Century Gothic" w:hAnsi="Century Gothic"/>
          <w:b w:val="0"/>
          <w:i/>
        </w:rPr>
        <w:fldChar w:fldCharType="begin"/>
      </w:r>
      <w:r w:rsidRPr="00C67E68">
        <w:rPr>
          <w:rFonts w:ascii="Century Gothic" w:hAnsi="Century Gothic"/>
          <w:b w:val="0"/>
          <w:i/>
        </w:rPr>
        <w:instrText xml:space="preserve"> SEQ Obrázok \* ARABIC </w:instrText>
      </w:r>
      <w:r w:rsidRPr="00C67E68">
        <w:rPr>
          <w:rFonts w:ascii="Century Gothic" w:hAnsi="Century Gothic"/>
          <w:b w:val="0"/>
          <w:i/>
        </w:rPr>
        <w:fldChar w:fldCharType="separate"/>
      </w:r>
      <w:r w:rsidR="007D6A44">
        <w:rPr>
          <w:rFonts w:ascii="Century Gothic" w:hAnsi="Century Gothic"/>
          <w:b w:val="0"/>
          <w:i/>
          <w:noProof/>
        </w:rPr>
        <w:t>12</w:t>
      </w:r>
      <w:r w:rsidRPr="00C67E68">
        <w:rPr>
          <w:rFonts w:ascii="Century Gothic" w:hAnsi="Century Gothic"/>
          <w:b w:val="0"/>
          <w:i/>
        </w:rPr>
        <w:fldChar w:fldCharType="end"/>
      </w:r>
      <w:r>
        <w:rPr>
          <w:rFonts w:ascii="Century Gothic" w:hAnsi="Century Gothic"/>
          <w:b w:val="0"/>
          <w:i/>
        </w:rPr>
        <w:t xml:space="preserve"> Dopravné napojenie PUM</w:t>
      </w:r>
      <w:bookmarkEnd w:id="146"/>
    </w:p>
    <w:p w14:paraId="43CC76CE" w14:textId="3B8201BF" w:rsidR="00CC5E50" w:rsidRDefault="009379A9" w:rsidP="009D6421">
      <w:pPr>
        <w:autoSpaceDE w:val="0"/>
        <w:autoSpaceDN w:val="0"/>
        <w:adjustRightInd w:val="0"/>
        <w:spacing w:line="240" w:lineRule="auto"/>
        <w:jc w:val="center"/>
        <w:rPr>
          <w:rFonts w:ascii="Century Gothic" w:hAnsi="Century Gothic" w:cs="Calibri Light"/>
          <w:b/>
          <w:bCs/>
          <w:sz w:val="32"/>
          <w:szCs w:val="32"/>
          <w:lang w:eastAsia="en-US"/>
        </w:rPr>
      </w:pPr>
      <w:r>
        <w:rPr>
          <w:noProof/>
        </w:rPr>
        <w:drawing>
          <wp:inline distT="0" distB="0" distL="0" distR="0" wp14:anchorId="5732B392" wp14:editId="5AD3F0A6">
            <wp:extent cx="2547886" cy="5719189"/>
            <wp:effectExtent l="0" t="4445" r="635"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31581" t="19408" r="52877" b="18545"/>
                    <a:stretch/>
                  </pic:blipFill>
                  <pic:spPr bwMode="auto">
                    <a:xfrm rot="16200000">
                      <a:off x="0" y="0"/>
                      <a:ext cx="2569621" cy="5767978"/>
                    </a:xfrm>
                    <a:prstGeom prst="rect">
                      <a:avLst/>
                    </a:prstGeom>
                    <a:ln>
                      <a:noFill/>
                    </a:ln>
                    <a:extLst>
                      <a:ext uri="{53640926-AAD7-44D8-BBD7-CCE9431645EC}">
                        <a14:shadowObscured xmlns:a14="http://schemas.microsoft.com/office/drawing/2010/main"/>
                      </a:ext>
                    </a:extLst>
                  </pic:spPr>
                </pic:pic>
              </a:graphicData>
            </a:graphic>
          </wp:inline>
        </w:drawing>
      </w:r>
    </w:p>
    <w:p w14:paraId="75A18F4B" w14:textId="77777777" w:rsidR="00C67E68" w:rsidRPr="005312D2" w:rsidRDefault="00C67E68" w:rsidP="00C67E68">
      <w:pPr>
        <w:pStyle w:val="TableParagraph"/>
        <w:spacing w:before="1"/>
        <w:rPr>
          <w:rFonts w:ascii="Century Gothic" w:eastAsia="Arial Narrow" w:hAnsi="Century Gothic" w:cs="Arial Narrow"/>
          <w:lang w:val="sk-SK"/>
        </w:rPr>
      </w:pPr>
      <w:r w:rsidRPr="005312D2">
        <w:rPr>
          <w:rFonts w:ascii="Century Gothic" w:hAnsi="Century Gothic"/>
          <w:i/>
          <w:sz w:val="18"/>
          <w:szCs w:val="18"/>
          <w:lang w:val="sk-SK"/>
        </w:rPr>
        <w:t>Zdroj: Súhrnná a sprievodná technická správa – Pavilón urgentnej medicíny</w:t>
      </w:r>
    </w:p>
    <w:p w14:paraId="0170A6D5" w14:textId="77777777" w:rsidR="00DA6893" w:rsidRDefault="00DA6893" w:rsidP="00C67E68">
      <w:pPr>
        <w:autoSpaceDE w:val="0"/>
        <w:autoSpaceDN w:val="0"/>
        <w:adjustRightInd w:val="0"/>
        <w:spacing w:line="240" w:lineRule="auto"/>
        <w:rPr>
          <w:rFonts w:ascii="Century Gothic" w:hAnsi="Century Gothic" w:cs="Calibri Light"/>
          <w:b/>
          <w:bCs/>
          <w:sz w:val="32"/>
          <w:szCs w:val="32"/>
          <w:lang w:eastAsia="en-US"/>
        </w:rPr>
      </w:pPr>
    </w:p>
    <w:p w14:paraId="2B89BC7C" w14:textId="7BD690EC" w:rsidR="009379A9" w:rsidRDefault="009379A9">
      <w:pPr>
        <w:spacing w:after="200"/>
        <w:jc w:val="left"/>
        <w:rPr>
          <w:rFonts w:ascii="Century Gothic" w:eastAsiaTheme="majorEastAsia" w:hAnsi="Century Gothic" w:cs="Calibri Light"/>
          <w:color w:val="365F91" w:themeColor="accent1" w:themeShade="BF"/>
          <w:sz w:val="32"/>
          <w:szCs w:val="32"/>
          <w:lang w:eastAsia="en-US"/>
        </w:rPr>
      </w:pPr>
    </w:p>
    <w:p w14:paraId="7182AD1C" w14:textId="09CC002D"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722F8647" w14:textId="02E946C6"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4A4CBDAC" w14:textId="3438589B"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70AC0481" w14:textId="5DB5E0A2"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25779F90" w14:textId="46B26DD2"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462BF624" w14:textId="24677715"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3050221E" w14:textId="1050CCC4"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06CC46CF" w14:textId="77777777" w:rsidR="00077ECE" w:rsidRDefault="00077ECE">
      <w:pPr>
        <w:spacing w:after="200"/>
        <w:jc w:val="left"/>
        <w:rPr>
          <w:rFonts w:ascii="Century Gothic" w:eastAsiaTheme="majorEastAsia" w:hAnsi="Century Gothic" w:cs="Calibri Light"/>
          <w:color w:val="365F91" w:themeColor="accent1" w:themeShade="BF"/>
          <w:sz w:val="32"/>
          <w:szCs w:val="32"/>
          <w:lang w:eastAsia="en-US"/>
        </w:rPr>
      </w:pPr>
    </w:p>
    <w:p w14:paraId="55AE0D28" w14:textId="7850835D" w:rsidR="007B7154" w:rsidRPr="00B46658"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47" w:name="_Toc145219972"/>
      <w:r w:rsidRPr="00B46658">
        <w:rPr>
          <w:rFonts w:ascii="Century Gothic" w:hAnsi="Century Gothic" w:cs="Calibri Light"/>
          <w:b w:val="0"/>
          <w:bCs w:val="0"/>
          <w:sz w:val="32"/>
          <w:szCs w:val="32"/>
          <w:lang w:eastAsia="en-US"/>
        </w:rPr>
        <w:lastRenderedPageBreak/>
        <w:t>Vízia využitia areálu po dostavbe nového pavilónu</w:t>
      </w:r>
      <w:bookmarkEnd w:id="147"/>
    </w:p>
    <w:p w14:paraId="113B99B1" w14:textId="7A1CE98A" w:rsidR="007B7154" w:rsidRDefault="007B7154" w:rsidP="007B7154">
      <w:pPr>
        <w:spacing w:line="240" w:lineRule="auto"/>
        <w:rPr>
          <w:rFonts w:ascii="Century Gothic" w:hAnsi="Century Gothic"/>
          <w:b/>
        </w:rPr>
      </w:pPr>
    </w:p>
    <w:p w14:paraId="0E2339FD" w14:textId="2A6CD4D1" w:rsidR="00FD6061" w:rsidRPr="00FD6061" w:rsidRDefault="00FD6061" w:rsidP="00FD6061">
      <w:pPr>
        <w:spacing w:line="240" w:lineRule="auto"/>
        <w:rPr>
          <w:rFonts w:ascii="Century Gothic" w:hAnsi="Century Gothic"/>
          <w:bCs/>
          <w:sz w:val="22"/>
          <w:szCs w:val="22"/>
        </w:rPr>
      </w:pPr>
      <w:r w:rsidRPr="00FD6061">
        <w:rPr>
          <w:rFonts w:ascii="Century Gothic" w:hAnsi="Century Gothic"/>
          <w:bCs/>
          <w:sz w:val="22"/>
          <w:szCs w:val="22"/>
        </w:rPr>
        <w:t xml:space="preserve">Oddelenia, ktoré nebudú včlenené do nového </w:t>
      </w:r>
      <w:r w:rsidR="00BB692D">
        <w:rPr>
          <w:rFonts w:ascii="Century Gothic" w:hAnsi="Century Gothic"/>
          <w:bCs/>
          <w:sz w:val="22"/>
          <w:szCs w:val="22"/>
        </w:rPr>
        <w:t>Pavilónu urgentnej</w:t>
      </w:r>
      <w:r w:rsidRPr="00FD6061">
        <w:rPr>
          <w:rFonts w:ascii="Century Gothic" w:hAnsi="Century Gothic"/>
          <w:bCs/>
          <w:sz w:val="22"/>
          <w:szCs w:val="22"/>
        </w:rPr>
        <w:t xml:space="preserve"> medicíny:</w:t>
      </w:r>
    </w:p>
    <w:p w14:paraId="7874542E" w14:textId="77777777" w:rsidR="00FD6061" w:rsidRPr="00FD6061" w:rsidRDefault="00FD6061" w:rsidP="00796613">
      <w:pPr>
        <w:pStyle w:val="Odsekzoznamu"/>
        <w:numPr>
          <w:ilvl w:val="0"/>
          <w:numId w:val="75"/>
        </w:numPr>
        <w:spacing w:line="240" w:lineRule="auto"/>
        <w:rPr>
          <w:rFonts w:ascii="Century Gothic" w:hAnsi="Century Gothic"/>
          <w:sz w:val="22"/>
          <w:szCs w:val="22"/>
        </w:rPr>
      </w:pPr>
      <w:r w:rsidRPr="00FD6061">
        <w:rPr>
          <w:rFonts w:ascii="Century Gothic" w:hAnsi="Century Gothic"/>
          <w:sz w:val="22"/>
          <w:szCs w:val="22"/>
        </w:rPr>
        <w:t xml:space="preserve">vnútorné lekárstvo – v pavilóne </w:t>
      </w:r>
      <w:proofErr w:type="spellStart"/>
      <w:r w:rsidRPr="00FD6061">
        <w:rPr>
          <w:rFonts w:ascii="Century Gothic" w:hAnsi="Century Gothic"/>
          <w:sz w:val="22"/>
          <w:szCs w:val="22"/>
        </w:rPr>
        <w:t>monobloku</w:t>
      </w:r>
      <w:proofErr w:type="spellEnd"/>
      <w:r w:rsidRPr="00FD6061">
        <w:rPr>
          <w:rFonts w:ascii="Century Gothic" w:hAnsi="Century Gothic"/>
          <w:sz w:val="22"/>
          <w:szCs w:val="22"/>
        </w:rPr>
        <w:t>,</w:t>
      </w:r>
    </w:p>
    <w:p w14:paraId="21CE6E89" w14:textId="77777777" w:rsidR="00FD6061" w:rsidRPr="00FD6061" w:rsidRDefault="00FD6061" w:rsidP="00796613">
      <w:pPr>
        <w:pStyle w:val="Odsekzoznamu"/>
        <w:numPr>
          <w:ilvl w:val="0"/>
          <w:numId w:val="75"/>
        </w:numPr>
        <w:spacing w:line="240" w:lineRule="auto"/>
        <w:rPr>
          <w:rFonts w:ascii="Century Gothic" w:hAnsi="Century Gothic"/>
          <w:sz w:val="22"/>
          <w:szCs w:val="22"/>
        </w:rPr>
      </w:pPr>
      <w:r w:rsidRPr="00FD6061">
        <w:rPr>
          <w:rFonts w:ascii="Century Gothic" w:hAnsi="Century Gothic"/>
          <w:sz w:val="22"/>
          <w:szCs w:val="22"/>
        </w:rPr>
        <w:t xml:space="preserve">neurológia vrátane neurologického stacionára – v pavilóne </w:t>
      </w:r>
      <w:proofErr w:type="spellStart"/>
      <w:r w:rsidRPr="00FD6061">
        <w:rPr>
          <w:rFonts w:ascii="Century Gothic" w:hAnsi="Century Gothic"/>
          <w:sz w:val="22"/>
          <w:szCs w:val="22"/>
        </w:rPr>
        <w:t>monobloku</w:t>
      </w:r>
      <w:proofErr w:type="spellEnd"/>
      <w:r w:rsidRPr="00FD6061">
        <w:rPr>
          <w:rFonts w:ascii="Century Gothic" w:hAnsi="Century Gothic"/>
          <w:sz w:val="22"/>
          <w:szCs w:val="22"/>
        </w:rPr>
        <w:t>,</w:t>
      </w:r>
    </w:p>
    <w:p w14:paraId="07734122" w14:textId="77777777" w:rsidR="00FD6061" w:rsidRPr="00FD6061" w:rsidRDefault="00FD6061" w:rsidP="00796613">
      <w:pPr>
        <w:pStyle w:val="Odsekzoznamu"/>
        <w:numPr>
          <w:ilvl w:val="0"/>
          <w:numId w:val="75"/>
        </w:numPr>
        <w:spacing w:line="240" w:lineRule="auto"/>
        <w:rPr>
          <w:rFonts w:ascii="Century Gothic" w:hAnsi="Century Gothic"/>
          <w:sz w:val="22"/>
          <w:szCs w:val="22"/>
        </w:rPr>
      </w:pPr>
      <w:proofErr w:type="spellStart"/>
      <w:r w:rsidRPr="00FD6061">
        <w:rPr>
          <w:rFonts w:ascii="Century Gothic" w:hAnsi="Century Gothic"/>
          <w:sz w:val="22"/>
          <w:szCs w:val="22"/>
        </w:rPr>
        <w:t>dermatovenerológia</w:t>
      </w:r>
      <w:proofErr w:type="spellEnd"/>
      <w:r w:rsidRPr="00FD6061">
        <w:rPr>
          <w:rFonts w:ascii="Century Gothic" w:hAnsi="Century Gothic"/>
          <w:sz w:val="22"/>
          <w:szCs w:val="22"/>
        </w:rPr>
        <w:t xml:space="preserve"> vrátane kožného stacionára – v pavilóne </w:t>
      </w:r>
      <w:proofErr w:type="spellStart"/>
      <w:r w:rsidRPr="00FD6061">
        <w:rPr>
          <w:rFonts w:ascii="Century Gothic" w:hAnsi="Century Gothic"/>
          <w:sz w:val="22"/>
          <w:szCs w:val="22"/>
        </w:rPr>
        <w:t>monobloku</w:t>
      </w:r>
      <w:proofErr w:type="spellEnd"/>
      <w:r w:rsidRPr="00FD6061">
        <w:rPr>
          <w:rFonts w:ascii="Century Gothic" w:hAnsi="Century Gothic"/>
          <w:sz w:val="22"/>
          <w:szCs w:val="22"/>
        </w:rPr>
        <w:t>,</w:t>
      </w:r>
    </w:p>
    <w:p w14:paraId="6B967424"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proofErr w:type="spellStart"/>
      <w:r w:rsidRPr="00FD6061">
        <w:rPr>
          <w:rFonts w:ascii="Century Gothic" w:hAnsi="Century Gothic"/>
          <w:iCs/>
          <w:sz w:val="22"/>
          <w:szCs w:val="22"/>
        </w:rPr>
        <w:t>oftamológia</w:t>
      </w:r>
      <w:proofErr w:type="spellEnd"/>
      <w:r w:rsidRPr="00FD6061">
        <w:rPr>
          <w:rFonts w:ascii="Century Gothic" w:hAnsi="Century Gothic"/>
          <w:iCs/>
          <w:sz w:val="22"/>
          <w:szCs w:val="22"/>
        </w:rPr>
        <w:t xml:space="preserve"> – v pôvodnom očnom pavilóne,</w:t>
      </w:r>
    </w:p>
    <w:p w14:paraId="05F26B2A" w14:textId="77596314"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 xml:space="preserve">rádiológia a mamografia – v bezprostrednej blízkosti </w:t>
      </w:r>
      <w:proofErr w:type="spellStart"/>
      <w:r w:rsidRPr="00FD6061">
        <w:rPr>
          <w:rFonts w:ascii="Century Gothic" w:hAnsi="Century Gothic"/>
          <w:iCs/>
          <w:sz w:val="22"/>
          <w:szCs w:val="22"/>
        </w:rPr>
        <w:t>monobloku</w:t>
      </w:r>
      <w:proofErr w:type="spellEnd"/>
      <w:r w:rsidRPr="00FD6061">
        <w:rPr>
          <w:rFonts w:ascii="Century Gothic" w:hAnsi="Century Gothic"/>
          <w:iCs/>
          <w:sz w:val="22"/>
          <w:szCs w:val="22"/>
        </w:rPr>
        <w:t xml:space="preserve"> a polikliniky (súčasťou zázemia ambulancií bude popri pracovisku RDG v novom pavilóne v pôvodných priestoroch </w:t>
      </w:r>
      <w:r w:rsidR="00796613">
        <w:rPr>
          <w:rFonts w:ascii="Century Gothic" w:hAnsi="Century Gothic"/>
          <w:iCs/>
          <w:sz w:val="22"/>
          <w:szCs w:val="22"/>
        </w:rPr>
        <w:t>bude aj rádiológia</w:t>
      </w:r>
      <w:r w:rsidRPr="00FD6061">
        <w:rPr>
          <w:rFonts w:ascii="Century Gothic" w:hAnsi="Century Gothic"/>
          <w:iCs/>
          <w:sz w:val="22"/>
          <w:szCs w:val="22"/>
        </w:rPr>
        <w:t xml:space="preserve"> pre potreby diagnostiky špecializovaných ambulancií a oddelení ostávajúcich mimo nového pavilónu),</w:t>
      </w:r>
    </w:p>
    <w:p w14:paraId="4005D4E4"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klinická a radiačná onkológia – v prístavbe pri pôvodnej budove očného pavilónu,</w:t>
      </w:r>
    </w:p>
    <w:p w14:paraId="3AC5163B"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proofErr w:type="spellStart"/>
      <w:r w:rsidRPr="00FD6061">
        <w:rPr>
          <w:rFonts w:ascii="Century Gothic" w:hAnsi="Century Gothic"/>
          <w:iCs/>
          <w:sz w:val="22"/>
          <w:szCs w:val="22"/>
        </w:rPr>
        <w:t>infektológia</w:t>
      </w:r>
      <w:proofErr w:type="spellEnd"/>
      <w:r w:rsidRPr="00FD6061">
        <w:rPr>
          <w:rFonts w:ascii="Century Gothic" w:hAnsi="Century Gothic"/>
          <w:iCs/>
          <w:sz w:val="22"/>
          <w:szCs w:val="22"/>
        </w:rPr>
        <w:t xml:space="preserve"> – na prízemí budovy LDCH vrátane ambulancií,</w:t>
      </w:r>
    </w:p>
    <w:p w14:paraId="35F2A263"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proofErr w:type="spellStart"/>
      <w:r w:rsidRPr="00FD6061">
        <w:rPr>
          <w:rFonts w:ascii="Century Gothic" w:hAnsi="Century Gothic"/>
          <w:iCs/>
          <w:sz w:val="22"/>
          <w:szCs w:val="22"/>
        </w:rPr>
        <w:t>gastroenterológia</w:t>
      </w:r>
      <w:proofErr w:type="spellEnd"/>
      <w:r w:rsidRPr="00FD6061">
        <w:rPr>
          <w:rFonts w:ascii="Century Gothic" w:hAnsi="Century Gothic"/>
          <w:iCs/>
          <w:sz w:val="22"/>
          <w:szCs w:val="22"/>
        </w:rPr>
        <w:t xml:space="preserve"> – v pavilóne </w:t>
      </w:r>
      <w:proofErr w:type="spellStart"/>
      <w:r w:rsidRPr="00FD6061">
        <w:rPr>
          <w:rFonts w:ascii="Century Gothic" w:hAnsi="Century Gothic"/>
          <w:iCs/>
          <w:sz w:val="22"/>
          <w:szCs w:val="22"/>
        </w:rPr>
        <w:t>monobloku</w:t>
      </w:r>
      <w:proofErr w:type="spellEnd"/>
      <w:r w:rsidRPr="00FD6061">
        <w:rPr>
          <w:rFonts w:ascii="Century Gothic" w:hAnsi="Century Gothic"/>
          <w:iCs/>
          <w:sz w:val="22"/>
          <w:szCs w:val="22"/>
        </w:rPr>
        <w:t>,</w:t>
      </w:r>
    </w:p>
    <w:p w14:paraId="384C7859"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 xml:space="preserve">hematológia a krvná banka – v pavilóne </w:t>
      </w:r>
      <w:proofErr w:type="spellStart"/>
      <w:r w:rsidRPr="00FD6061">
        <w:rPr>
          <w:rFonts w:ascii="Century Gothic" w:hAnsi="Century Gothic"/>
          <w:iCs/>
          <w:sz w:val="22"/>
          <w:szCs w:val="22"/>
        </w:rPr>
        <w:t>monobloku</w:t>
      </w:r>
      <w:proofErr w:type="spellEnd"/>
      <w:r w:rsidRPr="00FD6061">
        <w:rPr>
          <w:rFonts w:ascii="Century Gothic" w:hAnsi="Century Gothic"/>
          <w:iCs/>
          <w:sz w:val="22"/>
          <w:szCs w:val="22"/>
        </w:rPr>
        <w:t>,</w:t>
      </w:r>
    </w:p>
    <w:p w14:paraId="68B1B3A3"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pediatria, ambulancia pohotovostnej služby pre deti a dorast vrátane pediatrickej ÚPS – v pavilóne pediatrie,</w:t>
      </w:r>
    </w:p>
    <w:p w14:paraId="04457518"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pediatrické ambulancie zostávajú v detskej poliklinike,</w:t>
      </w:r>
    </w:p>
    <w:p w14:paraId="77A9DD60"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 xml:space="preserve">FBLR – v pavilóne </w:t>
      </w:r>
      <w:proofErr w:type="spellStart"/>
      <w:r w:rsidRPr="00FD6061">
        <w:rPr>
          <w:rFonts w:ascii="Century Gothic" w:hAnsi="Century Gothic"/>
          <w:iCs/>
          <w:sz w:val="22"/>
          <w:szCs w:val="22"/>
        </w:rPr>
        <w:t>monobloku</w:t>
      </w:r>
      <w:proofErr w:type="spellEnd"/>
      <w:r w:rsidRPr="00FD6061">
        <w:rPr>
          <w:rFonts w:ascii="Century Gothic" w:hAnsi="Century Gothic"/>
          <w:iCs/>
          <w:sz w:val="22"/>
          <w:szCs w:val="22"/>
        </w:rPr>
        <w:t>,</w:t>
      </w:r>
    </w:p>
    <w:p w14:paraId="4A9EACE7" w14:textId="77777777"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 xml:space="preserve">ambulancie </w:t>
      </w:r>
      <w:proofErr w:type="spellStart"/>
      <w:r w:rsidRPr="00FD6061">
        <w:rPr>
          <w:rFonts w:ascii="Century Gothic" w:hAnsi="Century Gothic"/>
          <w:iCs/>
          <w:sz w:val="22"/>
          <w:szCs w:val="22"/>
        </w:rPr>
        <w:t>pneumológie</w:t>
      </w:r>
      <w:proofErr w:type="spellEnd"/>
      <w:r w:rsidRPr="00FD6061">
        <w:rPr>
          <w:rFonts w:ascii="Century Gothic" w:hAnsi="Century Gothic"/>
          <w:iCs/>
          <w:sz w:val="22"/>
          <w:szCs w:val="22"/>
        </w:rPr>
        <w:t xml:space="preserve"> a </w:t>
      </w:r>
      <w:proofErr w:type="spellStart"/>
      <w:r w:rsidRPr="00FD6061">
        <w:rPr>
          <w:rFonts w:ascii="Century Gothic" w:hAnsi="Century Gothic"/>
          <w:iCs/>
          <w:sz w:val="22"/>
          <w:szCs w:val="22"/>
        </w:rPr>
        <w:t>ftizeológie</w:t>
      </w:r>
      <w:proofErr w:type="spellEnd"/>
      <w:r w:rsidRPr="00FD6061">
        <w:rPr>
          <w:rFonts w:ascii="Century Gothic" w:hAnsi="Century Gothic"/>
          <w:iCs/>
          <w:sz w:val="22"/>
          <w:szCs w:val="22"/>
        </w:rPr>
        <w:t xml:space="preserve"> – v pavilóne LDCH,</w:t>
      </w:r>
    </w:p>
    <w:p w14:paraId="445BEBAA" w14:textId="21B39AEB" w:rsidR="00FD6061" w:rsidRPr="00FD6061" w:rsidRDefault="00FD6061" w:rsidP="00796613">
      <w:pPr>
        <w:pStyle w:val="Odsekzoznamu"/>
        <w:numPr>
          <w:ilvl w:val="0"/>
          <w:numId w:val="75"/>
        </w:numPr>
        <w:spacing w:line="240" w:lineRule="auto"/>
        <w:rPr>
          <w:rFonts w:ascii="Century Gothic" w:hAnsi="Century Gothic"/>
          <w:iCs/>
          <w:sz w:val="22"/>
          <w:szCs w:val="22"/>
        </w:rPr>
      </w:pPr>
      <w:r w:rsidRPr="00FD6061">
        <w:rPr>
          <w:rFonts w:ascii="Century Gothic" w:hAnsi="Century Gothic"/>
          <w:iCs/>
          <w:sz w:val="22"/>
          <w:szCs w:val="22"/>
        </w:rPr>
        <w:t>ostatné ambulancie všeobecnej a špecializovanej zdravotnej starostlivosti, ktoré sú situované v</w:t>
      </w:r>
      <w:r w:rsidR="005E64EE">
        <w:rPr>
          <w:rFonts w:ascii="Century Gothic" w:hAnsi="Century Gothic"/>
          <w:iCs/>
          <w:sz w:val="22"/>
          <w:szCs w:val="22"/>
        </w:rPr>
        <w:t> </w:t>
      </w:r>
      <w:r w:rsidRPr="00FD6061">
        <w:rPr>
          <w:rFonts w:ascii="Century Gothic" w:hAnsi="Century Gothic"/>
          <w:iCs/>
          <w:sz w:val="22"/>
          <w:szCs w:val="22"/>
        </w:rPr>
        <w:t>poliklinike</w:t>
      </w:r>
      <w:r w:rsidR="005E64EE">
        <w:rPr>
          <w:rFonts w:ascii="Century Gothic" w:hAnsi="Century Gothic"/>
          <w:iCs/>
          <w:sz w:val="22"/>
          <w:szCs w:val="22"/>
        </w:rPr>
        <w:t>.</w:t>
      </w:r>
    </w:p>
    <w:p w14:paraId="42384480" w14:textId="2048BCAC" w:rsidR="00FD6061" w:rsidRDefault="00FD6061" w:rsidP="007B7154">
      <w:pPr>
        <w:spacing w:line="240" w:lineRule="auto"/>
        <w:rPr>
          <w:rFonts w:ascii="Century Gothic" w:hAnsi="Century Gothic"/>
          <w:b/>
        </w:rPr>
      </w:pPr>
    </w:p>
    <w:p w14:paraId="4F2557AB" w14:textId="77777777" w:rsidR="00FD6061" w:rsidRPr="00FD6061" w:rsidRDefault="00FD6061" w:rsidP="00FD6061">
      <w:pPr>
        <w:spacing w:line="240" w:lineRule="auto"/>
        <w:rPr>
          <w:rFonts w:ascii="Century Gothic" w:hAnsi="Century Gothic"/>
          <w:sz w:val="22"/>
          <w:szCs w:val="22"/>
          <w:lang w:eastAsia="en-US"/>
        </w:rPr>
      </w:pPr>
      <w:r w:rsidRPr="00FD6061">
        <w:rPr>
          <w:rFonts w:ascii="Century Gothic" w:hAnsi="Century Gothic"/>
          <w:sz w:val="22"/>
          <w:szCs w:val="22"/>
          <w:lang w:eastAsia="en-US"/>
        </w:rPr>
        <w:t xml:space="preserve">Pri všetkých oddeleniach, ktoré zostávajú v pôvodných priestoroch, boli zobraté do úvahy priestorové možnosti nového pavilónu a ich  materiálno-technické zázemie. Ide najmä o klinickú a radiačnú onkológiu, </w:t>
      </w:r>
      <w:proofErr w:type="spellStart"/>
      <w:r w:rsidRPr="00FD6061">
        <w:rPr>
          <w:rFonts w:ascii="Century Gothic" w:hAnsi="Century Gothic"/>
          <w:sz w:val="22"/>
          <w:szCs w:val="22"/>
          <w:lang w:eastAsia="en-US"/>
        </w:rPr>
        <w:t>oftalmológiu</w:t>
      </w:r>
      <w:proofErr w:type="spellEnd"/>
      <w:r w:rsidRPr="00FD6061">
        <w:rPr>
          <w:rFonts w:ascii="Century Gothic" w:hAnsi="Century Gothic"/>
          <w:sz w:val="22"/>
          <w:szCs w:val="22"/>
          <w:lang w:eastAsia="en-US"/>
        </w:rPr>
        <w:t xml:space="preserve">, pediatriu, FBLR (osobitne jej ambulantnú a lôžkovú časť). Rovnaká situácia je v prípade nemocničných ambulancií, ktoré sú v prevažnej miere situované v poliklinike na siedmich podlažiach. </w:t>
      </w:r>
    </w:p>
    <w:p w14:paraId="66A114A9" w14:textId="77777777" w:rsidR="00FD6061" w:rsidRPr="00FD6061" w:rsidRDefault="00FD6061" w:rsidP="00FD6061">
      <w:pPr>
        <w:spacing w:line="240" w:lineRule="auto"/>
        <w:rPr>
          <w:rFonts w:ascii="Century Gothic" w:hAnsi="Century Gothic"/>
          <w:sz w:val="22"/>
          <w:szCs w:val="22"/>
          <w:lang w:eastAsia="en-US"/>
        </w:rPr>
      </w:pPr>
      <w:r w:rsidRPr="00FD6061">
        <w:rPr>
          <w:rFonts w:ascii="Century Gothic" w:hAnsi="Century Gothic"/>
          <w:sz w:val="22"/>
          <w:szCs w:val="22"/>
          <w:lang w:eastAsia="en-US"/>
        </w:rPr>
        <w:t>V súčasnosti nie sú v poliklinike využité všetky priestory pre potreby ambulancií a vyšetrovní, pretože značná časť administratívy (ekonomické oddelenie využíva celé poschodie v pavilóne pediatrie, personálne oddelenie časť  7. poschodia v poliklinike ako aj ostatné nemedicínske oddelenia využívajú priestory po zrušených ambulanciách a vyšetrovniach).</w:t>
      </w:r>
    </w:p>
    <w:p w14:paraId="4CA2738E" w14:textId="77777777" w:rsidR="00FD6061" w:rsidRPr="00FD6061" w:rsidRDefault="00FD6061" w:rsidP="00FD6061">
      <w:pPr>
        <w:spacing w:line="240" w:lineRule="auto"/>
        <w:rPr>
          <w:rFonts w:ascii="Century Gothic" w:hAnsi="Century Gothic"/>
          <w:sz w:val="22"/>
          <w:szCs w:val="22"/>
          <w:lang w:eastAsia="en-US"/>
        </w:rPr>
      </w:pPr>
      <w:r w:rsidRPr="00FD6061">
        <w:rPr>
          <w:rFonts w:ascii="Century Gothic" w:hAnsi="Century Gothic"/>
          <w:sz w:val="22"/>
          <w:szCs w:val="22"/>
          <w:lang w:eastAsia="en-US"/>
        </w:rPr>
        <w:t xml:space="preserve">Jednoznačným zámerom je koncentrovať administratívne strediská mimo ambulantného centra v poliklinike. Zámerom je ďalej rozširovať ambulancie v priestoroch na to vyhradených.  </w:t>
      </w:r>
    </w:p>
    <w:p w14:paraId="217AE38F" w14:textId="77777777" w:rsidR="00FD6061" w:rsidRDefault="00FD6061" w:rsidP="007B7154">
      <w:pPr>
        <w:spacing w:line="240" w:lineRule="auto"/>
        <w:rPr>
          <w:rFonts w:ascii="Century Gothic" w:hAnsi="Century Gothic"/>
          <w:b/>
        </w:rPr>
      </w:pPr>
    </w:p>
    <w:p w14:paraId="3DFAFEBE" w14:textId="77777777" w:rsidR="000919F7" w:rsidRPr="000919F7" w:rsidRDefault="000919F7" w:rsidP="008F3D74">
      <w:pPr>
        <w:spacing w:line="240" w:lineRule="auto"/>
        <w:rPr>
          <w:rFonts w:ascii="Century Gothic" w:hAnsi="Century Gothic"/>
          <w:sz w:val="22"/>
          <w:szCs w:val="22"/>
          <w:lang w:eastAsia="en-US"/>
        </w:rPr>
      </w:pPr>
      <w:r w:rsidRPr="000919F7">
        <w:rPr>
          <w:rFonts w:ascii="Century Gothic" w:hAnsi="Century Gothic"/>
          <w:sz w:val="22"/>
          <w:szCs w:val="22"/>
          <w:lang w:eastAsia="en-US"/>
        </w:rPr>
        <w:t>Po dostavbe nového pavilónu vzniknú v areáli nemocnice logické funkčné celky a to:</w:t>
      </w:r>
    </w:p>
    <w:p w14:paraId="610B8707" w14:textId="558A7F41"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Pavilón urgentnej medicíny</w:t>
      </w:r>
      <w:r>
        <w:rPr>
          <w:rFonts w:ascii="Century Gothic" w:hAnsi="Century Gothic"/>
          <w:sz w:val="22"/>
          <w:szCs w:val="22"/>
          <w:lang w:eastAsia="en-US"/>
        </w:rPr>
        <w:t>.</w:t>
      </w:r>
    </w:p>
    <w:p w14:paraId="124806BD" w14:textId="6DB14507"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Pavilón pre internistické odbory</w:t>
      </w:r>
      <w:r>
        <w:rPr>
          <w:rFonts w:ascii="Century Gothic" w:hAnsi="Century Gothic"/>
          <w:sz w:val="22"/>
          <w:szCs w:val="22"/>
          <w:lang w:eastAsia="en-US"/>
        </w:rPr>
        <w:t>.</w:t>
      </w:r>
    </w:p>
    <w:p w14:paraId="7037496A" w14:textId="115FA0BE"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Psychiatrický pavilón</w:t>
      </w:r>
      <w:r>
        <w:rPr>
          <w:rFonts w:ascii="Century Gothic" w:hAnsi="Century Gothic"/>
          <w:sz w:val="22"/>
          <w:szCs w:val="22"/>
          <w:lang w:eastAsia="en-US"/>
        </w:rPr>
        <w:t>.</w:t>
      </w:r>
    </w:p>
    <w:p w14:paraId="14084FA9" w14:textId="06CBB15E"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Pavilón pre dlhodobú starostlivosť</w:t>
      </w:r>
      <w:r>
        <w:rPr>
          <w:rFonts w:ascii="Century Gothic" w:hAnsi="Century Gothic"/>
          <w:sz w:val="22"/>
          <w:szCs w:val="22"/>
          <w:lang w:eastAsia="en-US"/>
        </w:rPr>
        <w:t>.</w:t>
      </w:r>
    </w:p>
    <w:p w14:paraId="1DE4CC74" w14:textId="5BD7C840"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Detský pavilón</w:t>
      </w:r>
      <w:r>
        <w:rPr>
          <w:rFonts w:ascii="Century Gothic" w:hAnsi="Century Gothic"/>
          <w:sz w:val="22"/>
          <w:szCs w:val="22"/>
          <w:lang w:eastAsia="en-US"/>
        </w:rPr>
        <w:t>.</w:t>
      </w:r>
    </w:p>
    <w:p w14:paraId="6D84519C" w14:textId="1426E6F9"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Očný pavilón</w:t>
      </w:r>
      <w:r>
        <w:rPr>
          <w:rFonts w:ascii="Century Gothic" w:hAnsi="Century Gothic"/>
          <w:sz w:val="22"/>
          <w:szCs w:val="22"/>
          <w:lang w:eastAsia="en-US"/>
        </w:rPr>
        <w:t>.</w:t>
      </w:r>
    </w:p>
    <w:p w14:paraId="083BB4DA" w14:textId="5CCAF236"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Onkológia</w:t>
      </w:r>
      <w:r>
        <w:rPr>
          <w:rFonts w:ascii="Century Gothic" w:hAnsi="Century Gothic"/>
          <w:sz w:val="22"/>
          <w:szCs w:val="22"/>
          <w:lang w:eastAsia="en-US"/>
        </w:rPr>
        <w:t>.</w:t>
      </w:r>
    </w:p>
    <w:p w14:paraId="7595C750" w14:textId="43FFF7B3" w:rsidR="000919F7" w:rsidRPr="000919F7" w:rsidRDefault="000919F7" w:rsidP="007F681B">
      <w:pPr>
        <w:pStyle w:val="Odsekzoznamu"/>
        <w:numPr>
          <w:ilvl w:val="0"/>
          <w:numId w:val="50"/>
        </w:numPr>
        <w:spacing w:line="240" w:lineRule="auto"/>
        <w:rPr>
          <w:rFonts w:ascii="Century Gothic" w:hAnsi="Century Gothic"/>
          <w:sz w:val="22"/>
          <w:szCs w:val="22"/>
          <w:lang w:eastAsia="en-US"/>
        </w:rPr>
      </w:pPr>
      <w:r w:rsidRPr="000919F7">
        <w:rPr>
          <w:rFonts w:ascii="Century Gothic" w:hAnsi="Century Gothic"/>
          <w:sz w:val="22"/>
          <w:szCs w:val="22"/>
          <w:lang w:eastAsia="en-US"/>
        </w:rPr>
        <w:t>Poliklinická časť</w:t>
      </w:r>
      <w:r>
        <w:rPr>
          <w:rFonts w:ascii="Century Gothic" w:hAnsi="Century Gothic"/>
          <w:sz w:val="22"/>
          <w:szCs w:val="22"/>
          <w:lang w:eastAsia="en-US"/>
        </w:rPr>
        <w:t>.</w:t>
      </w:r>
    </w:p>
    <w:p w14:paraId="6862296B" w14:textId="0BFF2C63" w:rsidR="00477448" w:rsidRDefault="00477448" w:rsidP="007B7154">
      <w:pPr>
        <w:spacing w:line="240" w:lineRule="auto"/>
        <w:rPr>
          <w:rFonts w:ascii="Century Gothic" w:hAnsi="Century Gothic"/>
          <w:b/>
        </w:rPr>
      </w:pPr>
    </w:p>
    <w:p w14:paraId="3683CCD4" w14:textId="77777777" w:rsidR="007B7154" w:rsidRPr="00E0451E"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48" w:name="_Toc145219973"/>
      <w:r w:rsidRPr="00E0451E">
        <w:rPr>
          <w:rFonts w:ascii="Century Gothic" w:hAnsi="Century Gothic" w:cs="Calibri Light"/>
          <w:b w:val="0"/>
          <w:bCs w:val="0"/>
          <w:color w:val="365F91" w:themeColor="accent1" w:themeShade="BF"/>
          <w:lang w:eastAsia="en-US"/>
        </w:rPr>
        <w:t xml:space="preserve">Využitie vyprázdnených priestorov </w:t>
      </w:r>
      <w:proofErr w:type="spellStart"/>
      <w:r w:rsidRPr="00E0451E">
        <w:rPr>
          <w:rFonts w:ascii="Century Gothic" w:hAnsi="Century Gothic" w:cs="Calibri Light"/>
          <w:b w:val="0"/>
          <w:bCs w:val="0"/>
          <w:color w:val="365F91" w:themeColor="accent1" w:themeShade="BF"/>
          <w:lang w:eastAsia="en-US"/>
        </w:rPr>
        <w:t>FNsP</w:t>
      </w:r>
      <w:bookmarkEnd w:id="148"/>
      <w:proofErr w:type="spellEnd"/>
    </w:p>
    <w:p w14:paraId="2338FC62" w14:textId="3B4C58CB" w:rsidR="000919F7" w:rsidRDefault="000919F7" w:rsidP="00796613">
      <w:pPr>
        <w:rPr>
          <w:lang w:eastAsia="en-US"/>
        </w:rPr>
      </w:pPr>
    </w:p>
    <w:p w14:paraId="296A9589" w14:textId="77777777" w:rsidR="00796613" w:rsidRPr="00796613" w:rsidRDefault="00796613" w:rsidP="00796613">
      <w:pPr>
        <w:spacing w:line="240" w:lineRule="auto"/>
        <w:rPr>
          <w:rFonts w:ascii="Century Gothic" w:hAnsi="Century Gothic"/>
          <w:sz w:val="22"/>
          <w:szCs w:val="22"/>
        </w:rPr>
      </w:pPr>
      <w:r w:rsidRPr="00796613">
        <w:rPr>
          <w:rFonts w:ascii="Century Gothic" w:hAnsi="Century Gothic"/>
          <w:sz w:val="22"/>
          <w:szCs w:val="22"/>
        </w:rPr>
        <w:lastRenderedPageBreak/>
        <w:t>Pôvodné priestory zostávajúce po oddeleniach, ktoré budú presťahované do nového pavilónu, budú zrekonštruované a prioritne využité na dva účely:</w:t>
      </w:r>
    </w:p>
    <w:p w14:paraId="46FC1324" w14:textId="397E7880" w:rsidR="00796613" w:rsidRPr="00796613" w:rsidRDefault="00796613" w:rsidP="00796613">
      <w:pPr>
        <w:pStyle w:val="Odsekzoznamu"/>
        <w:numPr>
          <w:ilvl w:val="0"/>
          <w:numId w:val="75"/>
        </w:numPr>
        <w:spacing w:line="240" w:lineRule="auto"/>
        <w:rPr>
          <w:rFonts w:ascii="Century Gothic" w:hAnsi="Century Gothic"/>
          <w:sz w:val="22"/>
          <w:szCs w:val="22"/>
        </w:rPr>
      </w:pPr>
      <w:r w:rsidRPr="00796613">
        <w:rPr>
          <w:rFonts w:ascii="Century Gothic" w:hAnsi="Century Gothic"/>
          <w:sz w:val="22"/>
          <w:szCs w:val="22"/>
        </w:rPr>
        <w:t>poskytovanie následnej zdravotnej starostlivosti, t. j. lôžka potrebné na doošetrovanie či doliečenie pacientov po hospitalizácii na akútnych lôžkach, aby mohla byť poskytnutá primeraná zdravotná starostlivosť na tomto type chronických lôžok, napríklad rozšírenie Domu ošetrovateľskej starostlivosti, hospic</w:t>
      </w:r>
      <w:r w:rsidR="008C4E2F">
        <w:rPr>
          <w:rFonts w:ascii="Century Gothic" w:hAnsi="Century Gothic"/>
          <w:sz w:val="22"/>
          <w:szCs w:val="22"/>
        </w:rPr>
        <w:t>u</w:t>
      </w:r>
      <w:r w:rsidRPr="00796613">
        <w:rPr>
          <w:rFonts w:ascii="Century Gothic" w:hAnsi="Century Gothic"/>
          <w:sz w:val="22"/>
          <w:szCs w:val="22"/>
        </w:rPr>
        <w:t xml:space="preserve"> a pod., </w:t>
      </w:r>
    </w:p>
    <w:p w14:paraId="4F772E4F" w14:textId="77777777" w:rsidR="00796613" w:rsidRPr="00796613" w:rsidRDefault="00796613" w:rsidP="00796613">
      <w:pPr>
        <w:pStyle w:val="Odsekzoznamu"/>
        <w:numPr>
          <w:ilvl w:val="0"/>
          <w:numId w:val="75"/>
        </w:numPr>
        <w:spacing w:line="240" w:lineRule="auto"/>
        <w:rPr>
          <w:rFonts w:ascii="Century Gothic" w:hAnsi="Century Gothic"/>
          <w:sz w:val="22"/>
          <w:szCs w:val="22"/>
        </w:rPr>
      </w:pPr>
      <w:r w:rsidRPr="00796613">
        <w:rPr>
          <w:rFonts w:ascii="Century Gothic" w:hAnsi="Century Gothic"/>
          <w:sz w:val="22"/>
          <w:szCs w:val="22"/>
        </w:rPr>
        <w:t>pre potreby administratívy – nemedicínske oddelenia, ako sú ekonomické oddelenie, odbor ľudských zdrojov, odbor styku so zdravotnými poisťovňami, oddelenie majetkovo-právnych záležitostí, oddelenie verejného obstarávania a ďalšie.</w:t>
      </w:r>
    </w:p>
    <w:p w14:paraId="7AF741B4" w14:textId="77777777" w:rsidR="00796613" w:rsidRDefault="00796613" w:rsidP="000919F7">
      <w:pPr>
        <w:rPr>
          <w:lang w:eastAsia="en-US"/>
        </w:rPr>
      </w:pPr>
    </w:p>
    <w:p w14:paraId="128C58A7" w14:textId="308CC39C" w:rsidR="000919F7" w:rsidRPr="000919F7" w:rsidRDefault="000919F7" w:rsidP="008F3D74">
      <w:pPr>
        <w:spacing w:line="240" w:lineRule="auto"/>
        <w:rPr>
          <w:rFonts w:ascii="Century Gothic" w:hAnsi="Century Gothic"/>
          <w:sz w:val="22"/>
          <w:szCs w:val="22"/>
          <w:lang w:eastAsia="en-US"/>
        </w:rPr>
      </w:pPr>
      <w:r w:rsidRPr="000919F7">
        <w:rPr>
          <w:rFonts w:ascii="Century Gothic" w:hAnsi="Century Gothic"/>
          <w:sz w:val="22"/>
          <w:szCs w:val="22"/>
          <w:lang w:eastAsia="en-US"/>
        </w:rPr>
        <w:t>Vyprázdnené budovy a priestory sa môžu využiť nasledovne:</w:t>
      </w:r>
    </w:p>
    <w:p w14:paraId="2D31AAF4" w14:textId="5DBC5254" w:rsidR="000919F7" w:rsidRPr="000919F7" w:rsidRDefault="000919F7" w:rsidP="007F681B">
      <w:pPr>
        <w:pStyle w:val="Odsekzoznamu"/>
        <w:numPr>
          <w:ilvl w:val="0"/>
          <w:numId w:val="51"/>
        </w:numPr>
        <w:spacing w:line="240" w:lineRule="auto"/>
        <w:rPr>
          <w:rFonts w:ascii="Century Gothic" w:hAnsi="Century Gothic"/>
          <w:sz w:val="22"/>
          <w:szCs w:val="22"/>
          <w:lang w:eastAsia="en-US"/>
        </w:rPr>
      </w:pPr>
      <w:r w:rsidRPr="000919F7">
        <w:rPr>
          <w:rFonts w:ascii="Century Gothic" w:hAnsi="Century Gothic"/>
          <w:sz w:val="22"/>
          <w:szCs w:val="22"/>
          <w:lang w:eastAsia="en-US"/>
        </w:rPr>
        <w:t>Terajšia budova chirurgických disciplín (</w:t>
      </w:r>
      <w:r w:rsidR="00130E36">
        <w:rPr>
          <w:rFonts w:ascii="Century Gothic" w:hAnsi="Century Gothic"/>
          <w:sz w:val="22"/>
          <w:szCs w:val="22"/>
          <w:lang w:eastAsia="en-US"/>
        </w:rPr>
        <w:t>pavilón G</w:t>
      </w:r>
      <w:r w:rsidRPr="000919F7">
        <w:rPr>
          <w:rFonts w:ascii="Century Gothic" w:hAnsi="Century Gothic"/>
          <w:sz w:val="22"/>
          <w:szCs w:val="22"/>
          <w:lang w:eastAsia="en-US"/>
        </w:rPr>
        <w:t xml:space="preserve">, kde je </w:t>
      </w:r>
      <w:r>
        <w:rPr>
          <w:rFonts w:ascii="Century Gothic" w:hAnsi="Century Gothic"/>
          <w:sz w:val="22"/>
          <w:szCs w:val="22"/>
          <w:lang w:eastAsia="en-US"/>
        </w:rPr>
        <w:t>v </w:t>
      </w:r>
      <w:r w:rsidR="004E231E">
        <w:rPr>
          <w:rFonts w:ascii="Century Gothic" w:hAnsi="Century Gothic"/>
          <w:sz w:val="22"/>
          <w:szCs w:val="22"/>
          <w:lang w:eastAsia="en-US"/>
        </w:rPr>
        <w:t>súčasnosti</w:t>
      </w:r>
      <w:r w:rsidRPr="000919F7">
        <w:rPr>
          <w:rFonts w:ascii="Century Gothic" w:hAnsi="Century Gothic"/>
          <w:sz w:val="22"/>
          <w:szCs w:val="22"/>
          <w:lang w:eastAsia="en-US"/>
        </w:rPr>
        <w:t xml:space="preserve"> chirurgia, neurochirurgia, traumatológia a ortopédia) bude slúžiť pre dlhodobú starostlivosť v odboroch ošetrovateľstvo a dlhodobo chorých. Zároveň budú v tomto pavilóne zriadené infekčné lôžka so záložnou operačnou sálou pre operácie infekčných pacientov. Časť pavilónu môže byť využitá ako zdravotno-sociálne služby</w:t>
      </w:r>
      <w:r>
        <w:rPr>
          <w:rFonts w:ascii="Century Gothic" w:hAnsi="Century Gothic"/>
          <w:sz w:val="22"/>
          <w:szCs w:val="22"/>
          <w:lang w:eastAsia="en-US"/>
        </w:rPr>
        <w:t xml:space="preserve"> alebo hospic v spolupráci so ŽSK</w:t>
      </w:r>
      <w:r w:rsidRPr="000919F7">
        <w:rPr>
          <w:rFonts w:ascii="Century Gothic" w:hAnsi="Century Gothic"/>
          <w:sz w:val="22"/>
          <w:szCs w:val="22"/>
          <w:lang w:eastAsia="en-US"/>
        </w:rPr>
        <w:t xml:space="preserve"> alebo tretím sektorom. Časť priestorov môže slúžiť ako záložné lôžka pre epidémie a iné hromadné nešťastia.</w:t>
      </w:r>
    </w:p>
    <w:p w14:paraId="65781387" w14:textId="77777777" w:rsidR="000919F7" w:rsidRPr="000919F7" w:rsidRDefault="000919F7" w:rsidP="007F681B">
      <w:pPr>
        <w:pStyle w:val="Odsekzoznamu"/>
        <w:numPr>
          <w:ilvl w:val="0"/>
          <w:numId w:val="51"/>
        </w:numPr>
        <w:spacing w:line="240" w:lineRule="auto"/>
        <w:rPr>
          <w:rFonts w:ascii="Century Gothic" w:hAnsi="Century Gothic"/>
          <w:sz w:val="22"/>
          <w:szCs w:val="22"/>
          <w:lang w:eastAsia="en-US"/>
        </w:rPr>
      </w:pPr>
      <w:r w:rsidRPr="000919F7">
        <w:rPr>
          <w:rFonts w:ascii="Century Gothic" w:hAnsi="Century Gothic"/>
          <w:sz w:val="22"/>
          <w:szCs w:val="22"/>
          <w:lang w:eastAsia="en-US"/>
        </w:rPr>
        <w:t>Terajšia budova urgentného príjmu a OAIM môže mať viaceré využitia. V súčasných priestoroch OAIM je možné zriadiť oddelenie dlhodobo ventilovaných pacientov v počte 8 lôžok. Na prízemí, v priestoroch terajšieho urgentného príjmu je možné zriadiť dialyzačný stacionár vzhľadom na dobrú dopravnú prístupnosť a vnútorné členenie.</w:t>
      </w:r>
    </w:p>
    <w:p w14:paraId="4A92076C" w14:textId="77777777" w:rsidR="000919F7" w:rsidRPr="000919F7" w:rsidRDefault="000919F7" w:rsidP="007F681B">
      <w:pPr>
        <w:pStyle w:val="Odsekzoznamu"/>
        <w:numPr>
          <w:ilvl w:val="0"/>
          <w:numId w:val="51"/>
        </w:numPr>
        <w:spacing w:line="240" w:lineRule="auto"/>
        <w:rPr>
          <w:rFonts w:ascii="Century Gothic" w:hAnsi="Century Gothic"/>
          <w:sz w:val="22"/>
          <w:szCs w:val="22"/>
          <w:lang w:eastAsia="en-US"/>
        </w:rPr>
      </w:pPr>
      <w:r w:rsidRPr="000919F7">
        <w:rPr>
          <w:rFonts w:ascii="Century Gothic" w:hAnsi="Century Gothic"/>
          <w:sz w:val="22"/>
          <w:szCs w:val="22"/>
          <w:lang w:eastAsia="en-US"/>
        </w:rPr>
        <w:t>Terajšie priestory v budove XX po odsťahovaní ORL oddelenia využije očné oddelenie, ktorého výkon, ako sme vysvetlili skôr, výrazne rastie.</w:t>
      </w:r>
    </w:p>
    <w:p w14:paraId="5F338ADB" w14:textId="77777777" w:rsidR="000919F7" w:rsidRPr="000919F7" w:rsidRDefault="000919F7" w:rsidP="007F681B">
      <w:pPr>
        <w:pStyle w:val="Odsekzoznamu"/>
        <w:numPr>
          <w:ilvl w:val="0"/>
          <w:numId w:val="51"/>
        </w:numPr>
        <w:spacing w:line="240" w:lineRule="auto"/>
        <w:rPr>
          <w:rFonts w:ascii="Century Gothic" w:hAnsi="Century Gothic"/>
          <w:sz w:val="22"/>
          <w:szCs w:val="22"/>
          <w:lang w:eastAsia="en-US"/>
        </w:rPr>
      </w:pPr>
      <w:r w:rsidRPr="000919F7">
        <w:rPr>
          <w:rFonts w:ascii="Century Gothic" w:hAnsi="Century Gothic"/>
          <w:sz w:val="22"/>
          <w:szCs w:val="22"/>
          <w:lang w:eastAsia="en-US"/>
        </w:rPr>
        <w:t>Terajšie priestory v budove XX po odsťahovaní detskej ortopédie využije detské oddelenie.</w:t>
      </w:r>
    </w:p>
    <w:p w14:paraId="5762DE7B" w14:textId="143BDFC1" w:rsidR="000919F7" w:rsidRPr="000919F7" w:rsidRDefault="000919F7" w:rsidP="007F681B">
      <w:pPr>
        <w:pStyle w:val="Odsekzoznamu"/>
        <w:numPr>
          <w:ilvl w:val="0"/>
          <w:numId w:val="51"/>
        </w:numPr>
        <w:spacing w:line="240" w:lineRule="auto"/>
        <w:rPr>
          <w:rFonts w:ascii="Century Gothic" w:hAnsi="Century Gothic"/>
          <w:sz w:val="22"/>
          <w:szCs w:val="22"/>
          <w:lang w:eastAsia="en-US"/>
        </w:rPr>
      </w:pPr>
      <w:r w:rsidRPr="000919F7">
        <w:rPr>
          <w:rFonts w:ascii="Century Gothic" w:hAnsi="Century Gothic"/>
          <w:sz w:val="22"/>
          <w:szCs w:val="22"/>
          <w:lang w:eastAsia="en-US"/>
        </w:rPr>
        <w:t xml:space="preserve">Terajšie priestory po Gynekologicko-pôrodníckom oddelení budú slúžiť na </w:t>
      </w:r>
      <w:proofErr w:type="spellStart"/>
      <w:r w:rsidRPr="000919F7">
        <w:rPr>
          <w:rFonts w:ascii="Century Gothic" w:hAnsi="Century Gothic"/>
          <w:sz w:val="22"/>
          <w:szCs w:val="22"/>
          <w:lang w:eastAsia="en-US"/>
        </w:rPr>
        <w:t>kompletáciu</w:t>
      </w:r>
      <w:proofErr w:type="spellEnd"/>
      <w:r w:rsidRPr="000919F7">
        <w:rPr>
          <w:rFonts w:ascii="Century Gothic" w:hAnsi="Century Gothic"/>
          <w:sz w:val="22"/>
          <w:szCs w:val="22"/>
          <w:lang w:eastAsia="en-US"/>
        </w:rPr>
        <w:t xml:space="preserve"> internistického pavilónu – dobudovanie </w:t>
      </w:r>
      <w:proofErr w:type="spellStart"/>
      <w:r w:rsidRPr="000919F7">
        <w:rPr>
          <w:rFonts w:ascii="Century Gothic" w:hAnsi="Century Gothic"/>
          <w:sz w:val="22"/>
          <w:szCs w:val="22"/>
          <w:lang w:eastAsia="en-US"/>
        </w:rPr>
        <w:t>intermediárnej</w:t>
      </w:r>
      <w:proofErr w:type="spellEnd"/>
      <w:r w:rsidRPr="000919F7">
        <w:rPr>
          <w:rFonts w:ascii="Century Gothic" w:hAnsi="Century Gothic"/>
          <w:sz w:val="22"/>
          <w:szCs w:val="22"/>
          <w:lang w:eastAsia="en-US"/>
        </w:rPr>
        <w:t xml:space="preserve"> a intervenčnej starostlivosti pre pacientov s ochorením srdca a metabolických pacientov. Rovnako k hematológii sa pridruží krvný sklad z asanovanej budovy.</w:t>
      </w:r>
    </w:p>
    <w:p w14:paraId="5803994C" w14:textId="77777777" w:rsidR="000919F7" w:rsidRPr="0067762B" w:rsidRDefault="000919F7" w:rsidP="000919F7">
      <w:pPr>
        <w:pStyle w:val="Odsekzoznamu"/>
        <w:rPr>
          <w:lang w:eastAsia="en-US"/>
        </w:rPr>
      </w:pPr>
    </w:p>
    <w:p w14:paraId="694D10F6" w14:textId="77777777" w:rsidR="007B7154" w:rsidRPr="00E0451E"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49" w:name="_Toc145219974"/>
      <w:r w:rsidRPr="00E0451E">
        <w:rPr>
          <w:rFonts w:ascii="Century Gothic" w:hAnsi="Century Gothic" w:cs="Calibri Light"/>
          <w:b w:val="0"/>
          <w:bCs w:val="0"/>
          <w:color w:val="365F91" w:themeColor="accent1" w:themeShade="BF"/>
          <w:lang w:eastAsia="en-US"/>
        </w:rPr>
        <w:t>Asanované budovy</w:t>
      </w:r>
      <w:bookmarkEnd w:id="149"/>
    </w:p>
    <w:p w14:paraId="043EE31C" w14:textId="77777777" w:rsidR="000919F7" w:rsidRDefault="000919F7" w:rsidP="000919F7">
      <w:pPr>
        <w:rPr>
          <w:lang w:eastAsia="en-US"/>
        </w:rPr>
      </w:pPr>
    </w:p>
    <w:p w14:paraId="1DBEB35A" w14:textId="5743FEB9" w:rsidR="000919F7" w:rsidRDefault="000919F7" w:rsidP="008F3D74">
      <w:pPr>
        <w:spacing w:line="240" w:lineRule="auto"/>
        <w:rPr>
          <w:rFonts w:ascii="Century Gothic" w:hAnsi="Century Gothic"/>
          <w:sz w:val="22"/>
          <w:szCs w:val="22"/>
          <w:lang w:eastAsia="en-US"/>
        </w:rPr>
      </w:pPr>
      <w:r w:rsidRPr="000919F7">
        <w:rPr>
          <w:rFonts w:ascii="Century Gothic" w:hAnsi="Century Gothic"/>
          <w:sz w:val="22"/>
          <w:szCs w:val="22"/>
          <w:lang w:eastAsia="en-US"/>
        </w:rPr>
        <w:t>V súvislosti so stavbou urgentného pavilónu sa očakáva asa</w:t>
      </w:r>
      <w:r w:rsidR="00D43498">
        <w:rPr>
          <w:rFonts w:ascii="Century Gothic" w:hAnsi="Century Gothic"/>
          <w:sz w:val="22"/>
          <w:szCs w:val="22"/>
          <w:lang w:eastAsia="en-US"/>
        </w:rPr>
        <w:t>nácia budovy súčasnej urológie</w:t>
      </w:r>
      <w:r>
        <w:rPr>
          <w:rFonts w:ascii="Century Gothic" w:hAnsi="Century Gothic"/>
          <w:sz w:val="22"/>
          <w:szCs w:val="22"/>
          <w:lang w:eastAsia="en-US"/>
        </w:rPr>
        <w:t>,</w:t>
      </w:r>
      <w:r w:rsidRPr="000919F7">
        <w:rPr>
          <w:rFonts w:ascii="Century Gothic" w:hAnsi="Century Gothic"/>
          <w:sz w:val="22"/>
          <w:szCs w:val="22"/>
          <w:lang w:eastAsia="en-US"/>
        </w:rPr>
        <w:t xml:space="preserve"> táto bude súčasťou nového urgentného pavilónu.</w:t>
      </w:r>
      <w:r w:rsidR="00D75122">
        <w:rPr>
          <w:rFonts w:ascii="Century Gothic" w:hAnsi="Century Gothic"/>
          <w:sz w:val="22"/>
          <w:szCs w:val="22"/>
          <w:lang w:eastAsia="en-US"/>
        </w:rPr>
        <w:t xml:space="preserve"> </w:t>
      </w:r>
      <w:r w:rsidRPr="000919F7">
        <w:rPr>
          <w:rFonts w:ascii="Century Gothic" w:hAnsi="Century Gothic"/>
          <w:sz w:val="22"/>
          <w:szCs w:val="22"/>
          <w:lang w:eastAsia="en-US"/>
        </w:rPr>
        <w:t>Zároveň sa vykoná asanácia budovy terajšieho krvného skladu a psychiatrického stacio</w:t>
      </w:r>
      <w:r w:rsidR="00D75122">
        <w:rPr>
          <w:rFonts w:ascii="Century Gothic" w:hAnsi="Century Gothic"/>
          <w:sz w:val="22"/>
          <w:szCs w:val="22"/>
          <w:lang w:eastAsia="en-US"/>
        </w:rPr>
        <w:t>náru</w:t>
      </w:r>
      <w:r w:rsidRPr="000919F7">
        <w:rPr>
          <w:rFonts w:ascii="Century Gothic" w:hAnsi="Century Gothic"/>
          <w:sz w:val="22"/>
          <w:szCs w:val="22"/>
          <w:lang w:eastAsia="en-US"/>
        </w:rPr>
        <w:t>.</w:t>
      </w:r>
    </w:p>
    <w:p w14:paraId="06595E60" w14:textId="77777777" w:rsidR="00A31D7D" w:rsidRPr="000919F7" w:rsidRDefault="00A31D7D" w:rsidP="008F3D74">
      <w:pPr>
        <w:spacing w:line="240" w:lineRule="auto"/>
        <w:rPr>
          <w:rFonts w:ascii="Century Gothic" w:hAnsi="Century Gothic"/>
          <w:sz w:val="22"/>
          <w:szCs w:val="22"/>
          <w:lang w:eastAsia="en-US"/>
        </w:rPr>
      </w:pPr>
    </w:p>
    <w:p w14:paraId="622F3070" w14:textId="68C682DA" w:rsidR="007B7154" w:rsidRDefault="007B7154" w:rsidP="00E0451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50" w:name="_Toc145219975"/>
      <w:r w:rsidRPr="00E0451E">
        <w:rPr>
          <w:rFonts w:ascii="Century Gothic" w:hAnsi="Century Gothic" w:cs="Calibri Light"/>
          <w:b w:val="0"/>
          <w:bCs w:val="0"/>
          <w:color w:val="365F91" w:themeColor="accent1" w:themeShade="BF"/>
          <w:lang w:eastAsia="en-US"/>
        </w:rPr>
        <w:t>Predaj/prenájom iným subjektom</w:t>
      </w:r>
      <w:bookmarkEnd w:id="150"/>
    </w:p>
    <w:p w14:paraId="2296D30B" w14:textId="527AE663" w:rsidR="000919F7" w:rsidRPr="000919F7" w:rsidRDefault="000919F7" w:rsidP="000919F7">
      <w:pPr>
        <w:rPr>
          <w:rFonts w:ascii="Century Gothic" w:hAnsi="Century Gothic"/>
          <w:sz w:val="22"/>
          <w:szCs w:val="22"/>
          <w:lang w:eastAsia="en-US"/>
        </w:rPr>
      </w:pPr>
    </w:p>
    <w:p w14:paraId="4FE53E67" w14:textId="1D108002" w:rsidR="000919F7" w:rsidRPr="000919F7" w:rsidRDefault="000919F7" w:rsidP="008F3D74">
      <w:pPr>
        <w:spacing w:line="240" w:lineRule="auto"/>
        <w:rPr>
          <w:rFonts w:ascii="Century Gothic" w:hAnsi="Century Gothic"/>
          <w:sz w:val="22"/>
          <w:szCs w:val="22"/>
          <w:lang w:eastAsia="en-US"/>
        </w:rPr>
      </w:pPr>
      <w:r w:rsidRPr="000919F7">
        <w:rPr>
          <w:rFonts w:ascii="Century Gothic" w:hAnsi="Century Gothic"/>
          <w:sz w:val="22"/>
          <w:szCs w:val="22"/>
          <w:lang w:eastAsia="en-US"/>
        </w:rPr>
        <w:t xml:space="preserve">Vzhľadom na víziu kompletizácie </w:t>
      </w:r>
      <w:proofErr w:type="spellStart"/>
      <w:r w:rsidRPr="000919F7">
        <w:rPr>
          <w:rFonts w:ascii="Century Gothic" w:hAnsi="Century Gothic"/>
          <w:sz w:val="22"/>
          <w:szCs w:val="22"/>
          <w:lang w:eastAsia="en-US"/>
        </w:rPr>
        <w:t>FNsP</w:t>
      </w:r>
      <w:proofErr w:type="spellEnd"/>
      <w:r>
        <w:rPr>
          <w:rFonts w:ascii="Century Gothic" w:hAnsi="Century Gothic"/>
          <w:sz w:val="22"/>
          <w:szCs w:val="22"/>
          <w:lang w:eastAsia="en-US"/>
        </w:rPr>
        <w:t xml:space="preserve"> Žilina</w:t>
      </w:r>
      <w:r w:rsidRPr="000919F7">
        <w:rPr>
          <w:rFonts w:ascii="Century Gothic" w:hAnsi="Century Gothic"/>
          <w:sz w:val="22"/>
          <w:szCs w:val="22"/>
          <w:lang w:eastAsia="en-US"/>
        </w:rPr>
        <w:t xml:space="preserve"> ako nemocnice 3</w:t>
      </w:r>
      <w:r w:rsidR="007748A6">
        <w:rPr>
          <w:rFonts w:ascii="Century Gothic" w:hAnsi="Century Gothic"/>
          <w:sz w:val="22"/>
          <w:szCs w:val="22"/>
          <w:lang w:eastAsia="en-US"/>
        </w:rPr>
        <w:t>.</w:t>
      </w:r>
      <w:r w:rsidRPr="000919F7">
        <w:rPr>
          <w:rFonts w:ascii="Century Gothic" w:hAnsi="Century Gothic"/>
          <w:sz w:val="22"/>
          <w:szCs w:val="22"/>
          <w:lang w:eastAsia="en-US"/>
        </w:rPr>
        <w:t xml:space="preserve"> typu nemocnica musí pri prenájme priestorov iným subjektom postupovať obozretne. Nepredpokladá sa ďalej prenájom priestorov pre súkromné aktivity, ktoré by mali byť súčasťou medicínskych služieb nemocnice – ide najmä o biochemické laboratóriá, NMR a dialýzu. Nemocnica bude ďalej, podľa priestorových možností, prenajímať svoje priestory pre ambulantných lekárov a priestory pre doplnkové služby napríklad v zdravotno-sociálnej oblasti financovanej cez </w:t>
      </w:r>
      <w:r>
        <w:rPr>
          <w:rFonts w:ascii="Century Gothic" w:hAnsi="Century Gothic"/>
          <w:sz w:val="22"/>
          <w:szCs w:val="22"/>
          <w:lang w:eastAsia="en-US"/>
        </w:rPr>
        <w:t>ŽSK</w:t>
      </w:r>
      <w:r w:rsidRPr="000919F7">
        <w:rPr>
          <w:rFonts w:ascii="Century Gothic" w:hAnsi="Century Gothic"/>
          <w:sz w:val="22"/>
          <w:szCs w:val="22"/>
          <w:lang w:eastAsia="en-US"/>
        </w:rPr>
        <w:t xml:space="preserve"> alebo tretím sektorom.</w:t>
      </w:r>
    </w:p>
    <w:p w14:paraId="00B58A65" w14:textId="77777777" w:rsidR="005A6FC7" w:rsidRDefault="005A6FC7" w:rsidP="005A6FC7">
      <w:pPr>
        <w:spacing w:line="240" w:lineRule="auto"/>
        <w:rPr>
          <w:rFonts w:ascii="Century Gothic" w:hAnsi="Century Gothic" w:cstheme="minorHAnsi"/>
          <w:sz w:val="22"/>
          <w:szCs w:val="22"/>
          <w:highlight w:val="cyan"/>
        </w:rPr>
      </w:pPr>
    </w:p>
    <w:p w14:paraId="741D7FD6" w14:textId="777C617B" w:rsidR="00DE4959" w:rsidRPr="000919F7" w:rsidRDefault="00DE4959" w:rsidP="00DE4959">
      <w:pPr>
        <w:spacing w:line="240" w:lineRule="auto"/>
        <w:rPr>
          <w:rFonts w:ascii="Century Gothic" w:hAnsi="Century Gothic"/>
          <w:sz w:val="22"/>
          <w:szCs w:val="22"/>
          <w:lang w:eastAsia="en-US"/>
        </w:rPr>
      </w:pPr>
      <w:r>
        <w:rPr>
          <w:rFonts w:ascii="Century Gothic" w:hAnsi="Century Gothic"/>
          <w:sz w:val="22"/>
          <w:szCs w:val="22"/>
          <w:lang w:eastAsia="en-US"/>
        </w:rPr>
        <w:t>Uvoľnené priestory uvažujeme jednoznačným spôsobom využívať na medicínske resp. sociálne služby v rámci verejného zdravotníctva, či sa bude jednať o dlhodobú paliatívnu starostlivosť, duševné zdravie, alebo domovy sociálnych služieb a stacionárov, ktoré budú v </w:t>
      </w:r>
      <w:r w:rsidR="00D43498">
        <w:rPr>
          <w:rFonts w:ascii="Century Gothic" w:hAnsi="Century Gothic"/>
          <w:sz w:val="22"/>
          <w:szCs w:val="22"/>
          <w:lang w:eastAsia="en-US"/>
        </w:rPr>
        <w:t>najbližšom</w:t>
      </w:r>
      <w:r>
        <w:rPr>
          <w:rFonts w:ascii="Century Gothic" w:hAnsi="Century Gothic"/>
          <w:sz w:val="22"/>
          <w:szCs w:val="22"/>
          <w:lang w:eastAsia="en-US"/>
        </w:rPr>
        <w:t xml:space="preserve"> období zásadným spôsobom rozvíjané a hlavne dotované zo schémy </w:t>
      </w:r>
      <w:r w:rsidR="00D43498">
        <w:rPr>
          <w:rFonts w:ascii="Century Gothic" w:hAnsi="Century Gothic"/>
          <w:sz w:val="22"/>
          <w:szCs w:val="22"/>
          <w:lang w:eastAsia="en-US"/>
        </w:rPr>
        <w:t>P</w:t>
      </w:r>
      <w:r>
        <w:rPr>
          <w:rFonts w:ascii="Century Gothic" w:hAnsi="Century Gothic"/>
          <w:sz w:val="22"/>
          <w:szCs w:val="22"/>
          <w:lang w:eastAsia="en-US"/>
        </w:rPr>
        <w:t>lánu obnovy</w:t>
      </w:r>
      <w:r w:rsidR="00D43498">
        <w:rPr>
          <w:rFonts w:ascii="Century Gothic" w:hAnsi="Century Gothic"/>
          <w:sz w:val="22"/>
          <w:szCs w:val="22"/>
          <w:lang w:eastAsia="en-US"/>
        </w:rPr>
        <w:t xml:space="preserve"> a odolnosti </w:t>
      </w:r>
      <w:r>
        <w:rPr>
          <w:rFonts w:ascii="Century Gothic" w:hAnsi="Century Gothic"/>
          <w:sz w:val="22"/>
          <w:szCs w:val="22"/>
          <w:lang w:eastAsia="en-US"/>
        </w:rPr>
        <w:t xml:space="preserve"> a </w:t>
      </w:r>
      <w:r w:rsidR="00D43498">
        <w:rPr>
          <w:rFonts w:ascii="Century Gothic" w:hAnsi="Century Gothic"/>
          <w:sz w:val="22"/>
          <w:szCs w:val="22"/>
          <w:lang w:eastAsia="en-US"/>
        </w:rPr>
        <w:t>O</w:t>
      </w:r>
      <w:r>
        <w:rPr>
          <w:rFonts w:ascii="Century Gothic" w:hAnsi="Century Gothic"/>
          <w:sz w:val="22"/>
          <w:szCs w:val="22"/>
          <w:lang w:eastAsia="en-US"/>
        </w:rPr>
        <w:t xml:space="preserve">peračného programu Slovensko. </w:t>
      </w:r>
    </w:p>
    <w:p w14:paraId="3B84B1A0" w14:textId="77777777" w:rsidR="00CC5E50" w:rsidRDefault="00CC5E50">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1B47B5DE" w14:textId="68BD26C1" w:rsidR="007B7154" w:rsidRPr="00B46658"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51" w:name="_Toc145219976"/>
      <w:r w:rsidRPr="00B46658">
        <w:rPr>
          <w:rFonts w:ascii="Century Gothic" w:hAnsi="Century Gothic" w:cs="Calibri Light"/>
          <w:b w:val="0"/>
          <w:bCs w:val="0"/>
          <w:sz w:val="32"/>
          <w:szCs w:val="32"/>
          <w:lang w:eastAsia="en-US"/>
        </w:rPr>
        <w:lastRenderedPageBreak/>
        <w:t xml:space="preserve">Finančný model nového pavilónu –  </w:t>
      </w:r>
      <w:proofErr w:type="spellStart"/>
      <w:r w:rsidRPr="00B46658">
        <w:rPr>
          <w:rFonts w:ascii="Century Gothic" w:hAnsi="Century Gothic" w:cs="Calibri Light"/>
          <w:b w:val="0"/>
          <w:bCs w:val="0"/>
          <w:sz w:val="32"/>
          <w:szCs w:val="32"/>
          <w:lang w:eastAsia="en-US"/>
        </w:rPr>
        <w:t>Cost</w:t>
      </w:r>
      <w:proofErr w:type="spellEnd"/>
      <w:r w:rsidRPr="00B46658">
        <w:rPr>
          <w:rFonts w:ascii="Century Gothic" w:hAnsi="Century Gothic" w:cs="Calibri Light"/>
          <w:b w:val="0"/>
          <w:bCs w:val="0"/>
          <w:sz w:val="32"/>
          <w:szCs w:val="32"/>
          <w:lang w:eastAsia="en-US"/>
        </w:rPr>
        <w:t xml:space="preserve"> Benefit Analýza</w:t>
      </w:r>
      <w:bookmarkEnd w:id="151"/>
    </w:p>
    <w:p w14:paraId="52C31AF2" w14:textId="77777777" w:rsidR="005A6FC7" w:rsidRDefault="005A6FC7" w:rsidP="007B7154">
      <w:pPr>
        <w:rPr>
          <w:rFonts w:ascii="Century Gothic" w:hAnsi="Century Gothic" w:cstheme="majorHAnsi"/>
        </w:rPr>
      </w:pPr>
    </w:p>
    <w:p w14:paraId="138B2F00" w14:textId="1FC9ECED" w:rsidR="00B77983" w:rsidRPr="00B77983" w:rsidRDefault="00B77983" w:rsidP="00B77983">
      <w:pPr>
        <w:spacing w:line="240" w:lineRule="auto"/>
        <w:rPr>
          <w:rFonts w:ascii="Century Gothic" w:hAnsi="Century Gothic" w:cstheme="minorHAnsi"/>
          <w:sz w:val="22"/>
          <w:szCs w:val="22"/>
          <w:lang w:eastAsia="en-US"/>
        </w:rPr>
      </w:pPr>
      <w:r w:rsidRPr="00B77983">
        <w:rPr>
          <w:rFonts w:ascii="Century Gothic" w:hAnsi="Century Gothic" w:cstheme="minorHAnsi"/>
          <w:sz w:val="22"/>
          <w:szCs w:val="22"/>
          <w:lang w:eastAsia="en-US"/>
        </w:rPr>
        <w:t>Základný</w:t>
      </w:r>
      <w:r w:rsidR="00BB692D">
        <w:rPr>
          <w:rFonts w:ascii="Century Gothic" w:hAnsi="Century Gothic" w:cstheme="minorHAnsi"/>
          <w:sz w:val="22"/>
          <w:szCs w:val="22"/>
          <w:lang w:eastAsia="en-US"/>
        </w:rPr>
        <w:t>m</w:t>
      </w:r>
      <w:r w:rsidRPr="00B77983">
        <w:rPr>
          <w:rFonts w:ascii="Century Gothic" w:hAnsi="Century Gothic" w:cstheme="minorHAnsi"/>
          <w:sz w:val="22"/>
          <w:szCs w:val="22"/>
          <w:lang w:eastAsia="en-US"/>
        </w:rPr>
        <w:t xml:space="preserve"> predpokladom pre vytvorenie finančného modelu a hodnotenia ekonomickej efektívnosti jednotlivých hodnotených investičných variantov bolo stanovenie očakávaných investičných  a prevádzkových nákladov a výnosov a súvisiacich </w:t>
      </w:r>
      <w:r w:rsidR="00BB692D">
        <w:rPr>
          <w:rFonts w:ascii="Century Gothic" w:hAnsi="Century Gothic" w:cstheme="minorHAnsi"/>
          <w:sz w:val="22"/>
          <w:szCs w:val="22"/>
          <w:lang w:eastAsia="en-US"/>
        </w:rPr>
        <w:t>nákladov v našom prípade búracích</w:t>
      </w:r>
      <w:r w:rsidRPr="00B77983">
        <w:rPr>
          <w:rFonts w:ascii="Century Gothic" w:hAnsi="Century Gothic" w:cstheme="minorHAnsi"/>
          <w:sz w:val="22"/>
          <w:szCs w:val="22"/>
          <w:lang w:eastAsia="en-US"/>
        </w:rPr>
        <w:t xml:space="preserve"> prác:</w:t>
      </w:r>
    </w:p>
    <w:p w14:paraId="5D96D276" w14:textId="77777777" w:rsidR="00B77983" w:rsidRPr="00B77983" w:rsidRDefault="00B77983" w:rsidP="00B77983">
      <w:pPr>
        <w:spacing w:line="240" w:lineRule="auto"/>
        <w:rPr>
          <w:rFonts w:ascii="Century Gothic" w:hAnsi="Century Gothic" w:cstheme="minorHAnsi"/>
          <w:sz w:val="22"/>
          <w:szCs w:val="22"/>
          <w:lang w:eastAsia="en-US"/>
        </w:rPr>
      </w:pPr>
    </w:p>
    <w:p w14:paraId="7E14F34C" w14:textId="77777777" w:rsidR="00B77983" w:rsidRPr="00B77983" w:rsidRDefault="00B77983" w:rsidP="00B77983">
      <w:pPr>
        <w:autoSpaceDE w:val="0"/>
        <w:autoSpaceDN w:val="0"/>
        <w:adjustRightInd w:val="0"/>
        <w:spacing w:line="240" w:lineRule="auto"/>
        <w:rPr>
          <w:rFonts w:ascii="Century Gothic" w:hAnsi="Century Gothic" w:cstheme="minorHAnsi"/>
          <w:bCs/>
          <w:sz w:val="22"/>
          <w:szCs w:val="22"/>
        </w:rPr>
      </w:pPr>
      <w:r w:rsidRPr="00B77983">
        <w:rPr>
          <w:rFonts w:ascii="Century Gothic" w:hAnsi="Century Gothic" w:cstheme="minorHAnsi"/>
          <w:bCs/>
          <w:sz w:val="22"/>
          <w:szCs w:val="22"/>
        </w:rPr>
        <w:t>Výsledné očakávané investičné náklady jednotlivých variantov:</w:t>
      </w:r>
    </w:p>
    <w:p w14:paraId="04C6A32C" w14:textId="77777777" w:rsidR="00B77983" w:rsidRPr="00B77983" w:rsidRDefault="00B77983" w:rsidP="00B77983">
      <w:pPr>
        <w:autoSpaceDE w:val="0"/>
        <w:autoSpaceDN w:val="0"/>
        <w:adjustRightInd w:val="0"/>
        <w:spacing w:line="240" w:lineRule="auto"/>
        <w:rPr>
          <w:rFonts w:ascii="Century Gothic" w:hAnsi="Century Gothic" w:cstheme="minorHAnsi"/>
          <w:bCs/>
          <w:sz w:val="22"/>
          <w:szCs w:val="22"/>
        </w:rPr>
      </w:pPr>
    </w:p>
    <w:p w14:paraId="536E8C80" w14:textId="77777777" w:rsidR="00B77983" w:rsidRPr="00B77983" w:rsidRDefault="00B77983" w:rsidP="007F681B">
      <w:pPr>
        <w:pStyle w:val="Odsekzoznamu"/>
        <w:numPr>
          <w:ilvl w:val="0"/>
          <w:numId w:val="62"/>
        </w:numPr>
        <w:autoSpaceDE w:val="0"/>
        <w:autoSpaceDN w:val="0"/>
        <w:adjustRightInd w:val="0"/>
        <w:spacing w:line="240" w:lineRule="auto"/>
        <w:rPr>
          <w:rFonts w:ascii="Century Gothic" w:hAnsi="Century Gothic" w:cstheme="minorHAnsi"/>
          <w:b/>
          <w:bCs/>
          <w:sz w:val="22"/>
          <w:szCs w:val="22"/>
        </w:rPr>
      </w:pPr>
      <w:r w:rsidRPr="00B77983">
        <w:rPr>
          <w:rFonts w:ascii="Century Gothic" w:hAnsi="Century Gothic" w:cstheme="minorHAnsi"/>
          <w:b/>
          <w:bCs/>
          <w:sz w:val="22"/>
          <w:szCs w:val="22"/>
        </w:rPr>
        <w:t>Nutný variant: 925 069 Eur bez DPH ročne</w:t>
      </w:r>
    </w:p>
    <w:p w14:paraId="5310E935" w14:textId="77777777" w:rsidR="00B77983" w:rsidRPr="00B77983" w:rsidRDefault="00B77983" w:rsidP="00B77983">
      <w:pPr>
        <w:autoSpaceDE w:val="0"/>
        <w:autoSpaceDN w:val="0"/>
        <w:adjustRightInd w:val="0"/>
        <w:spacing w:line="240" w:lineRule="auto"/>
        <w:rPr>
          <w:rFonts w:ascii="Century Gothic" w:hAnsi="Century Gothic" w:cstheme="minorHAnsi"/>
          <w:bCs/>
          <w:sz w:val="22"/>
          <w:szCs w:val="22"/>
        </w:rPr>
      </w:pPr>
    </w:p>
    <w:p w14:paraId="4ACF86DF" w14:textId="4F42E905" w:rsidR="00B77983" w:rsidRPr="00B77983" w:rsidRDefault="00B77983" w:rsidP="00B77983">
      <w:pPr>
        <w:autoSpaceDE w:val="0"/>
        <w:autoSpaceDN w:val="0"/>
        <w:adjustRightInd w:val="0"/>
        <w:spacing w:line="240" w:lineRule="auto"/>
        <w:rPr>
          <w:rFonts w:ascii="Century Gothic" w:hAnsi="Century Gothic" w:cstheme="minorHAnsi"/>
          <w:bCs/>
          <w:sz w:val="22"/>
          <w:szCs w:val="22"/>
        </w:rPr>
      </w:pPr>
      <w:r w:rsidRPr="00B77983">
        <w:rPr>
          <w:rFonts w:ascii="Century Gothic" w:hAnsi="Century Gothic" w:cstheme="minorHAnsi"/>
          <w:bCs/>
          <w:sz w:val="22"/>
          <w:szCs w:val="22"/>
        </w:rPr>
        <w:t xml:space="preserve">Náklady v tejto výške na obnovu a rekonštrukcie sme kalkulovali v rovnakej výške počas celej doby životnosti na základe priemerných dát za sledované roky na opravy a udržiavanie a ostatné prevádzkové náklady . Na rovnakej úrovni boli zároveň nastavené aj náklady na energie, </w:t>
      </w:r>
      <w:proofErr w:type="spellStart"/>
      <w:r w:rsidRPr="00B77983">
        <w:rPr>
          <w:rFonts w:ascii="Century Gothic" w:hAnsi="Century Gothic" w:cstheme="minorHAnsi"/>
          <w:bCs/>
          <w:sz w:val="22"/>
          <w:szCs w:val="22"/>
        </w:rPr>
        <w:t>t.j</w:t>
      </w:r>
      <w:proofErr w:type="spellEnd"/>
      <w:r w:rsidRPr="00B77983">
        <w:rPr>
          <w:rFonts w:ascii="Century Gothic" w:hAnsi="Century Gothic" w:cstheme="minorHAnsi"/>
          <w:bCs/>
          <w:sz w:val="22"/>
          <w:szCs w:val="22"/>
        </w:rPr>
        <w:t>. priemerná hodnota za hodnotené roky. Reálne očakávame ich nárast v čase, ale kvôli „konzervatívnemu</w:t>
      </w:r>
      <w:r w:rsidR="00BB692D">
        <w:rPr>
          <w:rFonts w:ascii="Century Gothic" w:hAnsi="Century Gothic" w:cstheme="minorHAnsi"/>
          <w:bCs/>
          <w:sz w:val="22"/>
          <w:szCs w:val="22"/>
        </w:rPr>
        <w:t>“</w:t>
      </w:r>
      <w:r w:rsidRPr="00B77983">
        <w:rPr>
          <w:rFonts w:ascii="Century Gothic" w:hAnsi="Century Gothic" w:cstheme="minorHAnsi"/>
          <w:bCs/>
          <w:sz w:val="22"/>
          <w:szCs w:val="22"/>
        </w:rPr>
        <w:t xml:space="preserve"> nastaveniu modelu uvažujeme s ich konštant</w:t>
      </w:r>
      <w:r w:rsidR="00BB692D">
        <w:rPr>
          <w:rFonts w:ascii="Century Gothic" w:hAnsi="Century Gothic" w:cstheme="minorHAnsi"/>
          <w:bCs/>
          <w:sz w:val="22"/>
          <w:szCs w:val="22"/>
        </w:rPr>
        <w:t>n</w:t>
      </w:r>
      <w:r w:rsidRPr="00B77983">
        <w:rPr>
          <w:rFonts w:ascii="Century Gothic" w:hAnsi="Century Gothic" w:cstheme="minorHAnsi"/>
          <w:bCs/>
          <w:sz w:val="22"/>
          <w:szCs w:val="22"/>
        </w:rPr>
        <w:t xml:space="preserve">ou úrovňou na úrovni existujúceho stavu resp. prípadné navýšenie je kompenzované uvažovaním položky na riešenie havarijných stavov, ktoré zákonite bez minimálne zásadnej rekonštrukcie budú v čase vznikať.    </w:t>
      </w:r>
    </w:p>
    <w:p w14:paraId="1675F314" w14:textId="77777777" w:rsidR="00B77983" w:rsidRPr="00B77983" w:rsidRDefault="00B77983" w:rsidP="00B77983">
      <w:pPr>
        <w:autoSpaceDE w:val="0"/>
        <w:autoSpaceDN w:val="0"/>
        <w:adjustRightInd w:val="0"/>
        <w:spacing w:line="240" w:lineRule="auto"/>
        <w:rPr>
          <w:rFonts w:ascii="Century Gothic" w:hAnsi="Century Gothic" w:cstheme="minorHAnsi"/>
          <w:bCs/>
          <w:sz w:val="22"/>
          <w:szCs w:val="22"/>
        </w:rPr>
      </w:pPr>
    </w:p>
    <w:p w14:paraId="45FB067B" w14:textId="77777777" w:rsidR="00B77983" w:rsidRPr="00B77983" w:rsidRDefault="00B77983" w:rsidP="007F681B">
      <w:pPr>
        <w:pStyle w:val="Odsekzoznamu"/>
        <w:numPr>
          <w:ilvl w:val="0"/>
          <w:numId w:val="62"/>
        </w:numPr>
        <w:autoSpaceDE w:val="0"/>
        <w:autoSpaceDN w:val="0"/>
        <w:adjustRightInd w:val="0"/>
        <w:spacing w:line="240" w:lineRule="auto"/>
        <w:rPr>
          <w:rFonts w:ascii="Century Gothic" w:hAnsi="Century Gothic" w:cstheme="minorHAnsi"/>
          <w:b/>
          <w:bCs/>
          <w:sz w:val="22"/>
          <w:szCs w:val="22"/>
        </w:rPr>
      </w:pPr>
      <w:r w:rsidRPr="00B77983">
        <w:rPr>
          <w:rFonts w:ascii="Century Gothic" w:hAnsi="Century Gothic" w:cstheme="minorHAnsi"/>
          <w:b/>
          <w:bCs/>
          <w:sz w:val="22"/>
          <w:szCs w:val="22"/>
        </w:rPr>
        <w:t xml:space="preserve">Variant rekonštrukcia 94 406 600 Eur bez DPH </w:t>
      </w:r>
    </w:p>
    <w:p w14:paraId="4A3469B6" w14:textId="77777777" w:rsidR="00B77983" w:rsidRPr="00B77983" w:rsidRDefault="00B77983" w:rsidP="00B77983">
      <w:pPr>
        <w:autoSpaceDE w:val="0"/>
        <w:autoSpaceDN w:val="0"/>
        <w:adjustRightInd w:val="0"/>
        <w:spacing w:line="240" w:lineRule="auto"/>
        <w:rPr>
          <w:rFonts w:ascii="Century Gothic" w:hAnsi="Century Gothic" w:cstheme="minorHAnsi"/>
          <w:bCs/>
          <w:sz w:val="22"/>
          <w:szCs w:val="22"/>
        </w:rPr>
      </w:pPr>
    </w:p>
    <w:p w14:paraId="57C83A77" w14:textId="4475B991" w:rsidR="00B77983" w:rsidRPr="00B77983" w:rsidRDefault="00BB692D" w:rsidP="00B77983">
      <w:pPr>
        <w:autoSpaceDE w:val="0"/>
        <w:autoSpaceDN w:val="0"/>
        <w:adjustRightInd w:val="0"/>
        <w:spacing w:line="240" w:lineRule="auto"/>
        <w:rPr>
          <w:rFonts w:ascii="Century Gothic" w:hAnsi="Century Gothic" w:cstheme="minorHAnsi"/>
          <w:bCs/>
          <w:sz w:val="22"/>
          <w:szCs w:val="22"/>
        </w:rPr>
      </w:pPr>
      <w:r>
        <w:rPr>
          <w:rFonts w:ascii="Century Gothic" w:hAnsi="Century Gothic" w:cstheme="minorHAnsi"/>
          <w:bCs/>
          <w:sz w:val="22"/>
          <w:szCs w:val="22"/>
        </w:rPr>
        <w:t>Tento model bol</w:t>
      </w:r>
      <w:r w:rsidR="00B77983" w:rsidRPr="00B77983">
        <w:rPr>
          <w:rFonts w:ascii="Century Gothic" w:hAnsi="Century Gothic" w:cstheme="minorHAnsi"/>
          <w:bCs/>
          <w:sz w:val="22"/>
          <w:szCs w:val="22"/>
        </w:rPr>
        <w:t xml:space="preserve"> nastavený podobne ako Nultý variant s nasledovnými rozdielmi:</w:t>
      </w:r>
    </w:p>
    <w:p w14:paraId="3777CEC8" w14:textId="4853D9EB" w:rsidR="00B77983" w:rsidRPr="00B77983" w:rsidRDefault="00B77983" w:rsidP="007F681B">
      <w:pPr>
        <w:pStyle w:val="Odsekzoznamu"/>
        <w:numPr>
          <w:ilvl w:val="0"/>
          <w:numId w:val="63"/>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Náklady na energie boli po reko</w:t>
      </w:r>
      <w:r w:rsidR="00BB692D">
        <w:rPr>
          <w:rFonts w:ascii="Century Gothic" w:hAnsi="Century Gothic" w:cstheme="minorHAnsi"/>
          <w:bCs/>
          <w:sz w:val="22"/>
          <w:szCs w:val="22"/>
        </w:rPr>
        <w:t>nštrukcii v zmysle požiadaviek P</w:t>
      </w:r>
      <w:r w:rsidRPr="00B77983">
        <w:rPr>
          <w:rFonts w:ascii="Century Gothic" w:hAnsi="Century Gothic" w:cstheme="minorHAnsi"/>
          <w:bCs/>
          <w:sz w:val="22"/>
          <w:szCs w:val="22"/>
        </w:rPr>
        <w:t xml:space="preserve">lánu obnovy znížené o 30 % oproti nultému variantu (KO kritériu pre projekty rekonštrukcií v zmysle požiadaviek plánu obnovy </w:t>
      </w:r>
      <w:proofErr w:type="spellStart"/>
      <w:r w:rsidRPr="00B77983">
        <w:rPr>
          <w:rFonts w:ascii="Century Gothic" w:hAnsi="Century Gothic" w:cstheme="minorHAnsi"/>
          <w:bCs/>
          <w:sz w:val="22"/>
          <w:szCs w:val="22"/>
        </w:rPr>
        <w:t>t.j</w:t>
      </w:r>
      <w:proofErr w:type="spellEnd"/>
      <w:r w:rsidRPr="00B77983">
        <w:rPr>
          <w:rFonts w:ascii="Century Gothic" w:hAnsi="Century Gothic" w:cstheme="minorHAnsi"/>
          <w:bCs/>
          <w:sz w:val="22"/>
          <w:szCs w:val="22"/>
        </w:rPr>
        <w:t>. musí byť dodržané)</w:t>
      </w:r>
      <w:r w:rsidR="005E64EE">
        <w:rPr>
          <w:rFonts w:ascii="Century Gothic" w:hAnsi="Century Gothic" w:cstheme="minorHAnsi"/>
          <w:bCs/>
          <w:sz w:val="22"/>
          <w:szCs w:val="22"/>
        </w:rPr>
        <w:t>.</w:t>
      </w:r>
    </w:p>
    <w:p w14:paraId="0A44A98C" w14:textId="77777777" w:rsidR="00B77983" w:rsidRPr="00B77983" w:rsidRDefault="00B77983" w:rsidP="007F681B">
      <w:pPr>
        <w:pStyle w:val="Odsekzoznamu"/>
        <w:numPr>
          <w:ilvl w:val="0"/>
          <w:numId w:val="63"/>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Pre tento variant uvažujeme s investíciou do medicínskeho vybavenia na úrovni 50% ako by sa realizovala v novostavbe, z dôvodu, že predpokladáme zásadnú investíciu aj do medicínskeho vybavenia.</w:t>
      </w:r>
    </w:p>
    <w:p w14:paraId="07292000" w14:textId="58A57B80" w:rsidR="00B77983" w:rsidRPr="00B77983" w:rsidRDefault="00B77983" w:rsidP="007F681B">
      <w:pPr>
        <w:pStyle w:val="Odsekzoznamu"/>
        <w:numPr>
          <w:ilvl w:val="0"/>
          <w:numId w:val="63"/>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Predpokladáme aj zníženie spotreby ŠZM na úrovni 5 % z dôvodu predpokladu zvýšenia efektívnosti a medicínskej bezpečnosti prevádzky</w:t>
      </w:r>
      <w:r w:rsidR="005E64EE">
        <w:rPr>
          <w:rFonts w:ascii="Century Gothic" w:hAnsi="Century Gothic" w:cstheme="minorHAnsi"/>
          <w:bCs/>
          <w:sz w:val="22"/>
          <w:szCs w:val="22"/>
        </w:rPr>
        <w:t>.</w:t>
      </w:r>
      <w:r w:rsidRPr="00B77983">
        <w:rPr>
          <w:rFonts w:ascii="Century Gothic" w:hAnsi="Century Gothic" w:cstheme="minorHAnsi"/>
          <w:bCs/>
          <w:sz w:val="22"/>
          <w:szCs w:val="22"/>
        </w:rPr>
        <w:t xml:space="preserve"> </w:t>
      </w:r>
    </w:p>
    <w:p w14:paraId="634B07DC" w14:textId="77777777" w:rsidR="00B77983" w:rsidRPr="00B77983" w:rsidRDefault="00B77983" w:rsidP="00B77983">
      <w:pPr>
        <w:spacing w:line="240" w:lineRule="auto"/>
        <w:jc w:val="left"/>
        <w:rPr>
          <w:rFonts w:ascii="Century Gothic" w:hAnsi="Century Gothic" w:cs="Calibri Light"/>
          <w:b/>
          <w:bCs/>
          <w:sz w:val="32"/>
          <w:szCs w:val="32"/>
          <w:lang w:eastAsia="en-US"/>
        </w:rPr>
      </w:pPr>
    </w:p>
    <w:p w14:paraId="56680ACE" w14:textId="77777777" w:rsidR="00B77983" w:rsidRPr="00B77983" w:rsidRDefault="00B77983" w:rsidP="007F681B">
      <w:pPr>
        <w:pStyle w:val="Odsekzoznamu"/>
        <w:numPr>
          <w:ilvl w:val="0"/>
          <w:numId w:val="62"/>
        </w:numPr>
        <w:autoSpaceDE w:val="0"/>
        <w:autoSpaceDN w:val="0"/>
        <w:adjustRightInd w:val="0"/>
        <w:spacing w:line="240" w:lineRule="auto"/>
        <w:rPr>
          <w:rFonts w:ascii="Century Gothic" w:hAnsi="Century Gothic" w:cstheme="minorHAnsi"/>
          <w:b/>
          <w:bCs/>
          <w:sz w:val="22"/>
          <w:szCs w:val="22"/>
        </w:rPr>
      </w:pPr>
      <w:r w:rsidRPr="00B77983">
        <w:rPr>
          <w:rFonts w:ascii="Century Gothic" w:hAnsi="Century Gothic" w:cstheme="minorHAnsi"/>
          <w:b/>
          <w:bCs/>
          <w:sz w:val="22"/>
          <w:szCs w:val="22"/>
        </w:rPr>
        <w:t xml:space="preserve">Variant nový PUM: 207 936 667  Eur bez DPH </w:t>
      </w:r>
    </w:p>
    <w:p w14:paraId="70735D12" w14:textId="77777777" w:rsidR="00B77983" w:rsidRPr="00B77983" w:rsidRDefault="00B77983" w:rsidP="00B77983">
      <w:pPr>
        <w:pStyle w:val="Odsekzoznamu"/>
        <w:autoSpaceDE w:val="0"/>
        <w:autoSpaceDN w:val="0"/>
        <w:adjustRightInd w:val="0"/>
        <w:spacing w:line="240" w:lineRule="auto"/>
        <w:rPr>
          <w:rFonts w:ascii="Century Gothic" w:hAnsi="Century Gothic" w:cstheme="minorHAnsi"/>
          <w:b/>
          <w:bCs/>
          <w:sz w:val="22"/>
          <w:szCs w:val="22"/>
        </w:rPr>
      </w:pPr>
    </w:p>
    <w:tbl>
      <w:tblPr>
        <w:tblW w:w="7319" w:type="dxa"/>
        <w:tblCellMar>
          <w:left w:w="70" w:type="dxa"/>
          <w:right w:w="70" w:type="dxa"/>
        </w:tblCellMar>
        <w:tblLook w:val="04A0" w:firstRow="1" w:lastRow="0" w:firstColumn="1" w:lastColumn="0" w:noHBand="0" w:noVBand="1"/>
      </w:tblPr>
      <w:tblGrid>
        <w:gridCol w:w="3654"/>
        <w:gridCol w:w="3665"/>
      </w:tblGrid>
      <w:tr w:rsidR="00B77983" w:rsidRPr="00B77983" w14:paraId="696BEF35" w14:textId="77777777" w:rsidTr="00C67E68">
        <w:trPr>
          <w:trHeight w:val="108"/>
        </w:trPr>
        <w:tc>
          <w:tcPr>
            <w:tcW w:w="365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4C66C62" w14:textId="77777777" w:rsidR="00B77983" w:rsidRPr="00B77983" w:rsidRDefault="00B77983" w:rsidP="00B77983">
            <w:pPr>
              <w:spacing w:line="240" w:lineRule="auto"/>
              <w:jc w:val="left"/>
              <w:rPr>
                <w:rFonts w:ascii="Century Gothic" w:hAnsi="Century Gothic" w:cs="Calibri"/>
                <w:color w:val="000000"/>
                <w:sz w:val="22"/>
                <w:szCs w:val="22"/>
              </w:rPr>
            </w:pPr>
            <w:r w:rsidRPr="00B77983">
              <w:rPr>
                <w:rFonts w:ascii="Century Gothic" w:hAnsi="Century Gothic" w:cs="Calibri"/>
                <w:color w:val="000000"/>
                <w:sz w:val="22"/>
                <w:szCs w:val="22"/>
              </w:rPr>
              <w:t>Stavebné práce PUM</w:t>
            </w:r>
          </w:p>
        </w:tc>
        <w:tc>
          <w:tcPr>
            <w:tcW w:w="3665" w:type="dxa"/>
            <w:tcBorders>
              <w:top w:val="single" w:sz="4" w:space="0" w:color="auto"/>
              <w:left w:val="nil"/>
              <w:bottom w:val="single" w:sz="4" w:space="0" w:color="auto"/>
              <w:right w:val="single" w:sz="4" w:space="0" w:color="auto"/>
            </w:tcBorders>
            <w:shd w:val="clear" w:color="auto" w:fill="auto"/>
            <w:noWrap/>
            <w:vAlign w:val="center"/>
            <w:hideMark/>
          </w:tcPr>
          <w:p w14:paraId="1B38B45C" w14:textId="15D0FC3C" w:rsidR="00B77983" w:rsidRPr="00B77983" w:rsidRDefault="00294559" w:rsidP="00C67E68">
            <w:pPr>
              <w:spacing w:line="240" w:lineRule="auto"/>
              <w:jc w:val="center"/>
              <w:rPr>
                <w:rFonts w:ascii="Century Gothic" w:hAnsi="Century Gothic" w:cs="Calibri"/>
                <w:color w:val="000000"/>
                <w:sz w:val="22"/>
                <w:szCs w:val="22"/>
              </w:rPr>
            </w:pPr>
            <w:r w:rsidRPr="00C67E68">
              <w:rPr>
                <w:rFonts w:ascii="Century Gothic" w:hAnsi="Century Gothic" w:cs="Calibri"/>
                <w:color w:val="000000"/>
                <w:sz w:val="22"/>
                <w:szCs w:val="22"/>
              </w:rPr>
              <w:t xml:space="preserve">155 990 000,00   </w:t>
            </w:r>
          </w:p>
        </w:tc>
      </w:tr>
      <w:tr w:rsidR="00B77983" w:rsidRPr="00B77983" w14:paraId="487E26D2" w14:textId="77777777" w:rsidTr="00C67E68">
        <w:trPr>
          <w:trHeight w:val="108"/>
        </w:trPr>
        <w:tc>
          <w:tcPr>
            <w:tcW w:w="3654" w:type="dxa"/>
            <w:tcBorders>
              <w:top w:val="nil"/>
              <w:left w:val="single" w:sz="8" w:space="0" w:color="auto"/>
              <w:bottom w:val="single" w:sz="4" w:space="0" w:color="auto"/>
              <w:right w:val="single" w:sz="8" w:space="0" w:color="auto"/>
            </w:tcBorders>
            <w:shd w:val="clear" w:color="auto" w:fill="auto"/>
            <w:noWrap/>
            <w:vAlign w:val="bottom"/>
            <w:hideMark/>
          </w:tcPr>
          <w:p w14:paraId="6CC4B086" w14:textId="77777777" w:rsidR="00B77983" w:rsidRPr="00B77983" w:rsidRDefault="00B77983" w:rsidP="00B77983">
            <w:pPr>
              <w:spacing w:line="240" w:lineRule="auto"/>
              <w:jc w:val="left"/>
              <w:rPr>
                <w:rFonts w:ascii="Century Gothic" w:hAnsi="Century Gothic" w:cs="Calibri"/>
                <w:color w:val="000000"/>
                <w:sz w:val="22"/>
                <w:szCs w:val="22"/>
              </w:rPr>
            </w:pPr>
            <w:r w:rsidRPr="00B77983">
              <w:rPr>
                <w:rFonts w:ascii="Century Gothic" w:hAnsi="Century Gothic" w:cs="Calibri"/>
                <w:color w:val="000000"/>
                <w:sz w:val="22"/>
                <w:szCs w:val="22"/>
              </w:rPr>
              <w:t>Medicínske vybavenie PUM</w:t>
            </w:r>
          </w:p>
        </w:tc>
        <w:tc>
          <w:tcPr>
            <w:tcW w:w="3665" w:type="dxa"/>
            <w:tcBorders>
              <w:top w:val="nil"/>
              <w:left w:val="nil"/>
              <w:bottom w:val="single" w:sz="4" w:space="0" w:color="auto"/>
              <w:right w:val="single" w:sz="4" w:space="0" w:color="auto"/>
            </w:tcBorders>
            <w:shd w:val="clear" w:color="auto" w:fill="auto"/>
            <w:noWrap/>
            <w:vAlign w:val="center"/>
            <w:hideMark/>
          </w:tcPr>
          <w:p w14:paraId="50B4F093" w14:textId="29691850" w:rsidR="00B77983" w:rsidRPr="00B77983" w:rsidRDefault="00294559" w:rsidP="00C67E68">
            <w:pPr>
              <w:spacing w:line="240" w:lineRule="auto"/>
              <w:jc w:val="center"/>
              <w:rPr>
                <w:rFonts w:ascii="Century Gothic" w:hAnsi="Century Gothic" w:cs="Calibri"/>
                <w:color w:val="000000"/>
                <w:sz w:val="22"/>
                <w:szCs w:val="22"/>
              </w:rPr>
            </w:pPr>
            <w:r w:rsidRPr="00C67E68">
              <w:rPr>
                <w:rFonts w:ascii="Century Gothic" w:hAnsi="Century Gothic" w:cs="Calibri"/>
                <w:color w:val="000000"/>
                <w:sz w:val="22"/>
                <w:szCs w:val="22"/>
              </w:rPr>
              <w:t>51 996 667</w:t>
            </w:r>
          </w:p>
        </w:tc>
      </w:tr>
      <w:tr w:rsidR="00B77983" w:rsidRPr="00B77983" w14:paraId="12103C36" w14:textId="77777777" w:rsidTr="00C67E68">
        <w:trPr>
          <w:trHeight w:val="108"/>
        </w:trPr>
        <w:tc>
          <w:tcPr>
            <w:tcW w:w="3654" w:type="dxa"/>
            <w:tcBorders>
              <w:top w:val="nil"/>
              <w:left w:val="single" w:sz="8" w:space="0" w:color="auto"/>
              <w:bottom w:val="single" w:sz="4" w:space="0" w:color="auto"/>
              <w:right w:val="single" w:sz="8" w:space="0" w:color="auto"/>
            </w:tcBorders>
            <w:shd w:val="clear" w:color="auto" w:fill="auto"/>
            <w:noWrap/>
            <w:vAlign w:val="bottom"/>
            <w:hideMark/>
          </w:tcPr>
          <w:p w14:paraId="2AA423F3" w14:textId="77777777" w:rsidR="00B77983" w:rsidRPr="00B77983" w:rsidRDefault="00B77983" w:rsidP="00B77983">
            <w:pPr>
              <w:spacing w:line="240" w:lineRule="auto"/>
              <w:jc w:val="left"/>
              <w:rPr>
                <w:rFonts w:ascii="Century Gothic" w:hAnsi="Century Gothic" w:cs="Calibri"/>
                <w:color w:val="000000"/>
                <w:sz w:val="22"/>
                <w:szCs w:val="22"/>
              </w:rPr>
            </w:pPr>
            <w:r w:rsidRPr="00B77983">
              <w:rPr>
                <w:rFonts w:ascii="Century Gothic" w:hAnsi="Century Gothic" w:cs="Calibri"/>
                <w:color w:val="000000"/>
                <w:sz w:val="22"/>
                <w:szCs w:val="22"/>
              </w:rPr>
              <w:t>Investičné náklady Nový PUM</w:t>
            </w:r>
          </w:p>
        </w:tc>
        <w:tc>
          <w:tcPr>
            <w:tcW w:w="3665" w:type="dxa"/>
            <w:tcBorders>
              <w:top w:val="nil"/>
              <w:left w:val="nil"/>
              <w:bottom w:val="single" w:sz="4" w:space="0" w:color="auto"/>
              <w:right w:val="single" w:sz="4" w:space="0" w:color="auto"/>
            </w:tcBorders>
            <w:shd w:val="clear" w:color="auto" w:fill="auto"/>
            <w:noWrap/>
            <w:vAlign w:val="center"/>
            <w:hideMark/>
          </w:tcPr>
          <w:p w14:paraId="7603FD10" w14:textId="10EB8128" w:rsidR="00B77983" w:rsidRPr="00B77983" w:rsidRDefault="00787A0E" w:rsidP="00C67E68">
            <w:pPr>
              <w:spacing w:line="240" w:lineRule="auto"/>
              <w:jc w:val="center"/>
              <w:rPr>
                <w:rFonts w:ascii="Century Gothic" w:hAnsi="Century Gothic" w:cs="Calibri"/>
                <w:color w:val="000000"/>
                <w:sz w:val="22"/>
                <w:szCs w:val="22"/>
              </w:rPr>
            </w:pPr>
            <w:r w:rsidRPr="00287442">
              <w:rPr>
                <w:rFonts w:ascii="Century Gothic" w:hAnsi="Century Gothic" w:cs="Calibri"/>
                <w:color w:val="000000"/>
                <w:sz w:val="22"/>
                <w:szCs w:val="22"/>
              </w:rPr>
              <w:t>207 986 667,00</w:t>
            </w:r>
          </w:p>
        </w:tc>
      </w:tr>
    </w:tbl>
    <w:p w14:paraId="13E29E97" w14:textId="77777777" w:rsidR="00B77983" w:rsidRPr="00B77983" w:rsidRDefault="00B77983" w:rsidP="00B77983">
      <w:pPr>
        <w:spacing w:line="240" w:lineRule="auto"/>
        <w:rPr>
          <w:rFonts w:ascii="Century Gothic" w:hAnsi="Century Gothic"/>
          <w:lang w:eastAsia="en-US"/>
        </w:rPr>
      </w:pPr>
    </w:p>
    <w:p w14:paraId="77EAB874" w14:textId="4F91BF58" w:rsidR="00B77983" w:rsidRPr="00B77983" w:rsidRDefault="00B77983" w:rsidP="00B77983">
      <w:pPr>
        <w:spacing w:line="240" w:lineRule="auto"/>
        <w:rPr>
          <w:rFonts w:ascii="Century Gothic" w:hAnsi="Century Gothic"/>
          <w:lang w:eastAsia="en-US"/>
        </w:rPr>
      </w:pPr>
      <w:r w:rsidRPr="00B77983">
        <w:rPr>
          <w:rFonts w:ascii="Century Gothic" w:hAnsi="Century Gothic"/>
          <w:lang w:eastAsia="en-US"/>
        </w:rPr>
        <w:t>V tomto variante počítame aj s búracími prácami dvoch bodov (patológia a urológia):</w:t>
      </w:r>
    </w:p>
    <w:tbl>
      <w:tblPr>
        <w:tblW w:w="6227" w:type="dxa"/>
        <w:tblCellMar>
          <w:left w:w="70" w:type="dxa"/>
          <w:right w:w="70" w:type="dxa"/>
        </w:tblCellMar>
        <w:tblLook w:val="04A0" w:firstRow="1" w:lastRow="0" w:firstColumn="1" w:lastColumn="0" w:noHBand="0" w:noVBand="1"/>
      </w:tblPr>
      <w:tblGrid>
        <w:gridCol w:w="3109"/>
        <w:gridCol w:w="3118"/>
      </w:tblGrid>
      <w:tr w:rsidR="00B77983" w:rsidRPr="00B77983" w14:paraId="2DA019C3" w14:textId="77777777" w:rsidTr="00D43498">
        <w:trPr>
          <w:trHeight w:val="300"/>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23C436C" w14:textId="77777777" w:rsidR="00B77983" w:rsidRPr="00B77983" w:rsidRDefault="00B77983" w:rsidP="00B77983">
            <w:pPr>
              <w:spacing w:line="240" w:lineRule="auto"/>
              <w:jc w:val="left"/>
              <w:rPr>
                <w:rFonts w:ascii="Century Gothic" w:hAnsi="Century Gothic" w:cs="Calibri"/>
                <w:color w:val="000000"/>
                <w:sz w:val="22"/>
                <w:szCs w:val="22"/>
              </w:rPr>
            </w:pPr>
            <w:r w:rsidRPr="00B77983">
              <w:rPr>
                <w:rFonts w:ascii="Century Gothic" w:hAnsi="Century Gothic" w:cs="Calibri"/>
                <w:color w:val="000000"/>
                <w:sz w:val="22"/>
                <w:szCs w:val="22"/>
              </w:rPr>
              <w:t>Búracie práce</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4CF35210" w14:textId="77777777" w:rsidR="00B77983" w:rsidRPr="00B77983" w:rsidRDefault="00B77983" w:rsidP="00B77983">
            <w:pPr>
              <w:spacing w:line="240" w:lineRule="auto"/>
              <w:jc w:val="center"/>
              <w:rPr>
                <w:rFonts w:ascii="Century Gothic" w:hAnsi="Century Gothic" w:cs="Calibri"/>
                <w:color w:val="000000"/>
                <w:sz w:val="22"/>
                <w:szCs w:val="22"/>
              </w:rPr>
            </w:pPr>
            <w:r w:rsidRPr="00B77983">
              <w:rPr>
                <w:rFonts w:ascii="Century Gothic" w:hAnsi="Century Gothic" w:cs="Calibri"/>
                <w:color w:val="000000"/>
                <w:sz w:val="22"/>
                <w:szCs w:val="22"/>
              </w:rPr>
              <w:t xml:space="preserve">            4 328 800,00   </w:t>
            </w:r>
          </w:p>
        </w:tc>
      </w:tr>
    </w:tbl>
    <w:p w14:paraId="72092188" w14:textId="77777777" w:rsidR="00B77983" w:rsidRPr="00B77983" w:rsidRDefault="00B77983" w:rsidP="00B77983">
      <w:pPr>
        <w:spacing w:line="240" w:lineRule="auto"/>
        <w:rPr>
          <w:rFonts w:ascii="Century Gothic" w:hAnsi="Century Gothic"/>
          <w:lang w:eastAsia="en-US"/>
        </w:rPr>
      </w:pPr>
    </w:p>
    <w:p w14:paraId="63585A7C" w14:textId="77777777" w:rsidR="00B77983" w:rsidRPr="00B77983" w:rsidRDefault="00B77983" w:rsidP="00B77983">
      <w:pPr>
        <w:spacing w:line="240" w:lineRule="auto"/>
        <w:rPr>
          <w:rFonts w:ascii="Century Gothic" w:hAnsi="Century Gothic" w:cstheme="minorHAnsi"/>
          <w:sz w:val="22"/>
          <w:szCs w:val="22"/>
          <w:lang w:eastAsia="en-US"/>
        </w:rPr>
      </w:pPr>
      <w:r w:rsidRPr="00B77983">
        <w:rPr>
          <w:rFonts w:ascii="Century Gothic" w:hAnsi="Century Gothic" w:cstheme="minorHAnsi"/>
          <w:sz w:val="22"/>
          <w:szCs w:val="22"/>
          <w:lang w:eastAsia="en-US"/>
        </w:rPr>
        <w:t>Okrajové podmienky nastavenia modelu nákladov:</w:t>
      </w:r>
    </w:p>
    <w:p w14:paraId="4F943F75" w14:textId="49BD4F59" w:rsidR="00B77983" w:rsidRPr="00B77983" w:rsidRDefault="00B77983" w:rsidP="007F681B">
      <w:pPr>
        <w:pStyle w:val="Odsekzoznamu"/>
        <w:numPr>
          <w:ilvl w:val="0"/>
          <w:numId w:val="64"/>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Náklady na energie boli v tomto variante v zmysle požiadaviek plánu obnovy znížené o 50 % oproti nultému variantu, čo zodpovedá úrovni A0 m</w:t>
      </w:r>
      <w:r w:rsidR="00BB692D">
        <w:rPr>
          <w:rFonts w:ascii="Century Gothic" w:hAnsi="Century Gothic" w:cstheme="minorHAnsi"/>
          <w:bCs/>
          <w:sz w:val="22"/>
          <w:szCs w:val="22"/>
        </w:rPr>
        <w:t>ínus 20 % v zmysle požiadaviek P</w:t>
      </w:r>
      <w:r w:rsidRPr="00B77983">
        <w:rPr>
          <w:rFonts w:ascii="Century Gothic" w:hAnsi="Century Gothic" w:cstheme="minorHAnsi"/>
          <w:bCs/>
          <w:sz w:val="22"/>
          <w:szCs w:val="22"/>
        </w:rPr>
        <w:t>lánu obnovy a odolnosti (KO kritériu pre projekty reko</w:t>
      </w:r>
      <w:r w:rsidR="00BB692D">
        <w:rPr>
          <w:rFonts w:ascii="Century Gothic" w:hAnsi="Century Gothic" w:cstheme="minorHAnsi"/>
          <w:bCs/>
          <w:sz w:val="22"/>
          <w:szCs w:val="22"/>
        </w:rPr>
        <w:t>nštrukcií v zmysle požiadaviek P</w:t>
      </w:r>
      <w:r w:rsidRPr="00B77983">
        <w:rPr>
          <w:rFonts w:ascii="Century Gothic" w:hAnsi="Century Gothic" w:cstheme="minorHAnsi"/>
          <w:bCs/>
          <w:sz w:val="22"/>
          <w:szCs w:val="22"/>
        </w:rPr>
        <w:t>lánu obnovy</w:t>
      </w:r>
      <w:r w:rsidR="00BB692D">
        <w:rPr>
          <w:rFonts w:ascii="Century Gothic" w:hAnsi="Century Gothic" w:cstheme="minorHAnsi"/>
          <w:bCs/>
          <w:sz w:val="22"/>
          <w:szCs w:val="22"/>
        </w:rPr>
        <w:t>,</w:t>
      </w:r>
      <w:r w:rsidRPr="00B77983">
        <w:rPr>
          <w:rFonts w:ascii="Century Gothic" w:hAnsi="Century Gothic" w:cstheme="minorHAnsi"/>
          <w:bCs/>
          <w:sz w:val="22"/>
          <w:szCs w:val="22"/>
        </w:rPr>
        <w:t xml:space="preserve"> </w:t>
      </w:r>
      <w:proofErr w:type="spellStart"/>
      <w:r w:rsidRPr="00B77983">
        <w:rPr>
          <w:rFonts w:ascii="Century Gothic" w:hAnsi="Century Gothic" w:cstheme="minorHAnsi"/>
          <w:bCs/>
          <w:sz w:val="22"/>
          <w:szCs w:val="22"/>
        </w:rPr>
        <w:t>t.j</w:t>
      </w:r>
      <w:proofErr w:type="spellEnd"/>
      <w:r w:rsidRPr="00B77983">
        <w:rPr>
          <w:rFonts w:ascii="Century Gothic" w:hAnsi="Century Gothic" w:cstheme="minorHAnsi"/>
          <w:bCs/>
          <w:sz w:val="22"/>
          <w:szCs w:val="22"/>
        </w:rPr>
        <w:t>. musí byť dodržané).</w:t>
      </w:r>
    </w:p>
    <w:p w14:paraId="05534160" w14:textId="77777777" w:rsidR="00B77983" w:rsidRPr="00B77983" w:rsidRDefault="00B77983" w:rsidP="007F681B">
      <w:pPr>
        <w:pStyle w:val="Odsekzoznamu"/>
        <w:numPr>
          <w:ilvl w:val="0"/>
          <w:numId w:val="64"/>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lastRenderedPageBreak/>
        <w:t>Prvých 5 rokov po realizácii komplexnej rekonštrukcie uvažujeme s nulovými nákladmi na rekonštrukcie nakoľko uvažujeme s 5 ročnou zárukou na stavbu.</w:t>
      </w:r>
    </w:p>
    <w:p w14:paraId="65FFB97E" w14:textId="52B0392F" w:rsidR="00B77983" w:rsidRPr="00B77983" w:rsidRDefault="00B77983" w:rsidP="007F681B">
      <w:pPr>
        <w:pStyle w:val="Odsekzoznamu"/>
        <w:numPr>
          <w:ilvl w:val="0"/>
          <w:numId w:val="64"/>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Predpokladáme aj zníženie spotreby ŠZM na úrovni 15 % z dôvodu predpokladu zásadného zvýšenia efektívnosti a medicínskej bezpečnosti prevádzky</w:t>
      </w:r>
      <w:r w:rsidR="005E64EE">
        <w:rPr>
          <w:rFonts w:ascii="Century Gothic" w:hAnsi="Century Gothic" w:cstheme="minorHAnsi"/>
          <w:bCs/>
          <w:sz w:val="22"/>
          <w:szCs w:val="22"/>
        </w:rPr>
        <w:t>.</w:t>
      </w:r>
      <w:r w:rsidRPr="00B77983">
        <w:rPr>
          <w:rFonts w:ascii="Century Gothic" w:hAnsi="Century Gothic" w:cstheme="minorHAnsi"/>
          <w:bCs/>
          <w:sz w:val="22"/>
          <w:szCs w:val="22"/>
        </w:rPr>
        <w:t xml:space="preserve"> </w:t>
      </w:r>
    </w:p>
    <w:p w14:paraId="1E7C0AC4" w14:textId="77777777" w:rsidR="00B77983" w:rsidRPr="00B77983" w:rsidRDefault="00B77983" w:rsidP="00B77983">
      <w:pPr>
        <w:pStyle w:val="Odsekzoznamu"/>
        <w:autoSpaceDE w:val="0"/>
        <w:autoSpaceDN w:val="0"/>
        <w:adjustRightInd w:val="0"/>
        <w:spacing w:line="240" w:lineRule="auto"/>
        <w:ind w:left="709"/>
        <w:rPr>
          <w:rFonts w:ascii="Century Gothic" w:hAnsi="Century Gothic" w:cstheme="minorHAnsi"/>
          <w:bCs/>
          <w:sz w:val="22"/>
          <w:szCs w:val="22"/>
        </w:rPr>
      </w:pPr>
    </w:p>
    <w:p w14:paraId="31E9BCFC" w14:textId="77777777" w:rsidR="00B77983" w:rsidRPr="00B77983" w:rsidRDefault="00B77983" w:rsidP="00B77983">
      <w:pPr>
        <w:spacing w:line="240" w:lineRule="auto"/>
        <w:rPr>
          <w:rFonts w:ascii="Century Gothic" w:hAnsi="Century Gothic" w:cstheme="minorHAnsi"/>
          <w:bCs/>
          <w:sz w:val="22"/>
          <w:szCs w:val="22"/>
        </w:rPr>
      </w:pPr>
      <w:r w:rsidRPr="00B77983">
        <w:rPr>
          <w:rFonts w:ascii="Century Gothic" w:hAnsi="Century Gothic" w:cstheme="minorHAnsi"/>
          <w:bCs/>
          <w:sz w:val="22"/>
          <w:szCs w:val="22"/>
        </w:rPr>
        <w:t>Ďalšími okrajovými podmienkami boli nárasty výkonov a nárasty platieb popísané podrobne v dopytovom modeli. Tu uvádzame kvôli prehľadu východiskové hodnoty percentuálnych nákladov:</w:t>
      </w:r>
    </w:p>
    <w:p w14:paraId="6F03ED6E" w14:textId="77777777" w:rsidR="00B77983" w:rsidRDefault="00B77983" w:rsidP="00B77983"/>
    <w:p w14:paraId="04B885A8" w14:textId="6C5D7E54" w:rsidR="00B77983" w:rsidRPr="00B77983" w:rsidRDefault="00B77983" w:rsidP="00B77983">
      <w:pPr>
        <w:pStyle w:val="Popis"/>
        <w:spacing w:before="0" w:after="0" w:line="240" w:lineRule="auto"/>
        <w:rPr>
          <w:rFonts w:ascii="Century Gothic" w:hAnsi="Century Gothic"/>
          <w:b w:val="0"/>
          <w:i/>
        </w:rPr>
      </w:pPr>
      <w:bookmarkStart w:id="152" w:name="_Toc112734011"/>
      <w:bookmarkStart w:id="153" w:name="_Toc145219935"/>
      <w:r w:rsidRPr="00B77983">
        <w:rPr>
          <w:rFonts w:ascii="Century Gothic" w:hAnsi="Century Gothic"/>
          <w:b w:val="0"/>
          <w:i/>
        </w:rPr>
        <w:t xml:space="preserve">Tabuľka </w:t>
      </w:r>
      <w:r w:rsidRPr="00B77983">
        <w:rPr>
          <w:rFonts w:ascii="Century Gothic" w:hAnsi="Century Gothic"/>
          <w:b w:val="0"/>
          <w:i/>
        </w:rPr>
        <w:fldChar w:fldCharType="begin"/>
      </w:r>
      <w:r w:rsidRPr="00B77983">
        <w:rPr>
          <w:rFonts w:ascii="Century Gothic" w:hAnsi="Century Gothic"/>
          <w:b w:val="0"/>
          <w:i/>
        </w:rPr>
        <w:instrText xml:space="preserve"> SEQ Tabuľka \* ARABIC </w:instrText>
      </w:r>
      <w:r w:rsidRPr="00B77983">
        <w:rPr>
          <w:rFonts w:ascii="Century Gothic" w:hAnsi="Century Gothic"/>
          <w:b w:val="0"/>
          <w:i/>
        </w:rPr>
        <w:fldChar w:fldCharType="separate"/>
      </w:r>
      <w:r w:rsidR="007D6A44">
        <w:rPr>
          <w:rFonts w:ascii="Century Gothic" w:hAnsi="Century Gothic"/>
          <w:b w:val="0"/>
          <w:i/>
          <w:noProof/>
        </w:rPr>
        <w:t>34</w:t>
      </w:r>
      <w:r w:rsidRPr="00B77983">
        <w:rPr>
          <w:rFonts w:ascii="Century Gothic" w:hAnsi="Century Gothic"/>
          <w:b w:val="0"/>
          <w:i/>
        </w:rPr>
        <w:fldChar w:fldCharType="end"/>
      </w:r>
      <w:r w:rsidRPr="00B77983">
        <w:rPr>
          <w:rFonts w:ascii="Century Gothic" w:hAnsi="Century Gothic"/>
          <w:b w:val="0"/>
          <w:i/>
        </w:rPr>
        <w:t xml:space="preserve">  Percentuálny rast nákladov v sledovanom / hodnotenom období</w:t>
      </w:r>
      <w:bookmarkEnd w:id="152"/>
      <w:bookmarkEnd w:id="153"/>
    </w:p>
    <w:p w14:paraId="42480D7C" w14:textId="77777777" w:rsidR="00B77983" w:rsidRPr="00BA24E0" w:rsidRDefault="00B77983" w:rsidP="00B77983">
      <w:pPr>
        <w:jc w:val="center"/>
        <w:rPr>
          <w:lang w:eastAsia="cs-CZ"/>
        </w:rPr>
      </w:pPr>
      <w:r w:rsidRPr="0085752B">
        <w:rPr>
          <w:noProof/>
        </w:rPr>
        <w:drawing>
          <wp:inline distT="0" distB="0" distL="0" distR="0" wp14:anchorId="28B34E1C" wp14:editId="01C8507B">
            <wp:extent cx="5760720" cy="4563314"/>
            <wp:effectExtent l="0" t="0" r="0" b="8890"/>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720" cy="4563314"/>
                    </a:xfrm>
                    <a:prstGeom prst="rect">
                      <a:avLst/>
                    </a:prstGeom>
                    <a:noFill/>
                    <a:ln>
                      <a:noFill/>
                    </a:ln>
                  </pic:spPr>
                </pic:pic>
              </a:graphicData>
            </a:graphic>
          </wp:inline>
        </w:drawing>
      </w:r>
    </w:p>
    <w:p w14:paraId="613A1B72" w14:textId="77777777" w:rsidR="00B77983" w:rsidRPr="00B77983" w:rsidRDefault="00B77983" w:rsidP="00B77983">
      <w:pPr>
        <w:rPr>
          <w:rFonts w:ascii="Century Gothic" w:hAnsi="Century Gothic" w:cstheme="minorHAnsi"/>
          <w:i/>
          <w:sz w:val="18"/>
          <w:szCs w:val="18"/>
          <w:lang w:eastAsia="cs-CZ"/>
        </w:rPr>
      </w:pPr>
      <w:r w:rsidRPr="00B77983">
        <w:rPr>
          <w:rFonts w:ascii="Century Gothic" w:hAnsi="Century Gothic" w:cstheme="minorHAnsi"/>
          <w:i/>
          <w:sz w:val="18"/>
          <w:szCs w:val="18"/>
          <w:lang w:eastAsia="cs-CZ"/>
        </w:rPr>
        <w:t>Zdroj: vlastné spracovanie</w:t>
      </w:r>
    </w:p>
    <w:p w14:paraId="0D3BD69C" w14:textId="77777777" w:rsidR="00B77983" w:rsidRDefault="00B77983" w:rsidP="00B77983">
      <w:pPr>
        <w:pStyle w:val="Popis"/>
        <w:spacing w:before="0" w:after="0" w:line="240" w:lineRule="auto"/>
        <w:rPr>
          <w:rFonts w:asciiTheme="minorHAnsi" w:hAnsiTheme="minorHAnsi" w:cstheme="minorHAnsi"/>
          <w:b w:val="0"/>
          <w:i/>
        </w:rPr>
      </w:pPr>
    </w:p>
    <w:p w14:paraId="5A817BB4" w14:textId="77777777" w:rsidR="00B77983" w:rsidRDefault="00B77983" w:rsidP="00B77983">
      <w:pPr>
        <w:pStyle w:val="Popis"/>
        <w:spacing w:before="0" w:after="0" w:line="240" w:lineRule="auto"/>
        <w:rPr>
          <w:rFonts w:ascii="Century Gothic" w:hAnsi="Century Gothic"/>
          <w:b w:val="0"/>
          <w:i/>
        </w:rPr>
      </w:pPr>
      <w:bookmarkStart w:id="154" w:name="_Toc112734012"/>
    </w:p>
    <w:p w14:paraId="0153B1D6" w14:textId="77777777" w:rsidR="00B77983" w:rsidRDefault="00B77983" w:rsidP="00B77983">
      <w:pPr>
        <w:pStyle w:val="Popis"/>
        <w:spacing w:before="0" w:after="0" w:line="240" w:lineRule="auto"/>
        <w:rPr>
          <w:rFonts w:ascii="Century Gothic" w:hAnsi="Century Gothic"/>
          <w:b w:val="0"/>
          <w:i/>
        </w:rPr>
      </w:pPr>
    </w:p>
    <w:p w14:paraId="04D3E4D4" w14:textId="77777777" w:rsidR="00B77983" w:rsidRDefault="00B77983" w:rsidP="00B77983">
      <w:pPr>
        <w:pStyle w:val="Popis"/>
        <w:spacing w:before="0" w:after="0" w:line="240" w:lineRule="auto"/>
        <w:rPr>
          <w:rFonts w:ascii="Century Gothic" w:hAnsi="Century Gothic"/>
          <w:b w:val="0"/>
          <w:i/>
        </w:rPr>
      </w:pPr>
    </w:p>
    <w:p w14:paraId="2394F2C3" w14:textId="77777777" w:rsidR="00B77983" w:rsidRDefault="00B77983" w:rsidP="00B77983">
      <w:pPr>
        <w:pStyle w:val="Popis"/>
        <w:spacing w:before="0" w:after="0" w:line="240" w:lineRule="auto"/>
        <w:rPr>
          <w:rFonts w:ascii="Century Gothic" w:hAnsi="Century Gothic"/>
          <w:b w:val="0"/>
          <w:i/>
        </w:rPr>
      </w:pPr>
    </w:p>
    <w:p w14:paraId="78EC5FB6" w14:textId="77777777" w:rsidR="00B77983" w:rsidRDefault="00B77983" w:rsidP="00B77983">
      <w:pPr>
        <w:pStyle w:val="Popis"/>
        <w:spacing w:before="0" w:after="0" w:line="240" w:lineRule="auto"/>
        <w:rPr>
          <w:rFonts w:ascii="Century Gothic" w:hAnsi="Century Gothic"/>
          <w:b w:val="0"/>
          <w:i/>
        </w:rPr>
      </w:pPr>
    </w:p>
    <w:p w14:paraId="66CB1F95" w14:textId="77777777" w:rsidR="00B77983" w:rsidRDefault="00B77983" w:rsidP="00B77983">
      <w:pPr>
        <w:pStyle w:val="Popis"/>
        <w:spacing w:before="0" w:after="0" w:line="240" w:lineRule="auto"/>
        <w:rPr>
          <w:rFonts w:ascii="Century Gothic" w:hAnsi="Century Gothic"/>
          <w:b w:val="0"/>
          <w:i/>
        </w:rPr>
      </w:pPr>
    </w:p>
    <w:p w14:paraId="760B80D4" w14:textId="77777777" w:rsidR="00B77983" w:rsidRDefault="00B77983" w:rsidP="00B77983">
      <w:pPr>
        <w:pStyle w:val="Popis"/>
        <w:spacing w:before="0" w:after="0" w:line="240" w:lineRule="auto"/>
        <w:rPr>
          <w:rFonts w:ascii="Century Gothic" w:hAnsi="Century Gothic"/>
          <w:b w:val="0"/>
          <w:i/>
        </w:rPr>
      </w:pPr>
    </w:p>
    <w:p w14:paraId="1959050C" w14:textId="77777777" w:rsidR="00B77983" w:rsidRDefault="00B77983" w:rsidP="00B77983">
      <w:pPr>
        <w:pStyle w:val="Popis"/>
        <w:spacing w:before="0" w:after="0" w:line="240" w:lineRule="auto"/>
        <w:rPr>
          <w:rFonts w:ascii="Century Gothic" w:hAnsi="Century Gothic"/>
          <w:b w:val="0"/>
          <w:i/>
        </w:rPr>
      </w:pPr>
    </w:p>
    <w:p w14:paraId="64D556C8" w14:textId="77777777" w:rsidR="009D6421" w:rsidRDefault="009D6421" w:rsidP="00B77983">
      <w:pPr>
        <w:pStyle w:val="Popis"/>
        <w:spacing w:before="0" w:after="0" w:line="240" w:lineRule="auto"/>
        <w:rPr>
          <w:rFonts w:ascii="Century Gothic" w:hAnsi="Century Gothic"/>
          <w:b w:val="0"/>
          <w:i/>
        </w:rPr>
      </w:pPr>
    </w:p>
    <w:p w14:paraId="0F35B899" w14:textId="77777777" w:rsidR="009D6421" w:rsidRDefault="009D6421" w:rsidP="00B77983">
      <w:pPr>
        <w:pStyle w:val="Popis"/>
        <w:spacing w:before="0" w:after="0" w:line="240" w:lineRule="auto"/>
        <w:rPr>
          <w:rFonts w:ascii="Century Gothic" w:hAnsi="Century Gothic"/>
          <w:b w:val="0"/>
          <w:i/>
        </w:rPr>
      </w:pPr>
    </w:p>
    <w:p w14:paraId="031E01F7" w14:textId="77777777" w:rsidR="009D6421" w:rsidRDefault="009D6421" w:rsidP="00B77983">
      <w:pPr>
        <w:pStyle w:val="Popis"/>
        <w:spacing w:before="0" w:after="0" w:line="240" w:lineRule="auto"/>
        <w:rPr>
          <w:rFonts w:ascii="Century Gothic" w:hAnsi="Century Gothic"/>
          <w:b w:val="0"/>
          <w:i/>
        </w:rPr>
      </w:pPr>
    </w:p>
    <w:p w14:paraId="7DFFE0DE" w14:textId="77777777" w:rsidR="009D6421" w:rsidRDefault="009D6421" w:rsidP="00B77983">
      <w:pPr>
        <w:pStyle w:val="Popis"/>
        <w:spacing w:before="0" w:after="0" w:line="240" w:lineRule="auto"/>
        <w:rPr>
          <w:rFonts w:ascii="Century Gothic" w:hAnsi="Century Gothic"/>
          <w:b w:val="0"/>
          <w:i/>
        </w:rPr>
      </w:pPr>
    </w:p>
    <w:p w14:paraId="557C4168" w14:textId="77777777" w:rsidR="009D6421" w:rsidRDefault="009D6421" w:rsidP="00B77983">
      <w:pPr>
        <w:pStyle w:val="Popis"/>
        <w:spacing w:before="0" w:after="0" w:line="240" w:lineRule="auto"/>
        <w:rPr>
          <w:rFonts w:ascii="Century Gothic" w:hAnsi="Century Gothic"/>
          <w:b w:val="0"/>
          <w:i/>
        </w:rPr>
      </w:pPr>
    </w:p>
    <w:p w14:paraId="32001B81" w14:textId="77777777" w:rsidR="009D6421" w:rsidRDefault="009D6421" w:rsidP="00B77983">
      <w:pPr>
        <w:pStyle w:val="Popis"/>
        <w:spacing w:before="0" w:after="0" w:line="240" w:lineRule="auto"/>
        <w:rPr>
          <w:rFonts w:ascii="Century Gothic" w:hAnsi="Century Gothic"/>
          <w:b w:val="0"/>
          <w:i/>
        </w:rPr>
      </w:pPr>
    </w:p>
    <w:p w14:paraId="4BA4CB41" w14:textId="050DC00F" w:rsidR="00B77983" w:rsidRPr="00B77983" w:rsidRDefault="00B77983" w:rsidP="00B77983">
      <w:pPr>
        <w:pStyle w:val="Popis"/>
        <w:spacing w:before="0" w:after="0" w:line="240" w:lineRule="auto"/>
        <w:rPr>
          <w:rFonts w:ascii="Century Gothic" w:hAnsi="Century Gothic"/>
          <w:b w:val="0"/>
          <w:i/>
        </w:rPr>
      </w:pPr>
      <w:bookmarkStart w:id="155" w:name="_Toc145219936"/>
      <w:r w:rsidRPr="00B77983">
        <w:rPr>
          <w:rFonts w:ascii="Century Gothic" w:hAnsi="Century Gothic"/>
          <w:b w:val="0"/>
          <w:i/>
        </w:rPr>
        <w:lastRenderedPageBreak/>
        <w:t xml:space="preserve">Tabuľka </w:t>
      </w:r>
      <w:r w:rsidRPr="00B77983">
        <w:rPr>
          <w:rFonts w:ascii="Century Gothic" w:hAnsi="Century Gothic"/>
          <w:b w:val="0"/>
          <w:i/>
        </w:rPr>
        <w:fldChar w:fldCharType="begin"/>
      </w:r>
      <w:r w:rsidRPr="00B77983">
        <w:rPr>
          <w:rFonts w:ascii="Century Gothic" w:hAnsi="Century Gothic"/>
          <w:b w:val="0"/>
          <w:i/>
        </w:rPr>
        <w:instrText xml:space="preserve"> SEQ Tabuľka \* ARABIC </w:instrText>
      </w:r>
      <w:r w:rsidRPr="00B77983">
        <w:rPr>
          <w:rFonts w:ascii="Century Gothic" w:hAnsi="Century Gothic"/>
          <w:b w:val="0"/>
          <w:i/>
        </w:rPr>
        <w:fldChar w:fldCharType="separate"/>
      </w:r>
      <w:r w:rsidR="007D6A44">
        <w:rPr>
          <w:rFonts w:ascii="Century Gothic" w:hAnsi="Century Gothic"/>
          <w:b w:val="0"/>
          <w:i/>
          <w:noProof/>
        </w:rPr>
        <w:t>35</w:t>
      </w:r>
      <w:r w:rsidRPr="00B77983">
        <w:rPr>
          <w:rFonts w:ascii="Century Gothic" w:hAnsi="Century Gothic"/>
          <w:b w:val="0"/>
          <w:i/>
        </w:rPr>
        <w:fldChar w:fldCharType="end"/>
      </w:r>
      <w:r w:rsidRPr="00B77983">
        <w:rPr>
          <w:rFonts w:ascii="Century Gothic" w:hAnsi="Century Gothic"/>
          <w:b w:val="0"/>
          <w:i/>
        </w:rPr>
        <w:t xml:space="preserve"> Percentuálny rast výnosov v sledovanom / hodnotenom období</w:t>
      </w:r>
      <w:bookmarkEnd w:id="154"/>
      <w:bookmarkEnd w:id="155"/>
    </w:p>
    <w:p w14:paraId="506F8CC5" w14:textId="77777777" w:rsidR="00B77983" w:rsidRPr="00BA24E0" w:rsidRDefault="00B77983" w:rsidP="00B77983">
      <w:pPr>
        <w:rPr>
          <w:lang w:eastAsia="cs-CZ"/>
        </w:rPr>
      </w:pPr>
      <w:r w:rsidRPr="0085752B">
        <w:rPr>
          <w:noProof/>
        </w:rPr>
        <w:drawing>
          <wp:inline distT="0" distB="0" distL="0" distR="0" wp14:anchorId="7CC43D05" wp14:editId="0F65EDD2">
            <wp:extent cx="5760720" cy="5441608"/>
            <wp:effectExtent l="0" t="0" r="0" b="698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0720" cy="5441608"/>
                    </a:xfrm>
                    <a:prstGeom prst="rect">
                      <a:avLst/>
                    </a:prstGeom>
                    <a:noFill/>
                    <a:ln>
                      <a:noFill/>
                    </a:ln>
                  </pic:spPr>
                </pic:pic>
              </a:graphicData>
            </a:graphic>
          </wp:inline>
        </w:drawing>
      </w:r>
    </w:p>
    <w:p w14:paraId="627833B0" w14:textId="77777777" w:rsidR="00B77983" w:rsidRPr="00B77983" w:rsidRDefault="00B77983" w:rsidP="00B77983">
      <w:pPr>
        <w:rPr>
          <w:rFonts w:ascii="Century Gothic" w:hAnsi="Century Gothic" w:cstheme="minorHAnsi"/>
          <w:i/>
          <w:sz w:val="18"/>
          <w:szCs w:val="18"/>
          <w:lang w:eastAsia="cs-CZ"/>
        </w:rPr>
      </w:pPr>
      <w:r w:rsidRPr="00B77983">
        <w:rPr>
          <w:rFonts w:ascii="Century Gothic" w:hAnsi="Century Gothic" w:cstheme="minorHAnsi"/>
          <w:i/>
          <w:sz w:val="18"/>
          <w:szCs w:val="18"/>
          <w:lang w:eastAsia="cs-CZ"/>
        </w:rPr>
        <w:t>Zdroj: vlastné spracovanie</w:t>
      </w:r>
    </w:p>
    <w:p w14:paraId="7CEAD9A7" w14:textId="77777777" w:rsidR="00C67E68" w:rsidRDefault="00C67E68" w:rsidP="00B77983">
      <w:pPr>
        <w:rPr>
          <w:rFonts w:ascii="Century Gothic" w:hAnsi="Century Gothic"/>
          <w:sz w:val="22"/>
          <w:szCs w:val="22"/>
        </w:rPr>
      </w:pPr>
    </w:p>
    <w:p w14:paraId="54370DC1" w14:textId="1FC5A8D6" w:rsidR="0018150D" w:rsidRDefault="00787A0E" w:rsidP="00C67E68">
      <w:pPr>
        <w:spacing w:line="240" w:lineRule="auto"/>
        <w:rPr>
          <w:rFonts w:ascii="Century Gothic" w:hAnsi="Century Gothic"/>
          <w:sz w:val="22"/>
          <w:szCs w:val="22"/>
        </w:rPr>
      </w:pPr>
      <w:r w:rsidRPr="00B77983">
        <w:rPr>
          <w:rFonts w:ascii="Century Gothic" w:hAnsi="Century Gothic"/>
          <w:sz w:val="22"/>
          <w:szCs w:val="22"/>
        </w:rPr>
        <w:t xml:space="preserve">Samotný finančný model vychádzal a modelovanie prínosov a nákladov je teda postavené na zohľadnení reálnych rastov nákladov a výnosov dosiahnutých v období 2016-2022 s konzervatívnym nastavením </w:t>
      </w:r>
      <w:proofErr w:type="spellStart"/>
      <w:r w:rsidRPr="00B77983">
        <w:rPr>
          <w:rFonts w:ascii="Century Gothic" w:hAnsi="Century Gothic"/>
          <w:sz w:val="22"/>
          <w:szCs w:val="22"/>
        </w:rPr>
        <w:t>t.j</w:t>
      </w:r>
      <w:proofErr w:type="spellEnd"/>
      <w:r w:rsidRPr="00B77983">
        <w:rPr>
          <w:rFonts w:ascii="Century Gothic" w:hAnsi="Century Gothic"/>
          <w:sz w:val="22"/>
          <w:szCs w:val="22"/>
        </w:rPr>
        <w:t>. všetky rasty nákladov aj výnosov vychádzajú z predpokladu stabilizácie sektora a rasty nákladom aj výnosov sú znížené (ich percentuálna hodnota) o </w:t>
      </w:r>
      <w:r w:rsidR="008B6430">
        <w:rPr>
          <w:rFonts w:ascii="Century Gothic" w:hAnsi="Century Gothic"/>
          <w:sz w:val="22"/>
          <w:szCs w:val="22"/>
        </w:rPr>
        <w:t>5</w:t>
      </w:r>
      <w:r w:rsidRPr="00B77983">
        <w:rPr>
          <w:rFonts w:ascii="Century Gothic" w:hAnsi="Century Gothic"/>
          <w:sz w:val="22"/>
          <w:szCs w:val="22"/>
        </w:rPr>
        <w:t xml:space="preserve"> % každý rok. Tento „racionalizačný“ prvok je do analýzy vložený z dôvodu enormných rastov nákladov aj výnosov v sledovanom období a jeho nezavedenie by spôsobilo v 30 ročnom výhľade odhady na úrovni niekoľkých mld. eur čo pouvažujeme za nereálne a náš prístup hodnotíme ako štatisticky korektný keďže sme ho aplikovali rovnakým spôsobom na výnosy aj náklady.</w:t>
      </w:r>
    </w:p>
    <w:p w14:paraId="2877139C" w14:textId="77777777" w:rsidR="0018150D" w:rsidRDefault="0018150D" w:rsidP="00C67E68">
      <w:pPr>
        <w:spacing w:line="240" w:lineRule="auto"/>
        <w:rPr>
          <w:rFonts w:ascii="Century Gothic" w:hAnsi="Century Gothic"/>
          <w:sz w:val="22"/>
          <w:szCs w:val="22"/>
        </w:rPr>
      </w:pPr>
    </w:p>
    <w:p w14:paraId="3DA379CE" w14:textId="4A3EAA13" w:rsidR="0018150D" w:rsidRDefault="0018150D" w:rsidP="00C67E68">
      <w:pPr>
        <w:spacing w:line="240" w:lineRule="auto"/>
        <w:rPr>
          <w:rFonts w:ascii="Century Gothic" w:hAnsi="Century Gothic"/>
          <w:sz w:val="22"/>
          <w:szCs w:val="22"/>
        </w:rPr>
      </w:pPr>
      <w:r>
        <w:rPr>
          <w:rFonts w:ascii="Century Gothic" w:hAnsi="Century Gothic"/>
          <w:sz w:val="22"/>
          <w:szCs w:val="22"/>
        </w:rPr>
        <w:t>Pre vysvetlenie ešte uvádzame niektoré predpoklady a „zjednodušenie“ použité v ekonomickom modeli:</w:t>
      </w:r>
    </w:p>
    <w:p w14:paraId="610F7BDC" w14:textId="2C4210B9" w:rsidR="0018150D" w:rsidRDefault="0018150D" w:rsidP="00C67E68">
      <w:pPr>
        <w:pStyle w:val="Odsekzoznamu"/>
        <w:numPr>
          <w:ilvl w:val="0"/>
          <w:numId w:val="77"/>
        </w:numPr>
        <w:spacing w:line="240" w:lineRule="auto"/>
        <w:rPr>
          <w:rFonts w:ascii="Century Gothic" w:hAnsi="Century Gothic"/>
          <w:sz w:val="22"/>
          <w:szCs w:val="22"/>
        </w:rPr>
      </w:pPr>
      <w:r>
        <w:rPr>
          <w:rFonts w:ascii="Century Gothic" w:hAnsi="Century Gothic"/>
          <w:sz w:val="22"/>
          <w:szCs w:val="22"/>
        </w:rPr>
        <w:t>Modelovali sme samostatne hlavnú a podnikateľskú činnosť, aby bolo jednoznačné s ktorými nákladmi a výnosmi sa počíta (osobitne sa uvádzajú aj v súvahe a výkaze ziskov a strát z dôvodov na strane daňovej legislatívy)</w:t>
      </w:r>
    </w:p>
    <w:p w14:paraId="7D8865F7" w14:textId="4D56F238" w:rsidR="0018150D" w:rsidRDefault="008B6430" w:rsidP="00C67E68">
      <w:pPr>
        <w:pStyle w:val="Odsekzoznamu"/>
        <w:numPr>
          <w:ilvl w:val="0"/>
          <w:numId w:val="77"/>
        </w:numPr>
        <w:spacing w:line="240" w:lineRule="auto"/>
        <w:rPr>
          <w:rFonts w:ascii="Century Gothic" w:hAnsi="Century Gothic"/>
          <w:sz w:val="22"/>
          <w:szCs w:val="22"/>
        </w:rPr>
      </w:pPr>
      <w:r>
        <w:rPr>
          <w:rFonts w:ascii="Century Gothic" w:hAnsi="Century Gothic"/>
          <w:sz w:val="22"/>
          <w:szCs w:val="22"/>
        </w:rPr>
        <w:t>V časti náklady sme použili nasledovné predpoklady:</w:t>
      </w:r>
    </w:p>
    <w:p w14:paraId="6E78F248" w14:textId="3121C0F4" w:rsidR="008B6430" w:rsidRDefault="008B6430" w:rsidP="00C67E68">
      <w:pPr>
        <w:pStyle w:val="Odsekzoznamu"/>
        <w:numPr>
          <w:ilvl w:val="0"/>
          <w:numId w:val="78"/>
        </w:numPr>
        <w:spacing w:line="240" w:lineRule="auto"/>
        <w:rPr>
          <w:rFonts w:ascii="Century Gothic" w:hAnsi="Century Gothic"/>
          <w:sz w:val="22"/>
          <w:szCs w:val="22"/>
        </w:rPr>
      </w:pPr>
      <w:r>
        <w:rPr>
          <w:rFonts w:ascii="Century Gothic" w:hAnsi="Century Gothic"/>
          <w:sz w:val="22"/>
          <w:szCs w:val="22"/>
        </w:rPr>
        <w:lastRenderedPageBreak/>
        <w:t xml:space="preserve">Spotrebované nákupy, služby a dane a </w:t>
      </w:r>
      <w:r w:rsidR="00841056">
        <w:rPr>
          <w:rFonts w:ascii="Century Gothic" w:hAnsi="Century Gothic"/>
          <w:sz w:val="22"/>
          <w:szCs w:val="22"/>
        </w:rPr>
        <w:t>poplatky</w:t>
      </w:r>
      <w:r>
        <w:rPr>
          <w:rFonts w:ascii="Century Gothic" w:hAnsi="Century Gothic"/>
          <w:sz w:val="22"/>
          <w:szCs w:val="22"/>
        </w:rPr>
        <w:t xml:space="preserve"> sú modelované priemerným rastom za roky 2016-2022 postupne znižovaným o 5%</w:t>
      </w:r>
    </w:p>
    <w:p w14:paraId="4EE03878" w14:textId="77777777" w:rsidR="008B6430" w:rsidRDefault="008B6430" w:rsidP="00C67E68">
      <w:pPr>
        <w:pStyle w:val="Odsekzoznamu"/>
        <w:numPr>
          <w:ilvl w:val="0"/>
          <w:numId w:val="78"/>
        </w:numPr>
        <w:spacing w:line="240" w:lineRule="auto"/>
        <w:rPr>
          <w:rFonts w:ascii="Century Gothic" w:hAnsi="Century Gothic"/>
          <w:sz w:val="22"/>
          <w:szCs w:val="22"/>
        </w:rPr>
      </w:pPr>
      <w:r>
        <w:rPr>
          <w:rFonts w:ascii="Century Gothic" w:hAnsi="Century Gothic"/>
          <w:sz w:val="22"/>
          <w:szCs w:val="22"/>
        </w:rPr>
        <w:t>Osobné náklady s priemerným rastom za roky 2016-22 na úrovni 12,55 % sú nastavené na „konzervatívny“ cca polovičný nárast na úrovni 7 %</w:t>
      </w:r>
    </w:p>
    <w:p w14:paraId="1B9734C6" w14:textId="1B95DC7E" w:rsidR="008B6430" w:rsidRDefault="008B6430" w:rsidP="00C67E68">
      <w:pPr>
        <w:pStyle w:val="Odsekzoznamu"/>
        <w:numPr>
          <w:ilvl w:val="0"/>
          <w:numId w:val="78"/>
        </w:numPr>
        <w:spacing w:line="240" w:lineRule="auto"/>
        <w:rPr>
          <w:rFonts w:ascii="Century Gothic" w:hAnsi="Century Gothic"/>
          <w:sz w:val="22"/>
          <w:szCs w:val="22"/>
        </w:rPr>
      </w:pPr>
      <w:r>
        <w:rPr>
          <w:rFonts w:ascii="Century Gothic" w:hAnsi="Century Gothic"/>
          <w:sz w:val="22"/>
          <w:szCs w:val="22"/>
        </w:rPr>
        <w:t xml:space="preserve">Ostatné náklady, ktoré majú tendenciu sa v rokoch meniť rádovo v tisíckach % sme nastavili nasledovne: stanovil sa ich percentuálny podiel (ich priemernej hodnoty za roky 2016-2022) voči „stabilným položkám (nákupy, služby, osobné náklady a dane a poplatky) a tento percentuálny podiel sa počítal v každom roku </w:t>
      </w:r>
      <w:proofErr w:type="spellStart"/>
      <w:r>
        <w:rPr>
          <w:rFonts w:ascii="Century Gothic" w:hAnsi="Century Gothic"/>
          <w:sz w:val="22"/>
          <w:szCs w:val="22"/>
        </w:rPr>
        <w:t>t.j</w:t>
      </w:r>
      <w:proofErr w:type="spellEnd"/>
      <w:r>
        <w:rPr>
          <w:rFonts w:ascii="Century Gothic" w:hAnsi="Century Gothic"/>
          <w:sz w:val="22"/>
          <w:szCs w:val="22"/>
        </w:rPr>
        <w:t>. ostal zachovaný voči hlavným položkám na úrovni priemeru počas</w:t>
      </w:r>
      <w:r w:rsidR="00841056">
        <w:rPr>
          <w:rFonts w:ascii="Century Gothic" w:hAnsi="Century Gothic"/>
          <w:sz w:val="22"/>
          <w:szCs w:val="22"/>
        </w:rPr>
        <w:t xml:space="preserve"> celých 30 rokov.</w:t>
      </w:r>
    </w:p>
    <w:p w14:paraId="297DDB86" w14:textId="2E0FDBC8" w:rsidR="008B6430" w:rsidRDefault="00841056" w:rsidP="00C67E68">
      <w:pPr>
        <w:pStyle w:val="Odsekzoznamu"/>
        <w:numPr>
          <w:ilvl w:val="0"/>
          <w:numId w:val="77"/>
        </w:numPr>
        <w:spacing w:line="240" w:lineRule="auto"/>
        <w:rPr>
          <w:rFonts w:ascii="Century Gothic" w:hAnsi="Century Gothic"/>
          <w:sz w:val="22"/>
          <w:szCs w:val="22"/>
        </w:rPr>
      </w:pPr>
      <w:r>
        <w:rPr>
          <w:rFonts w:ascii="Century Gothic" w:hAnsi="Century Gothic"/>
          <w:sz w:val="22"/>
          <w:szCs w:val="22"/>
        </w:rPr>
        <w:t xml:space="preserve">V časti </w:t>
      </w:r>
      <w:r w:rsidR="003D523C">
        <w:rPr>
          <w:rFonts w:ascii="Century Gothic" w:hAnsi="Century Gothic"/>
          <w:sz w:val="22"/>
          <w:szCs w:val="22"/>
        </w:rPr>
        <w:t>výnosy</w:t>
      </w:r>
      <w:r>
        <w:rPr>
          <w:rFonts w:ascii="Century Gothic" w:hAnsi="Century Gothic"/>
          <w:sz w:val="22"/>
          <w:szCs w:val="22"/>
        </w:rPr>
        <w:t xml:space="preserve"> sme použili nasledovné predpoklady:</w:t>
      </w:r>
    </w:p>
    <w:p w14:paraId="5E88FA56" w14:textId="23A7D574" w:rsidR="00841056" w:rsidRDefault="00841056" w:rsidP="00C67E68">
      <w:pPr>
        <w:pStyle w:val="Odsekzoznamu"/>
        <w:numPr>
          <w:ilvl w:val="0"/>
          <w:numId w:val="79"/>
        </w:numPr>
        <w:spacing w:line="240" w:lineRule="auto"/>
        <w:rPr>
          <w:rFonts w:ascii="Century Gothic" w:hAnsi="Century Gothic"/>
          <w:sz w:val="22"/>
          <w:szCs w:val="22"/>
        </w:rPr>
      </w:pPr>
      <w:r>
        <w:rPr>
          <w:rFonts w:ascii="Century Gothic" w:hAnsi="Century Gothic"/>
          <w:sz w:val="22"/>
          <w:szCs w:val="22"/>
        </w:rPr>
        <w:t>Tržby za vlastné výkony a tovar sú modelované priemerným nárastom výnosov za obdobie 2016-2022 znižovaným každý rok o 5 %</w:t>
      </w:r>
    </w:p>
    <w:p w14:paraId="52C6DB87" w14:textId="77777777" w:rsidR="003D523C" w:rsidRDefault="00841056" w:rsidP="00C67E68">
      <w:pPr>
        <w:pStyle w:val="Odsekzoznamu"/>
        <w:numPr>
          <w:ilvl w:val="0"/>
          <w:numId w:val="79"/>
        </w:numPr>
        <w:spacing w:line="240" w:lineRule="auto"/>
        <w:rPr>
          <w:rFonts w:ascii="Century Gothic" w:hAnsi="Century Gothic"/>
          <w:sz w:val="22"/>
          <w:szCs w:val="22"/>
        </w:rPr>
      </w:pPr>
      <w:r>
        <w:rPr>
          <w:rFonts w:ascii="Century Gothic" w:hAnsi="Century Gothic"/>
          <w:sz w:val="22"/>
          <w:szCs w:val="22"/>
        </w:rPr>
        <w:t xml:space="preserve">Ostatné položky vzhľadom nato, že Vlastné výkony tvoria cca 75% výnosov a ostatné výnosové položky majú tendenciu skokových nárastov a poklesov medziročne aj v tisíckach percent bol použitý rovnaký spôsob modelovania ich nárastov ako v nákladoch v časti III predchádzajúceho bodu </w:t>
      </w:r>
      <w:proofErr w:type="spellStart"/>
      <w:r>
        <w:rPr>
          <w:rFonts w:ascii="Century Gothic" w:hAnsi="Century Gothic"/>
          <w:sz w:val="22"/>
          <w:szCs w:val="22"/>
        </w:rPr>
        <w:t>t.j</w:t>
      </w:r>
      <w:proofErr w:type="spellEnd"/>
      <w:r>
        <w:rPr>
          <w:rFonts w:ascii="Century Gothic" w:hAnsi="Century Gothic"/>
          <w:sz w:val="22"/>
          <w:szCs w:val="22"/>
        </w:rPr>
        <w:t xml:space="preserve">.: Stanovil sa percentuálny podiel priemeru každej položky (percentuálny pomer priemeru danej položky voči priemernej hodnote položky „Tržby za vlastné výkony a tovar“). </w:t>
      </w:r>
      <w:proofErr w:type="spellStart"/>
      <w:r>
        <w:rPr>
          <w:rFonts w:ascii="Century Gothic" w:hAnsi="Century Gothic"/>
          <w:sz w:val="22"/>
          <w:szCs w:val="22"/>
        </w:rPr>
        <w:t>Tj</w:t>
      </w:r>
      <w:proofErr w:type="spellEnd"/>
      <w:r>
        <w:rPr>
          <w:rFonts w:ascii="Century Gothic" w:hAnsi="Century Gothic"/>
          <w:sz w:val="22"/>
          <w:szCs w:val="22"/>
        </w:rPr>
        <w:t xml:space="preserve"> Stanovil sa nárast položky „Tržby za vlastné výkony a tovar“ všetky položky boli modelované ako % z tejto položky na základe reálnych dát za roky 2016-2022. </w:t>
      </w:r>
    </w:p>
    <w:p w14:paraId="34374275" w14:textId="68C72D05" w:rsidR="003D523C" w:rsidRDefault="003D523C" w:rsidP="00C67E68">
      <w:pPr>
        <w:pStyle w:val="Odsekzoznamu"/>
        <w:numPr>
          <w:ilvl w:val="0"/>
          <w:numId w:val="79"/>
        </w:numPr>
        <w:spacing w:line="240" w:lineRule="auto"/>
        <w:rPr>
          <w:rFonts w:ascii="Century Gothic" w:hAnsi="Century Gothic"/>
          <w:sz w:val="22"/>
          <w:szCs w:val="22"/>
        </w:rPr>
      </w:pPr>
      <w:r>
        <w:rPr>
          <w:rFonts w:ascii="Century Gothic" w:hAnsi="Century Gothic"/>
          <w:sz w:val="22"/>
          <w:szCs w:val="22"/>
        </w:rPr>
        <w:t xml:space="preserve">Do výnosov sme započítali (napriek tomu, že minimálne v plnej výške by mali byť počítané do výnosov vôbec) aj </w:t>
      </w:r>
      <w:r w:rsidRPr="003D523C">
        <w:rPr>
          <w:rFonts w:ascii="Century Gothic" w:hAnsi="Century Gothic"/>
          <w:sz w:val="22"/>
          <w:szCs w:val="22"/>
        </w:rPr>
        <w:t>Výnosy z transferov a rozpočtových príjmov v štátnych rozpočtových organizáciách a príspevkových organizáciách (r. 115 až r. 123)</w:t>
      </w:r>
      <w:r>
        <w:rPr>
          <w:rFonts w:ascii="Century Gothic" w:hAnsi="Century Gothic"/>
          <w:sz w:val="22"/>
          <w:szCs w:val="22"/>
        </w:rPr>
        <w:t xml:space="preserve">. </w:t>
      </w:r>
    </w:p>
    <w:p w14:paraId="3C16FB6C" w14:textId="55912581" w:rsidR="003D523C" w:rsidRDefault="00E80A41" w:rsidP="00C67E68">
      <w:pPr>
        <w:pStyle w:val="Odsekzoznamu"/>
        <w:spacing w:line="240" w:lineRule="auto"/>
        <w:ind w:left="1440"/>
        <w:rPr>
          <w:rFonts w:ascii="Century Gothic" w:hAnsi="Century Gothic"/>
          <w:sz w:val="22"/>
          <w:szCs w:val="22"/>
        </w:rPr>
      </w:pPr>
      <w:r>
        <w:rPr>
          <w:rFonts w:ascii="Century Gothic" w:hAnsi="Century Gothic"/>
          <w:sz w:val="22"/>
          <w:szCs w:val="22"/>
        </w:rPr>
        <w:t xml:space="preserve">Bez započítania tejto položky by sme dosiahli Čistú súčasnú hodnotu na úrovni mínus 800 mil. Eur aj pri súčasnom nastavení modelu a Vnútorné výnosové percento v nezmyselnom pásme.  </w:t>
      </w:r>
    </w:p>
    <w:p w14:paraId="78074AC3" w14:textId="413548D1" w:rsidR="00841056" w:rsidRDefault="00841056" w:rsidP="00C67E68">
      <w:pPr>
        <w:pStyle w:val="Odsekzoznamu"/>
        <w:numPr>
          <w:ilvl w:val="0"/>
          <w:numId w:val="79"/>
        </w:numPr>
        <w:spacing w:line="240" w:lineRule="auto"/>
        <w:rPr>
          <w:rFonts w:ascii="Century Gothic" w:hAnsi="Century Gothic"/>
          <w:sz w:val="22"/>
          <w:szCs w:val="22"/>
        </w:rPr>
      </w:pPr>
      <w:r>
        <w:rPr>
          <w:rFonts w:ascii="Century Gothic" w:hAnsi="Century Gothic"/>
          <w:sz w:val="22"/>
          <w:szCs w:val="22"/>
        </w:rPr>
        <w:t xml:space="preserve"> </w:t>
      </w:r>
    </w:p>
    <w:p w14:paraId="45821CA8" w14:textId="77777777" w:rsidR="003D523C" w:rsidRDefault="00841056" w:rsidP="00C67E68">
      <w:pPr>
        <w:pStyle w:val="Odsekzoznamu"/>
        <w:numPr>
          <w:ilvl w:val="0"/>
          <w:numId w:val="77"/>
        </w:numPr>
        <w:spacing w:line="240" w:lineRule="auto"/>
        <w:rPr>
          <w:rFonts w:ascii="Century Gothic" w:hAnsi="Century Gothic"/>
          <w:sz w:val="22"/>
          <w:szCs w:val="22"/>
        </w:rPr>
      </w:pPr>
      <w:r>
        <w:rPr>
          <w:rFonts w:ascii="Century Gothic" w:hAnsi="Century Gothic"/>
          <w:sz w:val="22"/>
          <w:szCs w:val="22"/>
        </w:rPr>
        <w:t>V časti podnikateľská činnosť sme zvolili osobitný prístup vychádzajúci z legislatívnych predpokladov, konkrétne. Nemodelovali sa náklady a výnosy samostatne, ale modelovali sme iba výšku hospodárskeho výsledku pred zdanením. Daný prístup bol zvolený z</w:t>
      </w:r>
      <w:r w:rsidR="003D523C">
        <w:rPr>
          <w:rFonts w:ascii="Century Gothic" w:hAnsi="Century Gothic"/>
          <w:sz w:val="22"/>
          <w:szCs w:val="22"/>
        </w:rPr>
        <w:t> </w:t>
      </w:r>
      <w:r>
        <w:rPr>
          <w:rFonts w:ascii="Century Gothic" w:hAnsi="Century Gothic"/>
          <w:sz w:val="22"/>
          <w:szCs w:val="22"/>
        </w:rPr>
        <w:t>dôvod</w:t>
      </w:r>
      <w:r w:rsidR="003D523C">
        <w:rPr>
          <w:rFonts w:ascii="Century Gothic" w:hAnsi="Century Gothic"/>
          <w:sz w:val="22"/>
          <w:szCs w:val="22"/>
        </w:rPr>
        <w:t>ov:</w:t>
      </w:r>
    </w:p>
    <w:p w14:paraId="1FD61C50" w14:textId="414A8A1E" w:rsidR="003D523C" w:rsidRDefault="003D523C" w:rsidP="00C67E68">
      <w:pPr>
        <w:pStyle w:val="Odsekzoznamu"/>
        <w:numPr>
          <w:ilvl w:val="0"/>
          <w:numId w:val="80"/>
        </w:numPr>
        <w:spacing w:line="240" w:lineRule="auto"/>
        <w:rPr>
          <w:rFonts w:ascii="Century Gothic" w:hAnsi="Century Gothic"/>
          <w:sz w:val="22"/>
          <w:szCs w:val="22"/>
        </w:rPr>
      </w:pPr>
      <w:r>
        <w:rPr>
          <w:rFonts w:ascii="Century Gothic" w:hAnsi="Century Gothic"/>
          <w:sz w:val="22"/>
          <w:szCs w:val="22"/>
        </w:rPr>
        <w:t>Je legislatívne dané, že podnikateľská činnosť musí mať kladný hospodársky výsledok</w:t>
      </w:r>
    </w:p>
    <w:p w14:paraId="54F5B837" w14:textId="77777777" w:rsidR="003D523C" w:rsidRDefault="003D523C" w:rsidP="00C67E68">
      <w:pPr>
        <w:pStyle w:val="Odsekzoznamu"/>
        <w:numPr>
          <w:ilvl w:val="0"/>
          <w:numId w:val="80"/>
        </w:numPr>
        <w:spacing w:line="240" w:lineRule="auto"/>
        <w:rPr>
          <w:rFonts w:ascii="Century Gothic" w:hAnsi="Century Gothic"/>
          <w:sz w:val="22"/>
          <w:szCs w:val="22"/>
        </w:rPr>
      </w:pPr>
      <w:r>
        <w:rPr>
          <w:rFonts w:ascii="Century Gothic" w:hAnsi="Century Gothic"/>
          <w:sz w:val="22"/>
          <w:szCs w:val="22"/>
        </w:rPr>
        <w:t>Otázne je či vôbec podnikateľskú činnosť počítať v rámci CBA</w:t>
      </w:r>
    </w:p>
    <w:p w14:paraId="47B8E2C7" w14:textId="0C46AA87" w:rsidR="003D523C" w:rsidRDefault="003D523C" w:rsidP="00C67E68">
      <w:pPr>
        <w:pStyle w:val="Odsekzoznamu"/>
        <w:numPr>
          <w:ilvl w:val="0"/>
          <w:numId w:val="80"/>
        </w:numPr>
        <w:spacing w:line="240" w:lineRule="auto"/>
        <w:rPr>
          <w:rFonts w:ascii="Century Gothic" w:hAnsi="Century Gothic"/>
          <w:sz w:val="22"/>
          <w:szCs w:val="22"/>
        </w:rPr>
      </w:pPr>
      <w:r>
        <w:rPr>
          <w:rFonts w:ascii="Century Gothic" w:hAnsi="Century Gothic"/>
          <w:sz w:val="22"/>
          <w:szCs w:val="22"/>
        </w:rPr>
        <w:t>Pre vylúčenie pochybnosti sme spracovali dva varianty hodnotenia ekonomickej efektívnosti:</w:t>
      </w:r>
    </w:p>
    <w:p w14:paraId="69617DBA" w14:textId="1DA1CCAB" w:rsidR="003D523C" w:rsidRDefault="003D523C" w:rsidP="00C67E68">
      <w:pPr>
        <w:pStyle w:val="Odsekzoznamu"/>
        <w:numPr>
          <w:ilvl w:val="0"/>
          <w:numId w:val="81"/>
        </w:numPr>
        <w:spacing w:line="240" w:lineRule="auto"/>
        <w:rPr>
          <w:rFonts w:ascii="Century Gothic" w:hAnsi="Century Gothic"/>
          <w:sz w:val="22"/>
          <w:szCs w:val="22"/>
        </w:rPr>
      </w:pPr>
      <w:r>
        <w:rPr>
          <w:rFonts w:ascii="Century Gothic" w:hAnsi="Century Gothic"/>
          <w:sz w:val="22"/>
          <w:szCs w:val="22"/>
        </w:rPr>
        <w:t>So započítaním PČ do CBA</w:t>
      </w:r>
    </w:p>
    <w:p w14:paraId="633571C5" w14:textId="6EF185BF" w:rsidR="003D523C" w:rsidRDefault="003D523C" w:rsidP="00C67E68">
      <w:pPr>
        <w:pStyle w:val="Odsekzoznamu"/>
        <w:numPr>
          <w:ilvl w:val="0"/>
          <w:numId w:val="81"/>
        </w:numPr>
        <w:spacing w:line="240" w:lineRule="auto"/>
        <w:rPr>
          <w:rFonts w:ascii="Century Gothic" w:hAnsi="Century Gothic"/>
          <w:sz w:val="22"/>
          <w:szCs w:val="22"/>
        </w:rPr>
      </w:pPr>
      <w:r>
        <w:rPr>
          <w:rFonts w:ascii="Century Gothic" w:hAnsi="Century Gothic"/>
          <w:sz w:val="22"/>
          <w:szCs w:val="22"/>
        </w:rPr>
        <w:t>Bez započítania PČ do CBA</w:t>
      </w:r>
    </w:p>
    <w:p w14:paraId="4AF9C60D" w14:textId="1B434AF8" w:rsidR="00841056" w:rsidRPr="00C67E68" w:rsidRDefault="003D523C" w:rsidP="00C67E68">
      <w:pPr>
        <w:pStyle w:val="Odsekzoznamu"/>
        <w:numPr>
          <w:ilvl w:val="0"/>
          <w:numId w:val="80"/>
        </w:numPr>
        <w:spacing w:line="240" w:lineRule="auto"/>
        <w:rPr>
          <w:rFonts w:ascii="Century Gothic" w:hAnsi="Century Gothic"/>
          <w:sz w:val="22"/>
          <w:szCs w:val="22"/>
        </w:rPr>
      </w:pPr>
      <w:r>
        <w:rPr>
          <w:rFonts w:ascii="Century Gothic" w:hAnsi="Century Gothic"/>
          <w:sz w:val="22"/>
          <w:szCs w:val="22"/>
        </w:rPr>
        <w:t xml:space="preserve">Predpokladáme na základe historických dát, že PČ má potenciál preniesť nemocnici dodatočné príjmy, ale zároveň nepredpokladáme zásadný nárast PČ nakoľko aj v budúcnosti bude hlavnou činnosťou poskytovanie zdravotnej starostlivosti. (Priemerné výnosy z podnikateľskej činnosti pokrývajú iba cca 0,6% z priemerných nákladov nemocnice ) </w:t>
      </w:r>
    </w:p>
    <w:p w14:paraId="3863C3C6" w14:textId="047CAA72" w:rsidR="00B77983" w:rsidRPr="009D21FE" w:rsidRDefault="00787A0E" w:rsidP="00B77983">
      <w:pPr>
        <w:rPr>
          <w:rFonts w:asciiTheme="minorHAnsi" w:hAnsiTheme="minorHAnsi" w:cstheme="minorHAnsi"/>
          <w:sz w:val="22"/>
          <w:szCs w:val="22"/>
        </w:rPr>
      </w:pPr>
      <w:r w:rsidRPr="00B77983">
        <w:rPr>
          <w:rFonts w:ascii="Century Gothic" w:hAnsi="Century Gothic"/>
          <w:sz w:val="22"/>
          <w:szCs w:val="22"/>
        </w:rPr>
        <w:t xml:space="preserve">  </w:t>
      </w:r>
    </w:p>
    <w:p w14:paraId="665A5ECA" w14:textId="7C7D8ED7" w:rsidR="00B77983" w:rsidRPr="00B77983" w:rsidRDefault="00B77983" w:rsidP="00B77983">
      <w:pPr>
        <w:spacing w:line="240" w:lineRule="auto"/>
        <w:rPr>
          <w:rFonts w:ascii="Century Gothic" w:hAnsi="Century Gothic" w:cstheme="minorHAnsi"/>
          <w:bCs/>
          <w:sz w:val="22"/>
          <w:szCs w:val="22"/>
        </w:rPr>
      </w:pPr>
      <w:r w:rsidRPr="00B77983">
        <w:rPr>
          <w:rFonts w:ascii="Century Gothic" w:hAnsi="Century Gothic" w:cstheme="minorHAnsi"/>
          <w:bCs/>
          <w:sz w:val="22"/>
          <w:szCs w:val="22"/>
        </w:rPr>
        <w:t xml:space="preserve">Za záver boli všetky časti finančného modelu spracované s výhľadom na ekonomickú životnosť investície </w:t>
      </w:r>
      <w:proofErr w:type="spellStart"/>
      <w:r w:rsidRPr="00B77983">
        <w:rPr>
          <w:rFonts w:ascii="Century Gothic" w:hAnsi="Century Gothic" w:cstheme="minorHAnsi"/>
          <w:bCs/>
          <w:sz w:val="22"/>
          <w:szCs w:val="22"/>
        </w:rPr>
        <w:t>t.j</w:t>
      </w:r>
      <w:proofErr w:type="spellEnd"/>
      <w:r w:rsidRPr="00B77983">
        <w:rPr>
          <w:rFonts w:ascii="Century Gothic" w:hAnsi="Century Gothic" w:cstheme="minorHAnsi"/>
          <w:bCs/>
          <w:sz w:val="22"/>
          <w:szCs w:val="22"/>
        </w:rPr>
        <w:t xml:space="preserve">. na 30 rokov dopredu a boli stanovené objektívne kritéria </w:t>
      </w:r>
      <w:r w:rsidRPr="00B77983">
        <w:rPr>
          <w:rFonts w:ascii="Century Gothic" w:hAnsi="Century Gothic" w:cstheme="minorHAnsi"/>
          <w:bCs/>
          <w:sz w:val="22"/>
          <w:szCs w:val="22"/>
        </w:rPr>
        <w:lastRenderedPageBreak/>
        <w:t>hodnotenia ekonomickej efektívnosti. Kvôli objektívnosti resp. ako variantná analýza boli stanovené v dvoch  alternatívach pre každý investičný variant:</w:t>
      </w:r>
    </w:p>
    <w:p w14:paraId="33F35FBF" w14:textId="77777777" w:rsidR="00B77983" w:rsidRPr="00B77983" w:rsidRDefault="00B77983" w:rsidP="007F681B">
      <w:pPr>
        <w:pStyle w:val="Odsekzoznamu"/>
        <w:numPr>
          <w:ilvl w:val="0"/>
          <w:numId w:val="65"/>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Ekonomický model bez započítanie podnikateľskej činnosti</w:t>
      </w:r>
    </w:p>
    <w:p w14:paraId="1AACFF9A" w14:textId="77777777" w:rsidR="00B77983" w:rsidRPr="00B77983" w:rsidRDefault="00B77983" w:rsidP="007F681B">
      <w:pPr>
        <w:pStyle w:val="Odsekzoznamu"/>
        <w:numPr>
          <w:ilvl w:val="0"/>
          <w:numId w:val="65"/>
        </w:numPr>
        <w:autoSpaceDE w:val="0"/>
        <w:autoSpaceDN w:val="0"/>
        <w:adjustRightInd w:val="0"/>
        <w:spacing w:line="240" w:lineRule="auto"/>
        <w:ind w:left="709" w:hanging="283"/>
        <w:rPr>
          <w:rFonts w:ascii="Century Gothic" w:hAnsi="Century Gothic" w:cstheme="minorHAnsi"/>
          <w:bCs/>
          <w:sz w:val="22"/>
          <w:szCs w:val="22"/>
        </w:rPr>
      </w:pPr>
      <w:r w:rsidRPr="00B77983">
        <w:rPr>
          <w:rFonts w:ascii="Century Gothic" w:hAnsi="Century Gothic" w:cstheme="minorHAnsi"/>
          <w:bCs/>
          <w:sz w:val="22"/>
          <w:szCs w:val="22"/>
        </w:rPr>
        <w:t>Ekonomický model so započítaním podnikateľskej činnosti</w:t>
      </w:r>
    </w:p>
    <w:p w14:paraId="79D668EB" w14:textId="77777777" w:rsidR="00B77983" w:rsidRPr="00B77983" w:rsidRDefault="00B77983" w:rsidP="00B77983">
      <w:pPr>
        <w:spacing w:line="240" w:lineRule="auto"/>
        <w:rPr>
          <w:rFonts w:ascii="Century Gothic" w:hAnsi="Century Gothic"/>
          <w:sz w:val="22"/>
          <w:szCs w:val="22"/>
        </w:rPr>
      </w:pPr>
    </w:p>
    <w:p w14:paraId="3184057E" w14:textId="34F21412" w:rsidR="00B77983" w:rsidRPr="00B77983" w:rsidRDefault="00B77983" w:rsidP="00B77983">
      <w:pPr>
        <w:spacing w:line="240" w:lineRule="auto"/>
        <w:rPr>
          <w:rFonts w:ascii="Century Gothic" w:hAnsi="Century Gothic"/>
          <w:sz w:val="22"/>
          <w:szCs w:val="22"/>
        </w:rPr>
      </w:pPr>
    </w:p>
    <w:p w14:paraId="3F952B65" w14:textId="61F84876" w:rsidR="00B77983" w:rsidRPr="00B77983" w:rsidRDefault="00B77983" w:rsidP="00B77983">
      <w:pPr>
        <w:spacing w:line="240" w:lineRule="auto"/>
        <w:rPr>
          <w:rFonts w:ascii="Century Gothic" w:hAnsi="Century Gothic" w:cstheme="minorHAnsi"/>
          <w:bCs/>
          <w:sz w:val="22"/>
          <w:szCs w:val="22"/>
        </w:rPr>
      </w:pPr>
      <w:r w:rsidRPr="00B77983">
        <w:rPr>
          <w:rFonts w:ascii="Century Gothic" w:hAnsi="Century Gothic" w:cstheme="minorHAnsi"/>
          <w:bCs/>
          <w:sz w:val="22"/>
          <w:szCs w:val="22"/>
        </w:rPr>
        <w:t xml:space="preserve">Výsledkom je hodnotenie ekonomickej efektívnosti uvedené v nasledujúcej tabuľke, kde </w:t>
      </w:r>
      <w:r w:rsidR="00430E5F" w:rsidRPr="00B77983">
        <w:rPr>
          <w:rFonts w:ascii="Century Gothic" w:hAnsi="Century Gothic" w:cstheme="minorHAnsi"/>
          <w:bCs/>
          <w:sz w:val="22"/>
          <w:szCs w:val="22"/>
        </w:rPr>
        <w:t>relevantné</w:t>
      </w:r>
      <w:r w:rsidRPr="00B77983">
        <w:rPr>
          <w:rFonts w:ascii="Century Gothic" w:hAnsi="Century Gothic" w:cstheme="minorHAnsi"/>
          <w:bCs/>
          <w:sz w:val="22"/>
          <w:szCs w:val="22"/>
        </w:rPr>
        <w:t xml:space="preserve"> z pohľadu modelu a hodnotenia ekonomickej efektívnosti investície sú údaje pre </w:t>
      </w:r>
      <w:r w:rsidR="00787A0E">
        <w:rPr>
          <w:rFonts w:ascii="Century Gothic" w:hAnsi="Century Gothic" w:cstheme="minorHAnsi"/>
          <w:bCs/>
          <w:sz w:val="22"/>
          <w:szCs w:val="22"/>
        </w:rPr>
        <w:t>všetky tri hodnotené investičné varianty</w:t>
      </w:r>
      <w:r w:rsidRPr="00B77983">
        <w:rPr>
          <w:rFonts w:ascii="Century Gothic" w:hAnsi="Century Gothic" w:cstheme="minorHAnsi"/>
          <w:bCs/>
          <w:sz w:val="22"/>
          <w:szCs w:val="22"/>
        </w:rPr>
        <w:t>:</w:t>
      </w:r>
    </w:p>
    <w:p w14:paraId="58AEA545" w14:textId="77777777" w:rsidR="00B77983" w:rsidRDefault="00B77983" w:rsidP="00B77983">
      <w:pPr>
        <w:rPr>
          <w:rFonts w:asciiTheme="minorHAnsi" w:hAnsiTheme="minorHAnsi" w:cstheme="minorHAnsi"/>
          <w:bCs/>
          <w:sz w:val="22"/>
          <w:szCs w:val="22"/>
        </w:rPr>
      </w:pPr>
    </w:p>
    <w:p w14:paraId="3F073144" w14:textId="792A1FC3" w:rsidR="00B77983" w:rsidRDefault="00B77983" w:rsidP="00B77983">
      <w:pPr>
        <w:pStyle w:val="Popis"/>
        <w:spacing w:before="0" w:after="0" w:line="240" w:lineRule="auto"/>
        <w:rPr>
          <w:rFonts w:ascii="Century Gothic" w:hAnsi="Century Gothic"/>
          <w:b w:val="0"/>
          <w:i/>
        </w:rPr>
      </w:pPr>
      <w:bookmarkStart w:id="156" w:name="_Toc112734014"/>
      <w:bookmarkStart w:id="157" w:name="_Toc145219937"/>
      <w:r w:rsidRPr="00B77983">
        <w:rPr>
          <w:rFonts w:ascii="Century Gothic" w:hAnsi="Century Gothic"/>
          <w:b w:val="0"/>
          <w:i/>
        </w:rPr>
        <w:t xml:space="preserve">Tabuľka </w:t>
      </w:r>
      <w:r w:rsidRPr="00B77983">
        <w:rPr>
          <w:rFonts w:ascii="Century Gothic" w:hAnsi="Century Gothic"/>
          <w:b w:val="0"/>
          <w:i/>
        </w:rPr>
        <w:fldChar w:fldCharType="begin"/>
      </w:r>
      <w:r w:rsidRPr="00B77983">
        <w:rPr>
          <w:rFonts w:ascii="Century Gothic" w:hAnsi="Century Gothic"/>
          <w:b w:val="0"/>
          <w:i/>
        </w:rPr>
        <w:instrText xml:space="preserve"> SEQ Tabuľka \* ARABIC </w:instrText>
      </w:r>
      <w:r w:rsidRPr="00B77983">
        <w:rPr>
          <w:rFonts w:ascii="Century Gothic" w:hAnsi="Century Gothic"/>
          <w:b w:val="0"/>
          <w:i/>
        </w:rPr>
        <w:fldChar w:fldCharType="separate"/>
      </w:r>
      <w:r w:rsidR="007D6A44">
        <w:rPr>
          <w:rFonts w:ascii="Century Gothic" w:hAnsi="Century Gothic"/>
          <w:b w:val="0"/>
          <w:i/>
          <w:noProof/>
        </w:rPr>
        <w:t>36</w:t>
      </w:r>
      <w:r w:rsidRPr="00B77983">
        <w:rPr>
          <w:rFonts w:ascii="Century Gothic" w:hAnsi="Century Gothic"/>
          <w:b w:val="0"/>
          <w:i/>
        </w:rPr>
        <w:fldChar w:fldCharType="end"/>
      </w:r>
      <w:r w:rsidRPr="00B77983">
        <w:rPr>
          <w:rFonts w:ascii="Century Gothic" w:hAnsi="Century Gothic"/>
          <w:b w:val="0"/>
          <w:i/>
        </w:rPr>
        <w:t xml:space="preserve"> Hodnotenie ekonomickej efektívnosti investície</w:t>
      </w:r>
      <w:bookmarkEnd w:id="156"/>
      <w:bookmarkEnd w:id="157"/>
    </w:p>
    <w:tbl>
      <w:tblPr>
        <w:tblW w:w="7720" w:type="dxa"/>
        <w:tblCellMar>
          <w:left w:w="70" w:type="dxa"/>
          <w:right w:w="70" w:type="dxa"/>
        </w:tblCellMar>
        <w:tblLook w:val="04A0" w:firstRow="1" w:lastRow="0" w:firstColumn="1" w:lastColumn="0" w:noHBand="0" w:noVBand="1"/>
      </w:tblPr>
      <w:tblGrid>
        <w:gridCol w:w="3420"/>
        <w:gridCol w:w="1860"/>
        <w:gridCol w:w="2440"/>
      </w:tblGrid>
      <w:tr w:rsidR="00787A0E" w:rsidRPr="00C67E68" w14:paraId="000DA423" w14:textId="77777777" w:rsidTr="00787A0E">
        <w:trPr>
          <w:trHeight w:val="420"/>
        </w:trPr>
        <w:tc>
          <w:tcPr>
            <w:tcW w:w="3420"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538E88BB" w14:textId="77777777" w:rsidR="00787A0E" w:rsidRPr="00C67E68" w:rsidRDefault="00787A0E" w:rsidP="00787A0E">
            <w:pPr>
              <w:spacing w:line="240" w:lineRule="auto"/>
              <w:jc w:val="left"/>
              <w:rPr>
                <w:rFonts w:ascii="Arial Narrow" w:hAnsi="Arial Narrow" w:cs="Calibri"/>
                <w:b/>
                <w:bCs/>
                <w:color w:val="000000"/>
                <w:sz w:val="22"/>
                <w:szCs w:val="22"/>
              </w:rPr>
            </w:pPr>
            <w:r w:rsidRPr="00C67E68">
              <w:rPr>
                <w:rFonts w:ascii="Arial Narrow" w:hAnsi="Arial Narrow" w:cs="Calibri"/>
                <w:b/>
                <w:bCs/>
                <w:color w:val="000000"/>
                <w:sz w:val="22"/>
                <w:szCs w:val="22"/>
              </w:rPr>
              <w:t>VARIANT 0</w:t>
            </w:r>
          </w:p>
        </w:tc>
        <w:tc>
          <w:tcPr>
            <w:tcW w:w="1860" w:type="dxa"/>
            <w:tcBorders>
              <w:top w:val="single" w:sz="8" w:space="0" w:color="auto"/>
              <w:left w:val="nil"/>
              <w:bottom w:val="single" w:sz="4" w:space="0" w:color="auto"/>
              <w:right w:val="single" w:sz="4" w:space="0" w:color="auto"/>
            </w:tcBorders>
            <w:shd w:val="clear" w:color="000000" w:fill="FFF2CC"/>
            <w:noWrap/>
            <w:vAlign w:val="center"/>
            <w:hideMark/>
          </w:tcPr>
          <w:p w14:paraId="1E203FA5"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IRR 2057</w:t>
            </w:r>
          </w:p>
        </w:tc>
        <w:tc>
          <w:tcPr>
            <w:tcW w:w="2440" w:type="dxa"/>
            <w:tcBorders>
              <w:top w:val="single" w:sz="8" w:space="0" w:color="auto"/>
              <w:left w:val="nil"/>
              <w:bottom w:val="single" w:sz="4" w:space="0" w:color="auto"/>
              <w:right w:val="single" w:sz="8" w:space="0" w:color="auto"/>
            </w:tcBorders>
            <w:shd w:val="clear" w:color="000000" w:fill="FFF2CC"/>
            <w:noWrap/>
            <w:vAlign w:val="center"/>
            <w:hideMark/>
          </w:tcPr>
          <w:p w14:paraId="563666AB"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ČSHOP</w:t>
            </w:r>
          </w:p>
        </w:tc>
      </w:tr>
      <w:tr w:rsidR="00787A0E" w:rsidRPr="00C67E68" w14:paraId="651BC3BD" w14:textId="77777777" w:rsidTr="00787A0E">
        <w:trPr>
          <w:trHeight w:val="375"/>
        </w:trPr>
        <w:tc>
          <w:tcPr>
            <w:tcW w:w="3420" w:type="dxa"/>
            <w:tcBorders>
              <w:top w:val="nil"/>
              <w:left w:val="single" w:sz="8" w:space="0" w:color="auto"/>
              <w:bottom w:val="single" w:sz="4" w:space="0" w:color="auto"/>
              <w:right w:val="single" w:sz="8" w:space="0" w:color="auto"/>
            </w:tcBorders>
            <w:shd w:val="clear" w:color="auto" w:fill="auto"/>
            <w:noWrap/>
            <w:vAlign w:val="bottom"/>
            <w:hideMark/>
          </w:tcPr>
          <w:p w14:paraId="265E896A"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bez PČ</w:t>
            </w:r>
          </w:p>
        </w:tc>
        <w:tc>
          <w:tcPr>
            <w:tcW w:w="1860" w:type="dxa"/>
            <w:tcBorders>
              <w:top w:val="nil"/>
              <w:left w:val="nil"/>
              <w:bottom w:val="single" w:sz="4" w:space="0" w:color="auto"/>
              <w:right w:val="single" w:sz="4" w:space="0" w:color="auto"/>
            </w:tcBorders>
            <w:shd w:val="clear" w:color="auto" w:fill="auto"/>
            <w:noWrap/>
            <w:vAlign w:val="center"/>
            <w:hideMark/>
          </w:tcPr>
          <w:p w14:paraId="13CA71EB"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1,94%</w:t>
            </w:r>
          </w:p>
        </w:tc>
        <w:tc>
          <w:tcPr>
            <w:tcW w:w="2440" w:type="dxa"/>
            <w:tcBorders>
              <w:top w:val="nil"/>
              <w:left w:val="nil"/>
              <w:bottom w:val="single" w:sz="4" w:space="0" w:color="auto"/>
              <w:right w:val="single" w:sz="8" w:space="0" w:color="auto"/>
            </w:tcBorders>
            <w:shd w:val="clear" w:color="auto" w:fill="auto"/>
            <w:noWrap/>
            <w:vAlign w:val="center"/>
            <w:hideMark/>
          </w:tcPr>
          <w:p w14:paraId="5880ED48"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47 810 346,92   </w:t>
            </w:r>
          </w:p>
        </w:tc>
      </w:tr>
      <w:tr w:rsidR="00787A0E" w:rsidRPr="00C67E68" w14:paraId="30F2CB0A" w14:textId="77777777" w:rsidTr="00787A0E">
        <w:trPr>
          <w:trHeight w:val="390"/>
        </w:trPr>
        <w:tc>
          <w:tcPr>
            <w:tcW w:w="3420" w:type="dxa"/>
            <w:tcBorders>
              <w:top w:val="nil"/>
              <w:left w:val="single" w:sz="8" w:space="0" w:color="auto"/>
              <w:bottom w:val="single" w:sz="8" w:space="0" w:color="auto"/>
              <w:right w:val="single" w:sz="8" w:space="0" w:color="auto"/>
            </w:tcBorders>
            <w:shd w:val="clear" w:color="auto" w:fill="auto"/>
            <w:noWrap/>
            <w:vAlign w:val="bottom"/>
            <w:hideMark/>
          </w:tcPr>
          <w:p w14:paraId="753108AB"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vrátane PČ</w:t>
            </w:r>
          </w:p>
        </w:tc>
        <w:tc>
          <w:tcPr>
            <w:tcW w:w="1860" w:type="dxa"/>
            <w:tcBorders>
              <w:top w:val="nil"/>
              <w:left w:val="nil"/>
              <w:bottom w:val="single" w:sz="8" w:space="0" w:color="auto"/>
              <w:right w:val="single" w:sz="4" w:space="0" w:color="auto"/>
            </w:tcBorders>
            <w:shd w:val="clear" w:color="auto" w:fill="auto"/>
            <w:noWrap/>
            <w:vAlign w:val="center"/>
            <w:hideMark/>
          </w:tcPr>
          <w:p w14:paraId="75266E3F"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3,05%</w:t>
            </w:r>
          </w:p>
        </w:tc>
        <w:tc>
          <w:tcPr>
            <w:tcW w:w="2440" w:type="dxa"/>
            <w:tcBorders>
              <w:top w:val="nil"/>
              <w:left w:val="nil"/>
              <w:bottom w:val="single" w:sz="8" w:space="0" w:color="auto"/>
              <w:right w:val="single" w:sz="8" w:space="0" w:color="auto"/>
            </w:tcBorders>
            <w:shd w:val="clear" w:color="auto" w:fill="auto"/>
            <w:noWrap/>
            <w:vAlign w:val="center"/>
            <w:hideMark/>
          </w:tcPr>
          <w:p w14:paraId="5E6056E7"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75 862 081,94   </w:t>
            </w:r>
          </w:p>
        </w:tc>
      </w:tr>
      <w:tr w:rsidR="00787A0E" w:rsidRPr="00C67E68" w14:paraId="7DF7B4A9" w14:textId="77777777" w:rsidTr="00787A0E">
        <w:trPr>
          <w:trHeight w:val="420"/>
        </w:trPr>
        <w:tc>
          <w:tcPr>
            <w:tcW w:w="3420"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771D54EC" w14:textId="77777777" w:rsidR="00787A0E" w:rsidRPr="00C67E68" w:rsidRDefault="00787A0E" w:rsidP="00787A0E">
            <w:pPr>
              <w:spacing w:line="240" w:lineRule="auto"/>
              <w:jc w:val="left"/>
              <w:rPr>
                <w:rFonts w:ascii="Arial Narrow" w:hAnsi="Arial Narrow" w:cs="Calibri"/>
                <w:b/>
                <w:bCs/>
                <w:color w:val="000000"/>
                <w:sz w:val="22"/>
                <w:szCs w:val="22"/>
              </w:rPr>
            </w:pPr>
            <w:r w:rsidRPr="00C67E68">
              <w:rPr>
                <w:rFonts w:ascii="Arial Narrow" w:hAnsi="Arial Narrow" w:cs="Calibri"/>
                <w:b/>
                <w:bCs/>
                <w:color w:val="000000"/>
                <w:sz w:val="22"/>
                <w:szCs w:val="22"/>
              </w:rPr>
              <w:t xml:space="preserve">VARIANT Rekonštrukcia </w:t>
            </w:r>
          </w:p>
        </w:tc>
        <w:tc>
          <w:tcPr>
            <w:tcW w:w="1860" w:type="dxa"/>
            <w:tcBorders>
              <w:top w:val="single" w:sz="8" w:space="0" w:color="auto"/>
              <w:left w:val="nil"/>
              <w:bottom w:val="single" w:sz="4" w:space="0" w:color="auto"/>
              <w:right w:val="single" w:sz="4" w:space="0" w:color="auto"/>
            </w:tcBorders>
            <w:shd w:val="clear" w:color="000000" w:fill="FFF2CC"/>
            <w:noWrap/>
            <w:vAlign w:val="center"/>
            <w:hideMark/>
          </w:tcPr>
          <w:p w14:paraId="3B4FE443"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IRR 2057</w:t>
            </w:r>
          </w:p>
        </w:tc>
        <w:tc>
          <w:tcPr>
            <w:tcW w:w="2440" w:type="dxa"/>
            <w:tcBorders>
              <w:top w:val="single" w:sz="8" w:space="0" w:color="auto"/>
              <w:left w:val="nil"/>
              <w:bottom w:val="single" w:sz="4" w:space="0" w:color="auto"/>
              <w:right w:val="single" w:sz="8" w:space="0" w:color="auto"/>
            </w:tcBorders>
            <w:shd w:val="clear" w:color="000000" w:fill="FFF2CC"/>
            <w:noWrap/>
            <w:vAlign w:val="center"/>
            <w:hideMark/>
          </w:tcPr>
          <w:p w14:paraId="02F4A201"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ČSHOP</w:t>
            </w:r>
          </w:p>
        </w:tc>
      </w:tr>
      <w:tr w:rsidR="00787A0E" w:rsidRPr="00C67E68" w14:paraId="36A3DFB8" w14:textId="77777777" w:rsidTr="00787A0E">
        <w:trPr>
          <w:trHeight w:val="375"/>
        </w:trPr>
        <w:tc>
          <w:tcPr>
            <w:tcW w:w="3420" w:type="dxa"/>
            <w:tcBorders>
              <w:top w:val="nil"/>
              <w:left w:val="single" w:sz="8" w:space="0" w:color="auto"/>
              <w:bottom w:val="single" w:sz="4" w:space="0" w:color="auto"/>
              <w:right w:val="single" w:sz="8" w:space="0" w:color="auto"/>
            </w:tcBorders>
            <w:shd w:val="clear" w:color="auto" w:fill="auto"/>
            <w:noWrap/>
            <w:vAlign w:val="bottom"/>
            <w:hideMark/>
          </w:tcPr>
          <w:p w14:paraId="22DAAF5C"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bez PČ</w:t>
            </w:r>
          </w:p>
        </w:tc>
        <w:tc>
          <w:tcPr>
            <w:tcW w:w="1860" w:type="dxa"/>
            <w:tcBorders>
              <w:top w:val="nil"/>
              <w:left w:val="nil"/>
              <w:bottom w:val="single" w:sz="4" w:space="0" w:color="auto"/>
              <w:right w:val="single" w:sz="4" w:space="0" w:color="auto"/>
            </w:tcBorders>
            <w:shd w:val="clear" w:color="auto" w:fill="auto"/>
            <w:noWrap/>
            <w:vAlign w:val="center"/>
            <w:hideMark/>
          </w:tcPr>
          <w:p w14:paraId="3A861F7C"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1,77%</w:t>
            </w:r>
          </w:p>
        </w:tc>
        <w:tc>
          <w:tcPr>
            <w:tcW w:w="2440" w:type="dxa"/>
            <w:tcBorders>
              <w:top w:val="nil"/>
              <w:left w:val="nil"/>
              <w:bottom w:val="single" w:sz="4" w:space="0" w:color="auto"/>
              <w:right w:val="single" w:sz="8" w:space="0" w:color="auto"/>
            </w:tcBorders>
            <w:shd w:val="clear" w:color="auto" w:fill="auto"/>
            <w:noWrap/>
            <w:vAlign w:val="center"/>
            <w:hideMark/>
          </w:tcPr>
          <w:p w14:paraId="4672A154"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84 377 927,69   </w:t>
            </w:r>
          </w:p>
        </w:tc>
      </w:tr>
      <w:tr w:rsidR="00787A0E" w:rsidRPr="00C67E68" w14:paraId="5B2F95D5" w14:textId="77777777" w:rsidTr="00787A0E">
        <w:trPr>
          <w:trHeight w:val="390"/>
        </w:trPr>
        <w:tc>
          <w:tcPr>
            <w:tcW w:w="3420" w:type="dxa"/>
            <w:tcBorders>
              <w:top w:val="nil"/>
              <w:left w:val="single" w:sz="8" w:space="0" w:color="auto"/>
              <w:bottom w:val="single" w:sz="8" w:space="0" w:color="auto"/>
              <w:right w:val="single" w:sz="8" w:space="0" w:color="auto"/>
            </w:tcBorders>
            <w:shd w:val="clear" w:color="auto" w:fill="auto"/>
            <w:noWrap/>
            <w:vAlign w:val="bottom"/>
            <w:hideMark/>
          </w:tcPr>
          <w:p w14:paraId="47CA6545"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vrátane PČ</w:t>
            </w:r>
          </w:p>
        </w:tc>
        <w:tc>
          <w:tcPr>
            <w:tcW w:w="1860" w:type="dxa"/>
            <w:tcBorders>
              <w:top w:val="nil"/>
              <w:left w:val="nil"/>
              <w:bottom w:val="single" w:sz="8" w:space="0" w:color="auto"/>
              <w:right w:val="single" w:sz="4" w:space="0" w:color="auto"/>
            </w:tcBorders>
            <w:shd w:val="clear" w:color="auto" w:fill="auto"/>
            <w:noWrap/>
            <w:vAlign w:val="center"/>
            <w:hideMark/>
          </w:tcPr>
          <w:p w14:paraId="3A9BD039"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2,32%</w:t>
            </w:r>
          </w:p>
        </w:tc>
        <w:tc>
          <w:tcPr>
            <w:tcW w:w="2440" w:type="dxa"/>
            <w:tcBorders>
              <w:top w:val="nil"/>
              <w:left w:val="nil"/>
              <w:bottom w:val="single" w:sz="8" w:space="0" w:color="auto"/>
              <w:right w:val="single" w:sz="8" w:space="0" w:color="auto"/>
            </w:tcBorders>
            <w:shd w:val="clear" w:color="auto" w:fill="auto"/>
            <w:noWrap/>
            <w:vAlign w:val="center"/>
            <w:hideMark/>
          </w:tcPr>
          <w:p w14:paraId="068FF17A"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112 429 662,71   </w:t>
            </w:r>
          </w:p>
        </w:tc>
      </w:tr>
      <w:tr w:rsidR="00787A0E" w:rsidRPr="00C67E68" w14:paraId="346C1DB2" w14:textId="77777777" w:rsidTr="00787A0E">
        <w:trPr>
          <w:trHeight w:val="420"/>
        </w:trPr>
        <w:tc>
          <w:tcPr>
            <w:tcW w:w="3420" w:type="dxa"/>
            <w:tcBorders>
              <w:top w:val="single" w:sz="8" w:space="0" w:color="auto"/>
              <w:left w:val="single" w:sz="8" w:space="0" w:color="auto"/>
              <w:bottom w:val="single" w:sz="4" w:space="0" w:color="auto"/>
              <w:right w:val="single" w:sz="8" w:space="0" w:color="auto"/>
            </w:tcBorders>
            <w:shd w:val="clear" w:color="000000" w:fill="FFF2CC"/>
            <w:noWrap/>
            <w:vAlign w:val="bottom"/>
            <w:hideMark/>
          </w:tcPr>
          <w:p w14:paraId="2CFCE396" w14:textId="77777777" w:rsidR="00787A0E" w:rsidRPr="00C67E68" w:rsidRDefault="00787A0E" w:rsidP="00787A0E">
            <w:pPr>
              <w:spacing w:line="240" w:lineRule="auto"/>
              <w:jc w:val="left"/>
              <w:rPr>
                <w:rFonts w:ascii="Arial Narrow" w:hAnsi="Arial Narrow" w:cs="Calibri"/>
                <w:b/>
                <w:bCs/>
                <w:color w:val="000000"/>
                <w:sz w:val="22"/>
                <w:szCs w:val="22"/>
              </w:rPr>
            </w:pPr>
            <w:r w:rsidRPr="00C67E68">
              <w:rPr>
                <w:rFonts w:ascii="Arial Narrow" w:hAnsi="Arial Narrow" w:cs="Calibri"/>
                <w:b/>
                <w:bCs/>
                <w:color w:val="000000"/>
                <w:sz w:val="22"/>
                <w:szCs w:val="22"/>
              </w:rPr>
              <w:t>VARIANT  Nový PUM</w:t>
            </w:r>
          </w:p>
        </w:tc>
        <w:tc>
          <w:tcPr>
            <w:tcW w:w="1860" w:type="dxa"/>
            <w:tcBorders>
              <w:top w:val="single" w:sz="8" w:space="0" w:color="auto"/>
              <w:left w:val="nil"/>
              <w:bottom w:val="single" w:sz="4" w:space="0" w:color="auto"/>
              <w:right w:val="single" w:sz="4" w:space="0" w:color="auto"/>
            </w:tcBorders>
            <w:shd w:val="clear" w:color="000000" w:fill="FFF2CC"/>
            <w:noWrap/>
            <w:vAlign w:val="center"/>
            <w:hideMark/>
          </w:tcPr>
          <w:p w14:paraId="7CB3BF0A"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IRR 2057</w:t>
            </w:r>
          </w:p>
        </w:tc>
        <w:tc>
          <w:tcPr>
            <w:tcW w:w="2440" w:type="dxa"/>
            <w:tcBorders>
              <w:top w:val="single" w:sz="8" w:space="0" w:color="auto"/>
              <w:left w:val="nil"/>
              <w:bottom w:val="single" w:sz="4" w:space="0" w:color="auto"/>
              <w:right w:val="single" w:sz="8" w:space="0" w:color="auto"/>
            </w:tcBorders>
            <w:shd w:val="clear" w:color="000000" w:fill="FFF2CC"/>
            <w:noWrap/>
            <w:vAlign w:val="center"/>
            <w:hideMark/>
          </w:tcPr>
          <w:p w14:paraId="16B4E2C3" w14:textId="77777777" w:rsidR="00787A0E" w:rsidRPr="00C67E68" w:rsidRDefault="00787A0E" w:rsidP="00787A0E">
            <w:pPr>
              <w:spacing w:line="240" w:lineRule="auto"/>
              <w:jc w:val="center"/>
              <w:rPr>
                <w:rFonts w:ascii="Arial Narrow" w:hAnsi="Arial Narrow" w:cs="Calibri"/>
                <w:b/>
                <w:bCs/>
                <w:color w:val="000000"/>
                <w:sz w:val="22"/>
                <w:szCs w:val="22"/>
              </w:rPr>
            </w:pPr>
            <w:r w:rsidRPr="00C67E68">
              <w:rPr>
                <w:rFonts w:ascii="Arial Narrow" w:hAnsi="Arial Narrow" w:cs="Calibri"/>
                <w:b/>
                <w:bCs/>
                <w:color w:val="000000"/>
                <w:sz w:val="22"/>
                <w:szCs w:val="22"/>
              </w:rPr>
              <w:t>ČSHOP</w:t>
            </w:r>
          </w:p>
        </w:tc>
      </w:tr>
      <w:tr w:rsidR="00787A0E" w:rsidRPr="00C67E68" w14:paraId="01B688F5" w14:textId="77777777" w:rsidTr="00787A0E">
        <w:trPr>
          <w:trHeight w:val="375"/>
        </w:trPr>
        <w:tc>
          <w:tcPr>
            <w:tcW w:w="3420" w:type="dxa"/>
            <w:tcBorders>
              <w:top w:val="nil"/>
              <w:left w:val="single" w:sz="8" w:space="0" w:color="auto"/>
              <w:bottom w:val="single" w:sz="4" w:space="0" w:color="auto"/>
              <w:right w:val="single" w:sz="8" w:space="0" w:color="auto"/>
            </w:tcBorders>
            <w:shd w:val="clear" w:color="auto" w:fill="auto"/>
            <w:noWrap/>
            <w:vAlign w:val="bottom"/>
            <w:hideMark/>
          </w:tcPr>
          <w:p w14:paraId="32BBFAC0"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bez PČ</w:t>
            </w:r>
          </w:p>
        </w:tc>
        <w:tc>
          <w:tcPr>
            <w:tcW w:w="1860" w:type="dxa"/>
            <w:tcBorders>
              <w:top w:val="nil"/>
              <w:left w:val="nil"/>
              <w:bottom w:val="single" w:sz="4" w:space="0" w:color="auto"/>
              <w:right w:val="single" w:sz="4" w:space="0" w:color="auto"/>
            </w:tcBorders>
            <w:shd w:val="clear" w:color="auto" w:fill="auto"/>
            <w:noWrap/>
            <w:vAlign w:val="center"/>
            <w:hideMark/>
          </w:tcPr>
          <w:p w14:paraId="708F5D5B"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2,61%</w:t>
            </w:r>
          </w:p>
        </w:tc>
        <w:tc>
          <w:tcPr>
            <w:tcW w:w="2440" w:type="dxa"/>
            <w:tcBorders>
              <w:top w:val="nil"/>
              <w:left w:val="nil"/>
              <w:bottom w:val="single" w:sz="4" w:space="0" w:color="auto"/>
              <w:right w:val="single" w:sz="8" w:space="0" w:color="auto"/>
            </w:tcBorders>
            <w:shd w:val="clear" w:color="auto" w:fill="auto"/>
            <w:noWrap/>
            <w:vAlign w:val="center"/>
            <w:hideMark/>
          </w:tcPr>
          <w:p w14:paraId="46FD6272"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174 322 836,70   </w:t>
            </w:r>
          </w:p>
        </w:tc>
      </w:tr>
      <w:tr w:rsidR="00787A0E" w:rsidRPr="00C67E68" w14:paraId="41229E96" w14:textId="77777777" w:rsidTr="00787A0E">
        <w:trPr>
          <w:trHeight w:val="390"/>
        </w:trPr>
        <w:tc>
          <w:tcPr>
            <w:tcW w:w="3420" w:type="dxa"/>
            <w:tcBorders>
              <w:top w:val="nil"/>
              <w:left w:val="single" w:sz="8" w:space="0" w:color="auto"/>
              <w:bottom w:val="single" w:sz="8" w:space="0" w:color="auto"/>
              <w:right w:val="single" w:sz="8" w:space="0" w:color="auto"/>
            </w:tcBorders>
            <w:shd w:val="clear" w:color="auto" w:fill="auto"/>
            <w:noWrap/>
            <w:vAlign w:val="bottom"/>
            <w:hideMark/>
          </w:tcPr>
          <w:p w14:paraId="52B0D4CD" w14:textId="77777777" w:rsidR="00787A0E" w:rsidRPr="00C67E68" w:rsidRDefault="00787A0E" w:rsidP="00787A0E">
            <w:pPr>
              <w:spacing w:line="240" w:lineRule="auto"/>
              <w:jc w:val="left"/>
              <w:rPr>
                <w:rFonts w:ascii="Arial Narrow" w:hAnsi="Arial Narrow" w:cs="Calibri"/>
                <w:color w:val="000000"/>
                <w:sz w:val="22"/>
                <w:szCs w:val="22"/>
              </w:rPr>
            </w:pPr>
            <w:r w:rsidRPr="00C67E68">
              <w:rPr>
                <w:rFonts w:ascii="Arial Narrow" w:hAnsi="Arial Narrow" w:cs="Calibri"/>
                <w:color w:val="000000"/>
                <w:sz w:val="22"/>
                <w:szCs w:val="22"/>
              </w:rPr>
              <w:t>CASH FLOW vrátane PČ</w:t>
            </w:r>
          </w:p>
        </w:tc>
        <w:tc>
          <w:tcPr>
            <w:tcW w:w="1860" w:type="dxa"/>
            <w:tcBorders>
              <w:top w:val="nil"/>
              <w:left w:val="nil"/>
              <w:bottom w:val="single" w:sz="8" w:space="0" w:color="auto"/>
              <w:right w:val="single" w:sz="4" w:space="0" w:color="auto"/>
            </w:tcBorders>
            <w:shd w:val="clear" w:color="auto" w:fill="auto"/>
            <w:noWrap/>
            <w:vAlign w:val="center"/>
            <w:hideMark/>
          </w:tcPr>
          <w:p w14:paraId="64E0A659"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3,00%</w:t>
            </w:r>
          </w:p>
        </w:tc>
        <w:tc>
          <w:tcPr>
            <w:tcW w:w="2440" w:type="dxa"/>
            <w:tcBorders>
              <w:top w:val="nil"/>
              <w:left w:val="nil"/>
              <w:bottom w:val="single" w:sz="8" w:space="0" w:color="auto"/>
              <w:right w:val="single" w:sz="8" w:space="0" w:color="auto"/>
            </w:tcBorders>
            <w:shd w:val="clear" w:color="auto" w:fill="auto"/>
            <w:noWrap/>
            <w:vAlign w:val="center"/>
            <w:hideMark/>
          </w:tcPr>
          <w:p w14:paraId="195A8810" w14:textId="77777777" w:rsidR="00787A0E" w:rsidRPr="00C67E68" w:rsidRDefault="00787A0E" w:rsidP="00787A0E">
            <w:pPr>
              <w:spacing w:line="240" w:lineRule="auto"/>
              <w:jc w:val="center"/>
              <w:rPr>
                <w:rFonts w:ascii="Arial Narrow" w:hAnsi="Arial Narrow" w:cs="Calibri"/>
                <w:color w:val="000000"/>
                <w:sz w:val="22"/>
                <w:szCs w:val="22"/>
              </w:rPr>
            </w:pPr>
            <w:r w:rsidRPr="00C67E68">
              <w:rPr>
                <w:rFonts w:ascii="Arial Narrow" w:hAnsi="Arial Narrow" w:cs="Calibri"/>
                <w:color w:val="000000"/>
                <w:sz w:val="22"/>
                <w:szCs w:val="22"/>
              </w:rPr>
              <w:t xml:space="preserve">     202 374 571,73   </w:t>
            </w:r>
          </w:p>
        </w:tc>
      </w:tr>
    </w:tbl>
    <w:p w14:paraId="05C0716C" w14:textId="77777777" w:rsidR="00B77983" w:rsidRPr="00B77983" w:rsidRDefault="00B77983" w:rsidP="00B77983">
      <w:pPr>
        <w:rPr>
          <w:rFonts w:ascii="Century Gothic" w:hAnsi="Century Gothic" w:cstheme="minorHAnsi"/>
          <w:i/>
          <w:sz w:val="18"/>
          <w:szCs w:val="18"/>
          <w:lang w:eastAsia="cs-CZ"/>
        </w:rPr>
      </w:pPr>
      <w:r w:rsidRPr="00B77983">
        <w:rPr>
          <w:rFonts w:ascii="Century Gothic" w:hAnsi="Century Gothic" w:cstheme="minorHAnsi"/>
          <w:i/>
          <w:sz w:val="18"/>
          <w:szCs w:val="18"/>
          <w:lang w:eastAsia="cs-CZ"/>
        </w:rPr>
        <w:t>Zdroj: vlastné spracovanie</w:t>
      </w:r>
    </w:p>
    <w:p w14:paraId="42CBFDDF" w14:textId="1EE794A4" w:rsidR="00B77983" w:rsidRDefault="00B77983" w:rsidP="00B77983">
      <w:pPr>
        <w:spacing w:line="240" w:lineRule="auto"/>
        <w:rPr>
          <w:rFonts w:asciiTheme="minorHAnsi" w:hAnsiTheme="minorHAnsi" w:cstheme="minorHAnsi"/>
          <w:sz w:val="22"/>
          <w:szCs w:val="22"/>
        </w:rPr>
      </w:pPr>
    </w:p>
    <w:p w14:paraId="11FC6ABD" w14:textId="77777777" w:rsidR="0018150D" w:rsidRDefault="00B77983" w:rsidP="00B77983">
      <w:pPr>
        <w:spacing w:line="240" w:lineRule="auto"/>
        <w:rPr>
          <w:rFonts w:asciiTheme="minorHAnsi" w:hAnsiTheme="minorHAnsi" w:cstheme="minorHAnsi"/>
          <w:sz w:val="22"/>
          <w:szCs w:val="22"/>
        </w:rPr>
      </w:pPr>
      <w:r w:rsidRPr="00B77983">
        <w:rPr>
          <w:rFonts w:ascii="Century Gothic" w:hAnsi="Century Gothic"/>
          <w:sz w:val="22"/>
          <w:szCs w:val="22"/>
        </w:rPr>
        <w:t xml:space="preserve">Interpretácia výsledkov a odporúčanie pre vládu SR na základe výsledkov uvedených v tabuľke vyššie je uvedené v úvode štúdie v časti: Zhrnutie, ale jednoznačným výsledkom hodnotenia ekonomickej efektívnosti investície je , že zásadná investícia do poskytovania zdravotnej starostlivosti v rámci Žilinskej nemocnice je efektívna a prinesie obrovské prínosy. Naviac dáta jednoznačne ukazujú, že novostavba pavilónu dokáže byť aj vo finančnom vyjadrení efektívnejšia a je nutné zobrať do úvahy, že novostavba umožní procesné zmeny a benefity, ktoré dokážu generovať aj iné výnosy (celospoločenské, </w:t>
      </w:r>
      <w:proofErr w:type="spellStart"/>
      <w:r w:rsidRPr="00B77983">
        <w:rPr>
          <w:rFonts w:ascii="Century Gothic" w:hAnsi="Century Gothic"/>
          <w:sz w:val="22"/>
          <w:szCs w:val="22"/>
        </w:rPr>
        <w:t>socio</w:t>
      </w:r>
      <w:proofErr w:type="spellEnd"/>
      <w:r w:rsidRPr="00B77983">
        <w:rPr>
          <w:rFonts w:ascii="Century Gothic" w:hAnsi="Century Gothic"/>
          <w:sz w:val="22"/>
          <w:szCs w:val="22"/>
        </w:rPr>
        <w:t>-ekonomické), ktoré pri realizácii rekonštrukcie nie je možné dosiahnuť.</w:t>
      </w:r>
      <w:r>
        <w:rPr>
          <w:rFonts w:asciiTheme="minorHAnsi" w:hAnsiTheme="minorHAnsi" w:cstheme="minorHAnsi"/>
          <w:sz w:val="22"/>
          <w:szCs w:val="22"/>
        </w:rPr>
        <w:t xml:space="preserve"> </w:t>
      </w:r>
    </w:p>
    <w:p w14:paraId="3E031F02" w14:textId="77777777" w:rsidR="0018150D" w:rsidRDefault="0018150D" w:rsidP="00B77983">
      <w:pPr>
        <w:spacing w:line="240" w:lineRule="auto"/>
        <w:rPr>
          <w:rFonts w:asciiTheme="minorHAnsi" w:hAnsiTheme="minorHAnsi" w:cstheme="minorHAnsi"/>
          <w:sz w:val="22"/>
          <w:szCs w:val="22"/>
        </w:rPr>
      </w:pPr>
    </w:p>
    <w:p w14:paraId="60439201" w14:textId="2FC8EF66" w:rsidR="00B77983" w:rsidRDefault="0018150D" w:rsidP="00B77983">
      <w:pPr>
        <w:spacing w:line="240" w:lineRule="auto"/>
        <w:rPr>
          <w:rFonts w:ascii="Century Gothic" w:eastAsiaTheme="majorEastAsia" w:hAnsi="Century Gothic" w:cs="Calibri Light"/>
          <w:color w:val="365F91" w:themeColor="accent1" w:themeShade="BF"/>
          <w:sz w:val="32"/>
          <w:szCs w:val="32"/>
          <w:lang w:eastAsia="en-US"/>
        </w:rPr>
      </w:pPr>
      <w:r w:rsidRPr="00C67E68">
        <w:rPr>
          <w:rFonts w:ascii="Century Gothic" w:hAnsi="Century Gothic"/>
          <w:sz w:val="22"/>
          <w:szCs w:val="22"/>
        </w:rPr>
        <w:t xml:space="preserve">Samozrejme </w:t>
      </w:r>
      <w:r>
        <w:rPr>
          <w:rFonts w:ascii="Century Gothic" w:hAnsi="Century Gothic"/>
          <w:sz w:val="22"/>
          <w:szCs w:val="22"/>
        </w:rPr>
        <w:t xml:space="preserve">ekonomický model vyžaduje, aby boli splnené predpoklady použité v modeli hlavne stabilizácia mzdových nákladov a udržanie ich rastu v rozumných intenciách. Súčasne po výstavbe nového pavilónu očakávame zvýšenie efektívnosti prevádzky a úsporu priamych aj nepriamych nákladov prevádzkových.  </w:t>
      </w:r>
      <w:r w:rsidR="00B77983">
        <w:rPr>
          <w:rFonts w:ascii="Century Gothic" w:hAnsi="Century Gothic" w:cs="Calibri Light"/>
          <w:b/>
          <w:bCs/>
          <w:sz w:val="32"/>
          <w:szCs w:val="32"/>
          <w:lang w:eastAsia="en-US"/>
        </w:rPr>
        <w:br w:type="page"/>
      </w:r>
    </w:p>
    <w:p w14:paraId="388DA3BE" w14:textId="59104568" w:rsidR="007B7154" w:rsidRPr="00554317"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58" w:name="_Toc145219977"/>
      <w:r w:rsidRPr="00554317">
        <w:rPr>
          <w:rFonts w:ascii="Century Gothic" w:hAnsi="Century Gothic" w:cs="Calibri Light"/>
          <w:b w:val="0"/>
          <w:bCs w:val="0"/>
          <w:sz w:val="32"/>
          <w:szCs w:val="32"/>
          <w:lang w:eastAsia="en-US"/>
        </w:rPr>
        <w:lastRenderedPageBreak/>
        <w:t>Fázy výstavby novej nemocnice – Časový harmonogram realizácie</w:t>
      </w:r>
      <w:bookmarkEnd w:id="158"/>
    </w:p>
    <w:p w14:paraId="2CCF6FA4" w14:textId="77777777" w:rsidR="007B7154" w:rsidRDefault="007B7154" w:rsidP="007B7154">
      <w:pPr>
        <w:pStyle w:val="Odsekzoznamu"/>
        <w:spacing w:line="240" w:lineRule="auto"/>
        <w:ind w:left="360"/>
        <w:rPr>
          <w:rFonts w:ascii="Century Gothic" w:hAnsi="Century Gothic" w:cstheme="minorHAnsi"/>
        </w:rPr>
      </w:pPr>
    </w:p>
    <w:p w14:paraId="4BA28EF1" w14:textId="5AAD0915" w:rsidR="00786A20" w:rsidRDefault="00786A20" w:rsidP="00EF45D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59" w:name="_Toc145219978"/>
      <w:r w:rsidRPr="00EF45DE">
        <w:rPr>
          <w:rFonts w:ascii="Century Gothic" w:hAnsi="Century Gothic" w:cs="Calibri Light"/>
          <w:b w:val="0"/>
          <w:bCs w:val="0"/>
          <w:color w:val="365F91" w:themeColor="accent1" w:themeShade="BF"/>
          <w:lang w:eastAsia="en-US"/>
        </w:rPr>
        <w:t>P</w:t>
      </w:r>
      <w:r w:rsidR="00EF45DE">
        <w:rPr>
          <w:rFonts w:ascii="Century Gothic" w:hAnsi="Century Gothic" w:cs="Calibri Light"/>
          <w:b w:val="0"/>
          <w:bCs w:val="0"/>
          <w:color w:val="365F91" w:themeColor="accent1" w:themeShade="BF"/>
          <w:lang w:eastAsia="en-US"/>
        </w:rPr>
        <w:t>ripravenosť a aktuálna situácia</w:t>
      </w:r>
      <w:bookmarkEnd w:id="159"/>
    </w:p>
    <w:p w14:paraId="0DA385F7" w14:textId="77777777" w:rsidR="00EF45DE" w:rsidRPr="00EF45DE" w:rsidRDefault="00EF45DE" w:rsidP="00EF45DE">
      <w:pPr>
        <w:rPr>
          <w:lang w:eastAsia="en-US"/>
        </w:rPr>
      </w:pPr>
    </w:p>
    <w:p w14:paraId="36528034" w14:textId="5CCC9282"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Areál nemocnice je pripojený na verejný parovod od ulice Predmestská. Projekt počítať s využitím daného zdroja ako s hlavným zdrojom tepla pre nový plánovaný objekt pavilónu urgentnej medicíny. Podľa vyjadrenie prevádzkovateľa má dostatočnú voľnú kapacitu aj pre nový pavilón.</w:t>
      </w:r>
    </w:p>
    <w:p w14:paraId="2F1D7745" w14:textId="77777777" w:rsidR="00A877EC" w:rsidRPr="00A877EC" w:rsidRDefault="00A877EC" w:rsidP="00A877EC">
      <w:pPr>
        <w:pStyle w:val="Normlnywebov"/>
        <w:spacing w:before="0" w:beforeAutospacing="0" w:after="0" w:afterAutospacing="0"/>
        <w:jc w:val="both"/>
        <w:rPr>
          <w:rFonts w:ascii="Century Gothic" w:hAnsi="Century Gothic" w:cstheme="minorHAnsi"/>
          <w:sz w:val="22"/>
          <w:szCs w:val="22"/>
        </w:rPr>
      </w:pPr>
    </w:p>
    <w:p w14:paraId="103B97A3" w14:textId="2AED6FAB"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 xml:space="preserve">Areál nemocnice je pripojený na verejnú kanalizačnú sieť v dvoch bodoch od ulice Vojtecha </w:t>
      </w:r>
      <w:proofErr w:type="spellStart"/>
      <w:r w:rsidRPr="00A877EC">
        <w:rPr>
          <w:rFonts w:ascii="Century Gothic" w:hAnsi="Century Gothic" w:cstheme="minorHAnsi"/>
          <w:sz w:val="22"/>
          <w:szCs w:val="22"/>
        </w:rPr>
        <w:t>Spanyola</w:t>
      </w:r>
      <w:proofErr w:type="spellEnd"/>
      <w:r w:rsidRPr="00A877EC">
        <w:rPr>
          <w:rFonts w:ascii="Century Gothic" w:hAnsi="Century Gothic" w:cstheme="minorHAnsi"/>
          <w:sz w:val="22"/>
          <w:szCs w:val="22"/>
        </w:rPr>
        <w:t xml:space="preserve">. </w:t>
      </w:r>
      <w:r w:rsidR="00A877EC" w:rsidRPr="00A877EC">
        <w:rPr>
          <w:rFonts w:ascii="Century Gothic" w:hAnsi="Century Gothic" w:cstheme="minorHAnsi"/>
          <w:sz w:val="22"/>
          <w:szCs w:val="22"/>
        </w:rPr>
        <w:t xml:space="preserve"> </w:t>
      </w:r>
      <w:r w:rsidRPr="00A877EC">
        <w:rPr>
          <w:rFonts w:ascii="Century Gothic" w:hAnsi="Century Gothic" w:cstheme="minorHAnsi"/>
          <w:sz w:val="22"/>
          <w:szCs w:val="22"/>
        </w:rPr>
        <w:t xml:space="preserve">Areál nemocnice je pripojený na verejnú vodovodnú sieť v dvoch bodoch a to od ulice Nemocničná a ulice Vojtecha </w:t>
      </w:r>
      <w:proofErr w:type="spellStart"/>
      <w:r w:rsidRPr="00A877EC">
        <w:rPr>
          <w:rFonts w:ascii="Century Gothic" w:hAnsi="Century Gothic" w:cstheme="minorHAnsi"/>
          <w:sz w:val="22"/>
          <w:szCs w:val="22"/>
        </w:rPr>
        <w:t>Spanyola</w:t>
      </w:r>
      <w:proofErr w:type="spellEnd"/>
      <w:r w:rsidRPr="00A877EC">
        <w:rPr>
          <w:rFonts w:ascii="Century Gothic" w:hAnsi="Century Gothic" w:cstheme="minorHAnsi"/>
          <w:sz w:val="22"/>
          <w:szCs w:val="22"/>
        </w:rPr>
        <w:t xml:space="preserve">. </w:t>
      </w:r>
    </w:p>
    <w:p w14:paraId="583A289B" w14:textId="77777777" w:rsidR="00A877EC" w:rsidRPr="00A877EC" w:rsidRDefault="00A877EC" w:rsidP="00A877EC">
      <w:pPr>
        <w:pStyle w:val="Normlnywebov"/>
        <w:spacing w:before="0" w:beforeAutospacing="0" w:after="0" w:afterAutospacing="0"/>
        <w:jc w:val="both"/>
        <w:rPr>
          <w:rFonts w:ascii="Century Gothic" w:hAnsi="Century Gothic" w:cstheme="minorHAnsi"/>
          <w:sz w:val="22"/>
          <w:szCs w:val="22"/>
        </w:rPr>
      </w:pPr>
    </w:p>
    <w:p w14:paraId="5934FADD" w14:textId="2AFF253C"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 xml:space="preserve">Podľa vyjadrenia prevádzkovateľa SEVAK pre kapacity požadované pre nový Projekt </w:t>
      </w:r>
      <w:r w:rsidR="00BB692D">
        <w:rPr>
          <w:rFonts w:ascii="Century Gothic" w:hAnsi="Century Gothic" w:cstheme="minorHAnsi"/>
          <w:sz w:val="22"/>
          <w:szCs w:val="22"/>
        </w:rPr>
        <w:t>P</w:t>
      </w:r>
      <w:r w:rsidRPr="00A877EC">
        <w:rPr>
          <w:rFonts w:ascii="Century Gothic" w:hAnsi="Century Gothic" w:cstheme="minorHAnsi"/>
          <w:sz w:val="22"/>
          <w:szCs w:val="22"/>
        </w:rPr>
        <w:t>avilónu urgentnej medicíny boli určené  ako pripojovacie body na vodovod aj kanalizáciu existujúce body možnej napojenia  s garanciou dostatočnej voľnej kapacity pre nový plánovaný objekt.</w:t>
      </w:r>
    </w:p>
    <w:p w14:paraId="6088E865" w14:textId="50976503"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 xml:space="preserve">Areál nemocnice je pripojený na verejný rozvod plynu od ulice Nemocničná. V areáli sa nachádza verejný STL rozvod s dostatočnou kapacitou ako aj existujúca regulačná stanica plynu. Projekt </w:t>
      </w:r>
      <w:r w:rsidR="00BB692D">
        <w:rPr>
          <w:rFonts w:ascii="Century Gothic" w:hAnsi="Century Gothic" w:cstheme="minorHAnsi"/>
          <w:sz w:val="22"/>
          <w:szCs w:val="22"/>
        </w:rPr>
        <w:t>P</w:t>
      </w:r>
      <w:r w:rsidRPr="00A877EC">
        <w:rPr>
          <w:rFonts w:ascii="Century Gothic" w:hAnsi="Century Gothic" w:cstheme="minorHAnsi"/>
          <w:sz w:val="22"/>
          <w:szCs w:val="22"/>
        </w:rPr>
        <w:t xml:space="preserve">avilónu urgentnej medicíny momentálne preveruje stav pripojovacieho bodu a vyhodnotenie možnej voľnej kapacity ako záložného zdroja tepla aj el. energie s využitím </w:t>
      </w:r>
      <w:proofErr w:type="spellStart"/>
      <w:r w:rsidRPr="00A877EC">
        <w:rPr>
          <w:rFonts w:ascii="Century Gothic" w:hAnsi="Century Gothic" w:cstheme="minorHAnsi"/>
          <w:sz w:val="22"/>
          <w:szCs w:val="22"/>
        </w:rPr>
        <w:t>kogeneračných</w:t>
      </w:r>
      <w:proofErr w:type="spellEnd"/>
      <w:r w:rsidRPr="00A877EC">
        <w:rPr>
          <w:rFonts w:ascii="Century Gothic" w:hAnsi="Century Gothic" w:cstheme="minorHAnsi"/>
          <w:sz w:val="22"/>
          <w:szCs w:val="22"/>
        </w:rPr>
        <w:t xml:space="preserve"> jednotiek pre nový plánovaný objekt.</w:t>
      </w:r>
    </w:p>
    <w:p w14:paraId="0379AEB0" w14:textId="77777777" w:rsidR="00A877EC" w:rsidRPr="00A877EC" w:rsidRDefault="00A877EC" w:rsidP="00A877EC">
      <w:pPr>
        <w:pStyle w:val="Normlnywebov"/>
        <w:spacing w:before="0" w:beforeAutospacing="0" w:after="0" w:afterAutospacing="0"/>
        <w:jc w:val="both"/>
        <w:rPr>
          <w:rFonts w:ascii="Century Gothic" w:hAnsi="Century Gothic" w:cstheme="minorHAnsi"/>
          <w:sz w:val="22"/>
          <w:szCs w:val="22"/>
        </w:rPr>
      </w:pPr>
    </w:p>
    <w:p w14:paraId="7F484B0C" w14:textId="6139C1A5"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Areál nemocnice je pripojený na verejnú distribučnú sieť v dvoch bodoch a to od ulice Vysokoškolákov a od ulice Hlboká cesta. Pripojenie nemocnice na distribučnú sieť je v dvoch nadze</w:t>
      </w:r>
      <w:r w:rsidR="00BB692D">
        <w:rPr>
          <w:rFonts w:ascii="Century Gothic" w:hAnsi="Century Gothic" w:cstheme="minorHAnsi"/>
          <w:sz w:val="22"/>
          <w:szCs w:val="22"/>
        </w:rPr>
        <w:t>mných trafostaniciach. Projekt P</w:t>
      </w:r>
      <w:r w:rsidRPr="00A877EC">
        <w:rPr>
          <w:rFonts w:ascii="Century Gothic" w:hAnsi="Century Gothic" w:cstheme="minorHAnsi"/>
          <w:sz w:val="22"/>
          <w:szCs w:val="22"/>
        </w:rPr>
        <w:t xml:space="preserve">avilónu urgentnej medicíny musí preveriť stav pripojovacích bodov, stav trafostaníc a vyhodnotenie možnej voľnej kapacity pre nový plánovaný objekt. Momentálne podaná žiadosť na určenie bodov napojenia na požadovanú kapacitu. Na základe už neplatného (časovo exspirovaného vyjadrenia – cca ť mesiacov staré) majú dostatočnú kapacitu pre nový pavilón. </w:t>
      </w:r>
    </w:p>
    <w:p w14:paraId="51B1813E" w14:textId="77777777" w:rsidR="00A877EC" w:rsidRPr="00A877EC" w:rsidRDefault="00A877EC" w:rsidP="00A877EC">
      <w:pPr>
        <w:pStyle w:val="Normlnywebov"/>
        <w:spacing w:before="0" w:beforeAutospacing="0" w:after="0" w:afterAutospacing="0"/>
        <w:jc w:val="both"/>
        <w:rPr>
          <w:rFonts w:ascii="Century Gothic" w:hAnsi="Century Gothic" w:cstheme="minorHAnsi"/>
          <w:sz w:val="22"/>
          <w:szCs w:val="22"/>
        </w:rPr>
      </w:pPr>
    </w:p>
    <w:p w14:paraId="1373FBD4" w14:textId="77777777"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 xml:space="preserve">Územný </w:t>
      </w:r>
      <w:proofErr w:type="spellStart"/>
      <w:r w:rsidRPr="00A877EC">
        <w:rPr>
          <w:rFonts w:ascii="Century Gothic" w:hAnsi="Century Gothic" w:cstheme="minorHAnsi"/>
          <w:sz w:val="22"/>
          <w:szCs w:val="22"/>
        </w:rPr>
        <w:t>generel</w:t>
      </w:r>
      <w:proofErr w:type="spellEnd"/>
      <w:r w:rsidRPr="00A877EC">
        <w:rPr>
          <w:rFonts w:ascii="Century Gothic" w:hAnsi="Century Gothic" w:cstheme="minorHAnsi"/>
          <w:sz w:val="22"/>
          <w:szCs w:val="22"/>
        </w:rPr>
        <w:t xml:space="preserve"> dopravy mesta Žilina samostatne rieši nové napojenie areálu Fakultnej nemocnice s poliklinikou v Žiline, vzhľadom na to, že súčasné napojenie nevyhovuje požiadavkám a predpokladanému dopravnému zaťaženiu. </w:t>
      </w:r>
    </w:p>
    <w:p w14:paraId="6390C037" w14:textId="1C42AD5F" w:rsidR="00786A20" w:rsidRPr="00A877EC" w:rsidRDefault="00786A20" w:rsidP="00A877EC">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Významná požiadavka je riešenie dopravného napojenia areálu smerom na Martin, na ktoré je spracovaná Štúdia dopravného napojenia Staveb</w:t>
      </w:r>
      <w:r w:rsidR="00A877EC">
        <w:rPr>
          <w:rFonts w:ascii="Century Gothic" w:hAnsi="Century Gothic" w:cstheme="minorHAnsi"/>
          <w:sz w:val="22"/>
          <w:szCs w:val="22"/>
        </w:rPr>
        <w:t>nou fakultou ŽU v Žiline a </w:t>
      </w:r>
      <w:proofErr w:type="spellStart"/>
      <w:r w:rsidR="00A877EC">
        <w:rPr>
          <w:rFonts w:ascii="Century Gothic" w:hAnsi="Century Gothic" w:cstheme="minorHAnsi"/>
          <w:sz w:val="22"/>
          <w:szCs w:val="22"/>
        </w:rPr>
        <w:t>FNsP</w:t>
      </w:r>
      <w:proofErr w:type="spellEnd"/>
      <w:r w:rsidR="00A877EC">
        <w:rPr>
          <w:rFonts w:ascii="Century Gothic" w:hAnsi="Century Gothic" w:cstheme="minorHAnsi"/>
          <w:sz w:val="22"/>
          <w:szCs w:val="22"/>
        </w:rPr>
        <w:t xml:space="preserve"> Žilina </w:t>
      </w:r>
      <w:r w:rsidRPr="00A877EC">
        <w:rPr>
          <w:rFonts w:ascii="Century Gothic" w:hAnsi="Century Gothic" w:cstheme="minorHAnsi"/>
          <w:sz w:val="22"/>
          <w:szCs w:val="22"/>
        </w:rPr>
        <w:t>má k nej kladné vyjadrenia od:</w:t>
      </w:r>
    </w:p>
    <w:p w14:paraId="432AF3C5" w14:textId="68663959"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Hlavný architekt mesta Žilina</w:t>
      </w:r>
    </w:p>
    <w:p w14:paraId="61D694B8" w14:textId="076BBB64"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Odbor dopravy – mesto Žilina</w:t>
      </w:r>
    </w:p>
    <w:p w14:paraId="001453FA" w14:textId="4B00ADDD"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Okresné riaditeľstvo PZ Žilina</w:t>
      </w:r>
    </w:p>
    <w:p w14:paraId="26E65E56" w14:textId="741ADC83"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SSC – v procese s kladným vyjadrením IVSC Žilina – čakáme na potvrdenie SSC Bratislava (bežný postup)</w:t>
      </w:r>
    </w:p>
    <w:p w14:paraId="040CD079" w14:textId="77777777" w:rsidR="00A877EC" w:rsidRPr="00A877EC" w:rsidRDefault="00A877EC" w:rsidP="00A877EC">
      <w:pPr>
        <w:pStyle w:val="Normlnywebov"/>
        <w:spacing w:before="0" w:beforeAutospacing="0" w:after="0" w:afterAutospacing="0"/>
        <w:rPr>
          <w:rFonts w:ascii="Century Gothic" w:hAnsi="Century Gothic" w:cstheme="minorHAnsi"/>
          <w:sz w:val="22"/>
          <w:szCs w:val="22"/>
        </w:rPr>
      </w:pPr>
    </w:p>
    <w:p w14:paraId="6EBDCBC7" w14:textId="259E1954" w:rsidR="00786A20" w:rsidRPr="00A877EC" w:rsidRDefault="00786A20" w:rsidP="00EF45DE">
      <w:pPr>
        <w:pStyle w:val="Normlnywebov"/>
        <w:spacing w:before="0" w:beforeAutospacing="0" w:after="0" w:afterAutospacing="0"/>
        <w:jc w:val="both"/>
        <w:rPr>
          <w:rFonts w:ascii="Century Gothic" w:hAnsi="Century Gothic" w:cstheme="minorHAnsi"/>
          <w:sz w:val="22"/>
          <w:szCs w:val="22"/>
        </w:rPr>
      </w:pPr>
      <w:r w:rsidRPr="00A877EC">
        <w:rPr>
          <w:rFonts w:ascii="Century Gothic" w:hAnsi="Century Gothic" w:cstheme="minorHAnsi"/>
          <w:sz w:val="22"/>
          <w:szCs w:val="22"/>
        </w:rPr>
        <w:t xml:space="preserve">Parkovacie miesta potrebné na prevádzku </w:t>
      </w:r>
      <w:r w:rsidR="00BB692D">
        <w:rPr>
          <w:rFonts w:ascii="Century Gothic" w:hAnsi="Century Gothic" w:cstheme="minorHAnsi"/>
          <w:sz w:val="22"/>
          <w:szCs w:val="22"/>
        </w:rPr>
        <w:t>P</w:t>
      </w:r>
      <w:r w:rsidRPr="00A877EC">
        <w:rPr>
          <w:rFonts w:ascii="Century Gothic" w:hAnsi="Century Gothic" w:cstheme="minorHAnsi"/>
          <w:sz w:val="22"/>
          <w:szCs w:val="22"/>
        </w:rPr>
        <w:t>avilónu urgentnej medicíny sú umiestnené v 1.PP nového objektu.</w:t>
      </w:r>
    </w:p>
    <w:p w14:paraId="705584F8" w14:textId="649BA33B" w:rsidR="00A877EC" w:rsidRDefault="00A877EC" w:rsidP="00A877EC">
      <w:pPr>
        <w:pStyle w:val="Normlnywebov"/>
        <w:spacing w:before="0" w:beforeAutospacing="0" w:after="0" w:afterAutospacing="0"/>
        <w:rPr>
          <w:rFonts w:ascii="Century Gothic" w:hAnsi="Century Gothic" w:cstheme="minorHAnsi"/>
          <w:b/>
          <w:bCs/>
          <w:sz w:val="22"/>
          <w:szCs w:val="22"/>
        </w:rPr>
      </w:pPr>
    </w:p>
    <w:p w14:paraId="41D20CEA" w14:textId="77777777" w:rsidR="00605940" w:rsidRPr="00A877EC" w:rsidRDefault="00605940" w:rsidP="00A877EC">
      <w:pPr>
        <w:pStyle w:val="Normlnywebov"/>
        <w:spacing w:before="0" w:beforeAutospacing="0" w:after="0" w:afterAutospacing="0"/>
        <w:rPr>
          <w:rFonts w:ascii="Century Gothic" w:hAnsi="Century Gothic" w:cstheme="minorHAnsi"/>
          <w:b/>
          <w:bCs/>
          <w:sz w:val="22"/>
          <w:szCs w:val="22"/>
        </w:rPr>
      </w:pPr>
    </w:p>
    <w:p w14:paraId="63F6CBEC" w14:textId="06146C28" w:rsidR="00786A20" w:rsidRPr="00EF45DE" w:rsidRDefault="00786A20" w:rsidP="00EF45D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60" w:name="_Toc145219979"/>
      <w:proofErr w:type="spellStart"/>
      <w:r w:rsidRPr="00EF45DE">
        <w:rPr>
          <w:rFonts w:ascii="Century Gothic" w:hAnsi="Century Gothic" w:cs="Calibri Light"/>
          <w:b w:val="0"/>
          <w:bCs w:val="0"/>
          <w:color w:val="365F91" w:themeColor="accent1" w:themeShade="BF"/>
          <w:lang w:eastAsia="en-US"/>
        </w:rPr>
        <w:lastRenderedPageBreak/>
        <w:t>Základne</w:t>
      </w:r>
      <w:proofErr w:type="spellEnd"/>
      <w:r w:rsidRPr="00EF45DE">
        <w:rPr>
          <w:rFonts w:ascii="Century Gothic" w:hAnsi="Century Gothic" w:cs="Calibri Light"/>
          <w:b w:val="0"/>
          <w:bCs w:val="0"/>
          <w:color w:val="365F91" w:themeColor="accent1" w:themeShade="BF"/>
          <w:lang w:eastAsia="en-US"/>
        </w:rPr>
        <w:t xml:space="preserve">́ </w:t>
      </w:r>
      <w:r w:rsidR="00EF45DE" w:rsidRPr="00EF45DE">
        <w:rPr>
          <w:rFonts w:ascii="Century Gothic" w:hAnsi="Century Gothic" w:cs="Calibri Light"/>
          <w:b w:val="0"/>
          <w:bCs w:val="0"/>
          <w:color w:val="365F91" w:themeColor="accent1" w:themeShade="BF"/>
          <w:lang w:eastAsia="en-US"/>
        </w:rPr>
        <w:t>rozmerové parametre</w:t>
      </w:r>
      <w:bookmarkEnd w:id="160"/>
    </w:p>
    <w:p w14:paraId="7BF4464F" w14:textId="77777777" w:rsidR="00EF45DE" w:rsidRDefault="00EF45DE" w:rsidP="00A877EC">
      <w:pPr>
        <w:pStyle w:val="Normlnywebov"/>
        <w:spacing w:before="0" w:beforeAutospacing="0" w:after="0" w:afterAutospacing="0"/>
        <w:rPr>
          <w:rFonts w:ascii="Century Gothic" w:hAnsi="Century Gothic" w:cstheme="minorHAnsi"/>
          <w:b/>
          <w:bCs/>
          <w:sz w:val="22"/>
          <w:szCs w:val="22"/>
        </w:rPr>
      </w:pPr>
    </w:p>
    <w:p w14:paraId="7819F87B" w14:textId="77777777" w:rsidR="00EF45DE" w:rsidRPr="00EF45DE" w:rsidRDefault="00EF45DE" w:rsidP="00EF45DE">
      <w:pPr>
        <w:suppressAutoHyphens/>
        <w:spacing w:line="240" w:lineRule="auto"/>
        <w:rPr>
          <w:rFonts w:ascii="Century Gothic" w:hAnsi="Century Gothic"/>
          <w:b/>
          <w:bCs/>
          <w:sz w:val="22"/>
          <w:szCs w:val="22"/>
          <w:u w:val="single"/>
        </w:rPr>
      </w:pPr>
      <w:r w:rsidRPr="00EF45DE">
        <w:rPr>
          <w:rFonts w:ascii="Century Gothic" w:hAnsi="Century Gothic"/>
          <w:b/>
          <w:bCs/>
          <w:sz w:val="22"/>
          <w:szCs w:val="22"/>
          <w:u w:val="single"/>
        </w:rPr>
        <w:t>Hlavné rozmery objektu</w:t>
      </w:r>
    </w:p>
    <w:p w14:paraId="175E89D0"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Nadzemná časť:</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Pr>
          <w:rFonts w:ascii="Century Gothic" w:hAnsi="Century Gothic"/>
          <w:sz w:val="22"/>
          <w:szCs w:val="22"/>
        </w:rPr>
        <w:tab/>
      </w:r>
      <w:r w:rsidRPr="002679C1">
        <w:rPr>
          <w:rFonts w:ascii="Century Gothic" w:hAnsi="Century Gothic"/>
          <w:sz w:val="22"/>
          <w:szCs w:val="22"/>
        </w:rPr>
        <w:t xml:space="preserve">111,050 x 177,100 m </w:t>
      </w:r>
    </w:p>
    <w:p w14:paraId="20D99F3F"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Nadzemná časť blok A, B, C</w:t>
      </w:r>
      <w:r w:rsidRPr="002679C1">
        <w:rPr>
          <w:rFonts w:ascii="Century Gothic" w:hAnsi="Century Gothic"/>
          <w:sz w:val="22"/>
          <w:szCs w:val="22"/>
        </w:rPr>
        <w:tab/>
      </w:r>
      <w:r w:rsidRPr="002679C1">
        <w:rPr>
          <w:rFonts w:ascii="Century Gothic" w:hAnsi="Century Gothic"/>
          <w:sz w:val="22"/>
          <w:szCs w:val="22"/>
        </w:rPr>
        <w:tab/>
        <w:t xml:space="preserve">  </w:t>
      </w:r>
      <w:r w:rsidRPr="002679C1">
        <w:rPr>
          <w:rFonts w:ascii="Century Gothic" w:hAnsi="Century Gothic"/>
          <w:sz w:val="22"/>
          <w:szCs w:val="22"/>
        </w:rPr>
        <w:tab/>
        <w:t>55,875 x 173,500 m</w:t>
      </w:r>
    </w:p>
    <w:p w14:paraId="57BEED95"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Nadzemná časť každej lôžkovej časti</w:t>
      </w:r>
      <w:r w:rsidRPr="002679C1">
        <w:rPr>
          <w:rFonts w:ascii="Century Gothic" w:hAnsi="Century Gothic"/>
          <w:sz w:val="22"/>
          <w:szCs w:val="22"/>
        </w:rPr>
        <w:tab/>
        <w:t xml:space="preserve">  </w:t>
      </w:r>
      <w:r w:rsidRPr="002679C1">
        <w:rPr>
          <w:rFonts w:ascii="Century Gothic" w:hAnsi="Century Gothic"/>
          <w:sz w:val="22"/>
          <w:szCs w:val="22"/>
        </w:rPr>
        <w:tab/>
        <w:t>28,900 x   55,175 m</w:t>
      </w:r>
    </w:p>
    <w:p w14:paraId="52AD41B9"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Podzemná časť</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110,100 x 172,500 m</w:t>
      </w:r>
    </w:p>
    <w:p w14:paraId="5BBF32D1" w14:textId="77777777" w:rsidR="00EF45DE" w:rsidRPr="002679C1" w:rsidRDefault="00EF45DE" w:rsidP="00EF45DE">
      <w:pPr>
        <w:suppressAutoHyphens/>
        <w:spacing w:line="240" w:lineRule="auto"/>
        <w:rPr>
          <w:rFonts w:ascii="Century Gothic" w:hAnsi="Century Gothic"/>
          <w:sz w:val="22"/>
          <w:szCs w:val="22"/>
        </w:rPr>
      </w:pPr>
    </w:p>
    <w:p w14:paraId="510D693F" w14:textId="77777777" w:rsidR="00EF45DE" w:rsidRPr="002679C1" w:rsidRDefault="00EF45DE" w:rsidP="00EF45DE">
      <w:pPr>
        <w:suppressAutoHyphens/>
        <w:spacing w:line="240" w:lineRule="auto"/>
        <w:rPr>
          <w:rFonts w:ascii="Century Gothic" w:hAnsi="Century Gothic"/>
          <w:b/>
          <w:bCs/>
          <w:sz w:val="22"/>
          <w:szCs w:val="22"/>
        </w:rPr>
      </w:pPr>
      <w:r w:rsidRPr="002679C1">
        <w:rPr>
          <w:rFonts w:ascii="Century Gothic" w:hAnsi="Century Gothic"/>
          <w:b/>
          <w:bCs/>
          <w:sz w:val="22"/>
          <w:szCs w:val="22"/>
        </w:rPr>
        <w:t>Počet podlaží</w:t>
      </w:r>
      <w:r w:rsidRPr="002679C1">
        <w:rPr>
          <w:rFonts w:ascii="Century Gothic" w:hAnsi="Century Gothic"/>
          <w:b/>
          <w:bCs/>
          <w:sz w:val="22"/>
          <w:szCs w:val="22"/>
        </w:rPr>
        <w:tab/>
      </w:r>
      <w:r w:rsidRPr="002679C1">
        <w:rPr>
          <w:rFonts w:ascii="Century Gothic" w:hAnsi="Century Gothic"/>
          <w:b/>
          <w:bCs/>
          <w:sz w:val="22"/>
          <w:szCs w:val="22"/>
        </w:rPr>
        <w:tab/>
      </w:r>
    </w:p>
    <w:p w14:paraId="0A8B7041"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Počet podzemných podlaží ambulantná časť</w:t>
      </w:r>
      <w:r w:rsidRPr="002679C1">
        <w:rPr>
          <w:rFonts w:ascii="Century Gothic" w:hAnsi="Century Gothic"/>
          <w:sz w:val="22"/>
          <w:szCs w:val="22"/>
        </w:rPr>
        <w:tab/>
        <w:t>1.PP</w:t>
      </w:r>
    </w:p>
    <w:p w14:paraId="225E2357"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Počet nadzemných podlaží ambulantná časť</w:t>
      </w:r>
      <w:r w:rsidRPr="002679C1">
        <w:rPr>
          <w:rFonts w:ascii="Century Gothic" w:hAnsi="Century Gothic"/>
          <w:sz w:val="22"/>
          <w:szCs w:val="22"/>
        </w:rPr>
        <w:tab/>
        <w:t xml:space="preserve">5.NP + ustúpené technické podlažie + </w:t>
      </w:r>
      <w:proofErr w:type="spellStart"/>
      <w:r w:rsidRPr="002679C1">
        <w:rPr>
          <w:rFonts w:ascii="Century Gothic" w:hAnsi="Century Gothic"/>
          <w:sz w:val="22"/>
          <w:szCs w:val="22"/>
        </w:rPr>
        <w:t>heliport</w:t>
      </w:r>
      <w:proofErr w:type="spellEnd"/>
    </w:p>
    <w:p w14:paraId="107E7D27" w14:textId="77777777" w:rsidR="00EF45DE" w:rsidRPr="002679C1" w:rsidRDefault="00EF45DE" w:rsidP="00EF45DE">
      <w:pPr>
        <w:suppressAutoHyphens/>
        <w:spacing w:line="240" w:lineRule="auto"/>
        <w:rPr>
          <w:rFonts w:ascii="Century Gothic" w:hAnsi="Century Gothic"/>
          <w:sz w:val="22"/>
          <w:szCs w:val="22"/>
        </w:rPr>
      </w:pPr>
    </w:p>
    <w:p w14:paraId="5F93EBA7"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Počet podzemných podlaží lôžková časť</w:t>
      </w:r>
      <w:r w:rsidRPr="002679C1">
        <w:rPr>
          <w:rFonts w:ascii="Century Gothic" w:hAnsi="Century Gothic"/>
          <w:sz w:val="22"/>
          <w:szCs w:val="22"/>
        </w:rPr>
        <w:tab/>
      </w:r>
      <w:r w:rsidRPr="002679C1">
        <w:rPr>
          <w:rFonts w:ascii="Century Gothic" w:hAnsi="Century Gothic"/>
          <w:sz w:val="22"/>
          <w:szCs w:val="22"/>
        </w:rPr>
        <w:tab/>
        <w:t>1.PP</w:t>
      </w:r>
    </w:p>
    <w:p w14:paraId="48C43F22"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Počet nadzemných podlaží lôžková časť</w:t>
      </w:r>
      <w:r w:rsidRPr="002679C1">
        <w:rPr>
          <w:rFonts w:ascii="Century Gothic" w:hAnsi="Century Gothic"/>
          <w:sz w:val="22"/>
          <w:szCs w:val="22"/>
        </w:rPr>
        <w:tab/>
      </w:r>
      <w:r w:rsidRPr="002679C1">
        <w:rPr>
          <w:rFonts w:ascii="Century Gothic" w:hAnsi="Century Gothic"/>
          <w:sz w:val="22"/>
          <w:szCs w:val="22"/>
        </w:rPr>
        <w:tab/>
        <w:t>4.NP + ustúpené technické podlažie</w:t>
      </w:r>
      <w:r w:rsidRPr="002679C1">
        <w:rPr>
          <w:rFonts w:ascii="Century Gothic" w:hAnsi="Century Gothic"/>
          <w:sz w:val="22"/>
          <w:szCs w:val="22"/>
        </w:rPr>
        <w:tab/>
      </w:r>
      <w:r w:rsidRPr="002679C1">
        <w:rPr>
          <w:rFonts w:ascii="Century Gothic" w:hAnsi="Century Gothic"/>
          <w:sz w:val="22"/>
          <w:szCs w:val="22"/>
        </w:rPr>
        <w:tab/>
      </w:r>
    </w:p>
    <w:p w14:paraId="2BB6D08C" w14:textId="77777777" w:rsidR="00EF45DE" w:rsidRPr="002679C1" w:rsidRDefault="00EF45DE" w:rsidP="00EF45DE">
      <w:pPr>
        <w:suppressAutoHyphens/>
        <w:spacing w:line="240" w:lineRule="auto"/>
        <w:rPr>
          <w:rFonts w:ascii="Century Gothic" w:hAnsi="Century Gothic"/>
          <w:sz w:val="22"/>
          <w:szCs w:val="22"/>
        </w:rPr>
      </w:pPr>
    </w:p>
    <w:p w14:paraId="1F6B527E" w14:textId="77777777" w:rsidR="00EF45DE" w:rsidRPr="002679C1" w:rsidRDefault="00EF45DE" w:rsidP="00EF45DE">
      <w:pPr>
        <w:suppressAutoHyphens/>
        <w:spacing w:line="240" w:lineRule="auto"/>
        <w:rPr>
          <w:rFonts w:ascii="Century Gothic" w:hAnsi="Century Gothic"/>
          <w:b/>
          <w:bCs/>
          <w:sz w:val="22"/>
          <w:szCs w:val="22"/>
        </w:rPr>
      </w:pPr>
      <w:r w:rsidRPr="002679C1">
        <w:rPr>
          <w:rFonts w:ascii="Century Gothic" w:hAnsi="Century Gothic"/>
          <w:b/>
          <w:bCs/>
          <w:sz w:val="22"/>
          <w:szCs w:val="22"/>
        </w:rPr>
        <w:t>Plochy</w:t>
      </w:r>
    </w:p>
    <w:p w14:paraId="7348781F"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1PP: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18.377,90 m</w:t>
      </w:r>
      <w:r w:rsidRPr="002679C1">
        <w:rPr>
          <w:rFonts w:ascii="Century Gothic" w:hAnsi="Century Gothic"/>
          <w:sz w:val="22"/>
          <w:szCs w:val="22"/>
          <w:vertAlign w:val="superscript"/>
        </w:rPr>
        <w:t>2</w:t>
      </w:r>
    </w:p>
    <w:p w14:paraId="3E3540FC"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1NP: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11.790,15 m</w:t>
      </w:r>
      <w:r w:rsidRPr="002679C1">
        <w:rPr>
          <w:rFonts w:ascii="Century Gothic" w:hAnsi="Century Gothic"/>
          <w:sz w:val="22"/>
          <w:szCs w:val="22"/>
          <w:vertAlign w:val="superscript"/>
        </w:rPr>
        <w:t>2</w:t>
      </w:r>
    </w:p>
    <w:p w14:paraId="1C0AE9FA"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2NP: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11.820,43 m</w:t>
      </w:r>
      <w:r w:rsidRPr="002679C1">
        <w:rPr>
          <w:rFonts w:ascii="Century Gothic" w:hAnsi="Century Gothic"/>
          <w:sz w:val="22"/>
          <w:szCs w:val="22"/>
          <w:vertAlign w:val="superscript"/>
        </w:rPr>
        <w:t>2</w:t>
      </w:r>
    </w:p>
    <w:p w14:paraId="69BEDAE8"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3NP: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11.745,36 m</w:t>
      </w:r>
      <w:r w:rsidRPr="002679C1">
        <w:rPr>
          <w:rFonts w:ascii="Century Gothic" w:hAnsi="Century Gothic"/>
          <w:sz w:val="22"/>
          <w:szCs w:val="22"/>
          <w:vertAlign w:val="superscript"/>
        </w:rPr>
        <w:t>2</w:t>
      </w:r>
    </w:p>
    <w:p w14:paraId="59E0F43C"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4NP: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11.699,06 m</w:t>
      </w:r>
      <w:r w:rsidRPr="002679C1">
        <w:rPr>
          <w:rFonts w:ascii="Century Gothic" w:hAnsi="Century Gothic"/>
          <w:sz w:val="22"/>
          <w:szCs w:val="22"/>
          <w:vertAlign w:val="superscript"/>
        </w:rPr>
        <w:t>2</w:t>
      </w:r>
    </w:p>
    <w:p w14:paraId="2606889A"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5NP:</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4.661,46 m</w:t>
      </w:r>
      <w:r w:rsidRPr="002679C1">
        <w:rPr>
          <w:rFonts w:ascii="Century Gothic" w:hAnsi="Century Gothic"/>
          <w:sz w:val="22"/>
          <w:szCs w:val="22"/>
          <w:vertAlign w:val="superscript"/>
        </w:rPr>
        <w:t>2</w:t>
      </w:r>
      <w:r w:rsidRPr="002679C1">
        <w:rPr>
          <w:rFonts w:ascii="Century Gothic" w:hAnsi="Century Gothic"/>
          <w:sz w:val="22"/>
          <w:szCs w:val="22"/>
        </w:rPr>
        <w:t xml:space="preserve"> + 2.833,8 m</w:t>
      </w:r>
      <w:r w:rsidRPr="002679C1">
        <w:rPr>
          <w:rFonts w:ascii="Century Gothic" w:hAnsi="Century Gothic"/>
          <w:sz w:val="22"/>
          <w:szCs w:val="22"/>
          <w:vertAlign w:val="superscript"/>
        </w:rPr>
        <w:t>2</w:t>
      </w:r>
      <w:r w:rsidRPr="002679C1">
        <w:rPr>
          <w:rFonts w:ascii="Century Gothic" w:hAnsi="Century Gothic"/>
          <w:sz w:val="22"/>
          <w:szCs w:val="22"/>
        </w:rPr>
        <w:t xml:space="preserve"> – technické podlažie VZT</w:t>
      </w:r>
    </w:p>
    <w:p w14:paraId="63B33783"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6NP:</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1.437,28 m</w:t>
      </w:r>
      <w:r w:rsidRPr="002679C1">
        <w:rPr>
          <w:rFonts w:ascii="Century Gothic" w:hAnsi="Century Gothic"/>
          <w:sz w:val="22"/>
          <w:szCs w:val="22"/>
          <w:vertAlign w:val="superscript"/>
        </w:rPr>
        <w:t>2</w:t>
      </w:r>
      <w:r w:rsidRPr="002679C1">
        <w:rPr>
          <w:rFonts w:ascii="Century Gothic" w:hAnsi="Century Gothic"/>
          <w:sz w:val="22"/>
          <w:szCs w:val="22"/>
        </w:rPr>
        <w:t xml:space="preserve"> – technické podlažie VZT</w:t>
      </w:r>
    </w:p>
    <w:p w14:paraId="6D6585F0" w14:textId="001804F3"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Podlahová plocha 7NP:</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1.195,01 m</w:t>
      </w:r>
      <w:r w:rsidRPr="002679C1">
        <w:rPr>
          <w:rFonts w:ascii="Century Gothic" w:hAnsi="Century Gothic"/>
          <w:sz w:val="22"/>
          <w:szCs w:val="22"/>
          <w:vertAlign w:val="superscript"/>
        </w:rPr>
        <w:t>2</w:t>
      </w:r>
      <w:r>
        <w:rPr>
          <w:rFonts w:ascii="Century Gothic" w:hAnsi="Century Gothic"/>
          <w:sz w:val="22"/>
          <w:szCs w:val="22"/>
        </w:rPr>
        <w:t xml:space="preserve"> –</w:t>
      </w:r>
      <w:r w:rsidRPr="002679C1">
        <w:rPr>
          <w:rFonts w:ascii="Century Gothic" w:hAnsi="Century Gothic"/>
          <w:sz w:val="22"/>
          <w:szCs w:val="22"/>
        </w:rPr>
        <w:t xml:space="preserve"> </w:t>
      </w:r>
      <w:proofErr w:type="spellStart"/>
      <w:r w:rsidRPr="002679C1">
        <w:rPr>
          <w:rFonts w:ascii="Century Gothic" w:hAnsi="Century Gothic"/>
          <w:sz w:val="22"/>
          <w:szCs w:val="22"/>
        </w:rPr>
        <w:t>heliport</w:t>
      </w:r>
      <w:proofErr w:type="spellEnd"/>
    </w:p>
    <w:p w14:paraId="6AD030DC" w14:textId="77777777" w:rsidR="00EF45DE" w:rsidRPr="002679C1" w:rsidRDefault="00EF45DE" w:rsidP="00EF45DE">
      <w:pPr>
        <w:suppressAutoHyphens/>
        <w:spacing w:line="240" w:lineRule="auto"/>
        <w:rPr>
          <w:rFonts w:ascii="Century Gothic" w:hAnsi="Century Gothic"/>
          <w:b/>
          <w:bCs/>
          <w:sz w:val="22"/>
          <w:szCs w:val="22"/>
        </w:rPr>
      </w:pPr>
      <w:r w:rsidRPr="002679C1">
        <w:rPr>
          <w:rFonts w:ascii="Century Gothic" w:hAnsi="Century Gothic"/>
          <w:b/>
          <w:bCs/>
          <w:sz w:val="22"/>
          <w:szCs w:val="22"/>
        </w:rPr>
        <w:t>SPOLU:</w:t>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Pr>
          <w:rFonts w:ascii="Century Gothic" w:hAnsi="Century Gothic"/>
          <w:b/>
          <w:bCs/>
          <w:sz w:val="22"/>
          <w:szCs w:val="22"/>
        </w:rPr>
        <w:t xml:space="preserve"> </w:t>
      </w:r>
      <w:r w:rsidRPr="002679C1">
        <w:rPr>
          <w:rFonts w:ascii="Century Gothic" w:hAnsi="Century Gothic"/>
          <w:b/>
          <w:bCs/>
          <w:sz w:val="22"/>
          <w:szCs w:val="22"/>
        </w:rPr>
        <w:t>75.560,45 m</w:t>
      </w:r>
      <w:r w:rsidRPr="002679C1">
        <w:rPr>
          <w:rFonts w:ascii="Century Gothic" w:hAnsi="Century Gothic"/>
          <w:b/>
          <w:bCs/>
          <w:sz w:val="22"/>
          <w:szCs w:val="22"/>
          <w:vertAlign w:val="superscript"/>
        </w:rPr>
        <w:t>2</w:t>
      </w:r>
    </w:p>
    <w:p w14:paraId="3C547F3A" w14:textId="77777777" w:rsidR="00EF45DE" w:rsidRDefault="00EF45DE" w:rsidP="00A877EC">
      <w:pPr>
        <w:pStyle w:val="Normlnywebov"/>
        <w:spacing w:before="0" w:beforeAutospacing="0" w:after="0" w:afterAutospacing="0"/>
        <w:rPr>
          <w:rFonts w:ascii="Century Gothic" w:hAnsi="Century Gothic" w:cstheme="minorHAnsi"/>
          <w:b/>
          <w:bCs/>
          <w:sz w:val="22"/>
          <w:szCs w:val="22"/>
        </w:rPr>
      </w:pPr>
    </w:p>
    <w:p w14:paraId="43825FEC" w14:textId="77777777" w:rsidR="00EF45DE" w:rsidRPr="002679C1" w:rsidRDefault="00EF45DE" w:rsidP="00EF45DE">
      <w:pPr>
        <w:suppressAutoHyphens/>
        <w:spacing w:line="240" w:lineRule="auto"/>
        <w:rPr>
          <w:rFonts w:ascii="Century Gothic" w:hAnsi="Century Gothic"/>
          <w:b/>
          <w:bCs/>
          <w:sz w:val="22"/>
          <w:szCs w:val="22"/>
        </w:rPr>
      </w:pPr>
      <w:r w:rsidRPr="002679C1">
        <w:rPr>
          <w:rFonts w:ascii="Century Gothic" w:hAnsi="Century Gothic"/>
          <w:b/>
          <w:bCs/>
          <w:sz w:val="22"/>
          <w:szCs w:val="22"/>
        </w:rPr>
        <w:t>Plocha strechy:</w:t>
      </w:r>
    </w:p>
    <w:p w14:paraId="7BA6B374"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 xml:space="preserve">Plocha PVC strechy: </w:t>
      </w:r>
      <w:r w:rsidRPr="002679C1">
        <w:rPr>
          <w:rFonts w:ascii="Century Gothic" w:hAnsi="Century Gothic"/>
          <w:sz w:val="22"/>
          <w:szCs w:val="22"/>
        </w:rPr>
        <w:tab/>
        <w:t xml:space="preserve">  </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  5.308 m</w:t>
      </w:r>
      <w:r w:rsidRPr="002679C1">
        <w:rPr>
          <w:rFonts w:ascii="Century Gothic" w:hAnsi="Century Gothic"/>
          <w:sz w:val="22"/>
          <w:szCs w:val="22"/>
          <w:vertAlign w:val="superscript"/>
        </w:rPr>
        <w:t>2</w:t>
      </w:r>
      <w:r w:rsidRPr="002679C1">
        <w:rPr>
          <w:rFonts w:ascii="Century Gothic" w:hAnsi="Century Gothic"/>
          <w:sz w:val="22"/>
          <w:szCs w:val="22"/>
        </w:rPr>
        <w:t xml:space="preserve"> </w:t>
      </w:r>
    </w:p>
    <w:p w14:paraId="453F575C"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Plocha zelenej strechy:</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13.692 m</w:t>
      </w:r>
      <w:r w:rsidRPr="002679C1">
        <w:rPr>
          <w:rFonts w:ascii="Century Gothic" w:hAnsi="Century Gothic"/>
          <w:sz w:val="22"/>
          <w:szCs w:val="22"/>
          <w:vertAlign w:val="superscript"/>
        </w:rPr>
        <w:t>2</w:t>
      </w:r>
      <w:r w:rsidRPr="002679C1">
        <w:rPr>
          <w:rFonts w:ascii="Century Gothic" w:hAnsi="Century Gothic"/>
          <w:sz w:val="22"/>
          <w:szCs w:val="22"/>
        </w:rPr>
        <w:tab/>
      </w:r>
      <w:r w:rsidRPr="002679C1">
        <w:rPr>
          <w:rFonts w:ascii="Century Gothic" w:hAnsi="Century Gothic"/>
          <w:sz w:val="22"/>
          <w:szCs w:val="22"/>
        </w:rPr>
        <w:tab/>
      </w:r>
    </w:p>
    <w:p w14:paraId="2A0745C1" w14:textId="77777777" w:rsidR="00EF45DE" w:rsidRPr="002679C1" w:rsidRDefault="00EF45DE" w:rsidP="00EF45DE">
      <w:pPr>
        <w:suppressAutoHyphens/>
        <w:spacing w:line="240" w:lineRule="auto"/>
        <w:rPr>
          <w:rFonts w:ascii="Century Gothic" w:hAnsi="Century Gothic"/>
          <w:b/>
          <w:bCs/>
          <w:sz w:val="22"/>
          <w:szCs w:val="22"/>
        </w:rPr>
      </w:pPr>
      <w:r w:rsidRPr="002679C1">
        <w:rPr>
          <w:rFonts w:ascii="Century Gothic" w:hAnsi="Century Gothic"/>
          <w:b/>
          <w:bCs/>
          <w:sz w:val="22"/>
          <w:szCs w:val="22"/>
        </w:rPr>
        <w:t>SPOLU:</w:t>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r>
      <w:r w:rsidRPr="002679C1">
        <w:rPr>
          <w:rFonts w:ascii="Century Gothic" w:hAnsi="Century Gothic"/>
          <w:b/>
          <w:bCs/>
          <w:sz w:val="22"/>
          <w:szCs w:val="22"/>
        </w:rPr>
        <w:tab/>
        <w:t>19.000 m</w:t>
      </w:r>
      <w:r w:rsidRPr="002679C1">
        <w:rPr>
          <w:rFonts w:ascii="Century Gothic" w:hAnsi="Century Gothic"/>
          <w:b/>
          <w:bCs/>
          <w:sz w:val="22"/>
          <w:szCs w:val="22"/>
          <w:vertAlign w:val="superscript"/>
        </w:rPr>
        <w:t>2</w:t>
      </w:r>
    </w:p>
    <w:p w14:paraId="740BD514" w14:textId="77777777" w:rsidR="00EF45DE" w:rsidRPr="002679C1" w:rsidRDefault="00EF45DE" w:rsidP="00EF45DE">
      <w:pPr>
        <w:suppressAutoHyphens/>
        <w:spacing w:line="240" w:lineRule="auto"/>
        <w:rPr>
          <w:rFonts w:ascii="Century Gothic" w:hAnsi="Century Gothic"/>
          <w:sz w:val="22"/>
          <w:szCs w:val="22"/>
        </w:rPr>
      </w:pPr>
    </w:p>
    <w:p w14:paraId="04FA438D" w14:textId="77777777" w:rsidR="00EF45DE" w:rsidRPr="002679C1" w:rsidRDefault="00EF45DE" w:rsidP="00EF45DE">
      <w:pPr>
        <w:suppressAutoHyphens/>
        <w:spacing w:line="240" w:lineRule="auto"/>
        <w:rPr>
          <w:rFonts w:ascii="Century Gothic" w:hAnsi="Century Gothic"/>
          <w:b/>
          <w:bCs/>
          <w:sz w:val="22"/>
          <w:szCs w:val="22"/>
        </w:rPr>
      </w:pPr>
      <w:r w:rsidRPr="002679C1">
        <w:rPr>
          <w:rFonts w:ascii="Century Gothic" w:hAnsi="Century Gothic"/>
          <w:b/>
          <w:bCs/>
          <w:sz w:val="22"/>
          <w:szCs w:val="22"/>
        </w:rPr>
        <w:t>Výšky:</w:t>
      </w:r>
    </w:p>
    <w:p w14:paraId="0FFE1F43"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 xml:space="preserve">Výškopisné zameranie pozemku bude napojené na výškopisný systém </w:t>
      </w:r>
      <w:proofErr w:type="spellStart"/>
      <w:r w:rsidRPr="002679C1">
        <w:rPr>
          <w:rFonts w:ascii="Century Gothic" w:hAnsi="Century Gothic"/>
          <w:sz w:val="22"/>
          <w:szCs w:val="22"/>
        </w:rPr>
        <w:t>Balt</w:t>
      </w:r>
      <w:proofErr w:type="spellEnd"/>
      <w:r w:rsidRPr="002679C1">
        <w:rPr>
          <w:rFonts w:ascii="Century Gothic" w:hAnsi="Century Gothic"/>
          <w:sz w:val="22"/>
          <w:szCs w:val="22"/>
        </w:rPr>
        <w:t xml:space="preserve"> po vyrovnaní (BPV).</w:t>
      </w:r>
    </w:p>
    <w:p w14:paraId="2302192B" w14:textId="77777777" w:rsidR="00EF45DE" w:rsidRPr="002679C1" w:rsidRDefault="00EF45DE" w:rsidP="00EF45DE">
      <w:pPr>
        <w:suppressAutoHyphens/>
        <w:spacing w:line="240" w:lineRule="auto"/>
        <w:rPr>
          <w:rFonts w:ascii="Century Gothic" w:hAnsi="Century Gothic"/>
          <w:sz w:val="22"/>
          <w:szCs w:val="22"/>
        </w:rPr>
      </w:pPr>
    </w:p>
    <w:p w14:paraId="228C5992"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 xml:space="preserve">± 0,000 je na podlahe 1.NP a má hodnotu </w:t>
      </w:r>
      <w:r w:rsidRPr="002679C1">
        <w:rPr>
          <w:rFonts w:ascii="Century Gothic" w:hAnsi="Century Gothic"/>
          <w:sz w:val="22"/>
          <w:szCs w:val="22"/>
        </w:rPr>
        <w:tab/>
      </w:r>
      <w:r w:rsidRPr="002679C1">
        <w:rPr>
          <w:rFonts w:ascii="Century Gothic" w:hAnsi="Century Gothic"/>
          <w:b/>
          <w:bCs/>
          <w:sz w:val="22"/>
          <w:szCs w:val="22"/>
        </w:rPr>
        <w:t>357,500 m n. m. BPV</w:t>
      </w:r>
    </w:p>
    <w:p w14:paraId="5369B564" w14:textId="3D32A4AB" w:rsidR="00A877EC" w:rsidRDefault="00A877EC" w:rsidP="00A877EC">
      <w:pPr>
        <w:pStyle w:val="Normlnywebov"/>
        <w:spacing w:before="0" w:beforeAutospacing="0" w:after="0" w:afterAutospacing="0"/>
        <w:rPr>
          <w:rFonts w:ascii="Century Gothic" w:hAnsi="Century Gothic" w:cstheme="minorHAnsi"/>
          <w:b/>
          <w:bCs/>
          <w:sz w:val="22"/>
          <w:szCs w:val="22"/>
        </w:rPr>
      </w:pPr>
    </w:p>
    <w:p w14:paraId="4A4208FD" w14:textId="77777777" w:rsidR="00EF45DE" w:rsidRPr="002679C1" w:rsidRDefault="00EF45DE" w:rsidP="00EF45D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Atika</w:t>
      </w:r>
      <w:proofErr w:type="spellEnd"/>
      <w:r w:rsidRPr="002679C1">
        <w:rPr>
          <w:rFonts w:ascii="Century Gothic" w:hAnsi="Century Gothic"/>
          <w:sz w:val="22"/>
          <w:szCs w:val="22"/>
        </w:rPr>
        <w:t xml:space="preserve"> 6NP: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+22,000 m = 379,500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625FA561" w14:textId="77777777" w:rsidR="00EF45DE" w:rsidRPr="002679C1" w:rsidRDefault="00EF45DE" w:rsidP="00EF45D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Atika</w:t>
      </w:r>
      <w:proofErr w:type="spellEnd"/>
      <w:r w:rsidRPr="002679C1">
        <w:rPr>
          <w:rFonts w:ascii="Century Gothic" w:hAnsi="Century Gothic"/>
          <w:sz w:val="22"/>
          <w:szCs w:val="22"/>
        </w:rPr>
        <w:t xml:space="preserve"> 7NP:</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+25,000 m = 383,000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0A58616B" w14:textId="77777777" w:rsidR="00EF45DE" w:rsidRPr="002679C1" w:rsidRDefault="00EF45DE" w:rsidP="00EF45D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Atika</w:t>
      </w:r>
      <w:proofErr w:type="spellEnd"/>
      <w:r w:rsidRPr="002679C1">
        <w:rPr>
          <w:rFonts w:ascii="Century Gothic" w:hAnsi="Century Gothic"/>
          <w:sz w:val="22"/>
          <w:szCs w:val="22"/>
        </w:rPr>
        <w:t xml:space="preserve"> obslužných výťahov:</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+28,250 m = 385,750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7B9DFDEA" w14:textId="77777777" w:rsidR="00EF45DE" w:rsidRPr="002679C1" w:rsidRDefault="00EF45DE" w:rsidP="00EF45DE">
      <w:pPr>
        <w:suppressAutoHyphens/>
        <w:spacing w:line="240" w:lineRule="auto"/>
        <w:rPr>
          <w:rFonts w:ascii="Century Gothic" w:hAnsi="Century Gothic"/>
          <w:sz w:val="22"/>
          <w:szCs w:val="22"/>
        </w:rPr>
      </w:pPr>
      <w:proofErr w:type="spellStart"/>
      <w:r w:rsidRPr="002679C1">
        <w:rPr>
          <w:rFonts w:ascii="Century Gothic" w:hAnsi="Century Gothic"/>
          <w:sz w:val="22"/>
          <w:szCs w:val="22"/>
        </w:rPr>
        <w:t>Heliport</w:t>
      </w:r>
      <w:proofErr w:type="spellEnd"/>
      <w:r w:rsidRPr="002679C1">
        <w:rPr>
          <w:rFonts w:ascii="Century Gothic" w:hAnsi="Century Gothic"/>
          <w:sz w:val="22"/>
          <w:szCs w:val="22"/>
        </w:rPr>
        <w:t>:</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 xml:space="preserve">+27,025 m = 384,525 </w:t>
      </w:r>
      <w:proofErr w:type="spellStart"/>
      <w:r w:rsidRPr="002679C1">
        <w:rPr>
          <w:rFonts w:ascii="Century Gothic" w:hAnsi="Century Gothic"/>
          <w:sz w:val="22"/>
          <w:szCs w:val="22"/>
        </w:rPr>
        <w:t>m.n.m</w:t>
      </w:r>
      <w:proofErr w:type="spellEnd"/>
      <w:r w:rsidRPr="002679C1">
        <w:rPr>
          <w:rFonts w:ascii="Century Gothic" w:hAnsi="Century Gothic"/>
          <w:sz w:val="22"/>
          <w:szCs w:val="22"/>
        </w:rPr>
        <w:t>.</w:t>
      </w:r>
    </w:p>
    <w:p w14:paraId="7722F51D" w14:textId="77777777" w:rsidR="00EF45DE" w:rsidRPr="002679C1" w:rsidRDefault="00EF45DE" w:rsidP="00EF45DE">
      <w:pPr>
        <w:suppressAutoHyphens/>
        <w:spacing w:line="240" w:lineRule="auto"/>
        <w:rPr>
          <w:rFonts w:ascii="Century Gothic" w:hAnsi="Century Gothic"/>
          <w:sz w:val="22"/>
          <w:szCs w:val="22"/>
        </w:rPr>
      </w:pPr>
    </w:p>
    <w:p w14:paraId="13224429"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Celková plocha pozemku:</w:t>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r>
      <w:r w:rsidRPr="002679C1">
        <w:rPr>
          <w:rFonts w:ascii="Century Gothic" w:hAnsi="Century Gothic"/>
          <w:sz w:val="22"/>
          <w:szCs w:val="22"/>
        </w:rPr>
        <w:tab/>
        <w:t>131.344,27 m</w:t>
      </w:r>
      <w:r w:rsidRPr="002679C1">
        <w:rPr>
          <w:rFonts w:ascii="Century Gothic" w:hAnsi="Century Gothic"/>
          <w:sz w:val="22"/>
          <w:szCs w:val="22"/>
          <w:vertAlign w:val="superscript"/>
        </w:rPr>
        <w:t>2</w:t>
      </w:r>
    </w:p>
    <w:p w14:paraId="249D9EA8" w14:textId="77777777" w:rsidR="00EF45DE" w:rsidRPr="002679C1" w:rsidRDefault="00EF45DE" w:rsidP="00EF45DE">
      <w:pPr>
        <w:suppressAutoHyphens/>
        <w:spacing w:line="240" w:lineRule="auto"/>
        <w:rPr>
          <w:rFonts w:ascii="Century Gothic" w:hAnsi="Century Gothic"/>
          <w:sz w:val="22"/>
          <w:szCs w:val="22"/>
        </w:rPr>
      </w:pPr>
      <w:r w:rsidRPr="002679C1">
        <w:rPr>
          <w:rFonts w:ascii="Century Gothic" w:hAnsi="Century Gothic"/>
          <w:sz w:val="22"/>
          <w:szCs w:val="22"/>
        </w:rPr>
        <w:t xml:space="preserve">Zastavaná plocha novým objektom: </w:t>
      </w:r>
      <w:r w:rsidRPr="002679C1">
        <w:rPr>
          <w:rFonts w:ascii="Century Gothic" w:hAnsi="Century Gothic"/>
          <w:sz w:val="22"/>
          <w:szCs w:val="22"/>
        </w:rPr>
        <w:tab/>
      </w:r>
      <w:r w:rsidRPr="002679C1">
        <w:rPr>
          <w:rFonts w:ascii="Century Gothic" w:hAnsi="Century Gothic"/>
          <w:sz w:val="22"/>
          <w:szCs w:val="22"/>
        </w:rPr>
        <w:tab/>
        <w:t>19.021 m</w:t>
      </w:r>
      <w:r w:rsidRPr="002679C1">
        <w:rPr>
          <w:rFonts w:ascii="Century Gothic" w:hAnsi="Century Gothic"/>
          <w:sz w:val="22"/>
          <w:szCs w:val="22"/>
          <w:vertAlign w:val="superscript"/>
        </w:rPr>
        <w:t>2</w:t>
      </w:r>
    </w:p>
    <w:p w14:paraId="4DDC4AA1" w14:textId="77777777" w:rsidR="00EF45DE" w:rsidRPr="002679C1" w:rsidRDefault="00EF45DE" w:rsidP="00EF45DE">
      <w:pPr>
        <w:suppressAutoHyphens/>
        <w:spacing w:line="240" w:lineRule="auto"/>
        <w:rPr>
          <w:rFonts w:ascii="Century Gothic" w:hAnsi="Century Gothic"/>
          <w:sz w:val="22"/>
          <w:szCs w:val="22"/>
          <w:vertAlign w:val="superscript"/>
        </w:rPr>
      </w:pPr>
    </w:p>
    <w:tbl>
      <w:tblPr>
        <w:tblW w:w="6541" w:type="dxa"/>
        <w:tblCellMar>
          <w:left w:w="70" w:type="dxa"/>
          <w:right w:w="70" w:type="dxa"/>
        </w:tblCellMar>
        <w:tblLook w:val="04A0" w:firstRow="1" w:lastRow="0" w:firstColumn="1" w:lastColumn="0" w:noHBand="0" w:noVBand="1"/>
      </w:tblPr>
      <w:tblGrid>
        <w:gridCol w:w="3686"/>
        <w:gridCol w:w="1643"/>
        <w:gridCol w:w="1212"/>
      </w:tblGrid>
      <w:tr w:rsidR="00EF45DE" w:rsidRPr="002679C1" w14:paraId="7F567232" w14:textId="77777777" w:rsidTr="00D43498">
        <w:trPr>
          <w:trHeight w:val="302"/>
        </w:trPr>
        <w:tc>
          <w:tcPr>
            <w:tcW w:w="3686" w:type="dxa"/>
            <w:tcBorders>
              <w:top w:val="nil"/>
              <w:left w:val="nil"/>
              <w:bottom w:val="nil"/>
              <w:right w:val="nil"/>
            </w:tcBorders>
            <w:shd w:val="clear" w:color="auto" w:fill="auto"/>
            <w:noWrap/>
            <w:vAlign w:val="center"/>
            <w:hideMark/>
          </w:tcPr>
          <w:p w14:paraId="1727D3CA" w14:textId="2753B41B" w:rsidR="00EF45DE" w:rsidRPr="002679C1" w:rsidRDefault="00A81F2E" w:rsidP="00A81F2E">
            <w:pPr>
              <w:spacing w:line="240" w:lineRule="auto"/>
              <w:rPr>
                <w:rFonts w:ascii="Century Gothic" w:hAnsi="Century Gothic" w:cs="Calibri"/>
                <w:color w:val="000000"/>
                <w:sz w:val="22"/>
                <w:szCs w:val="22"/>
              </w:rPr>
            </w:pPr>
            <w:r>
              <w:rPr>
                <w:rFonts w:ascii="Century Gothic" w:hAnsi="Century Gothic" w:cs="Calibri"/>
                <w:color w:val="000000"/>
                <w:sz w:val="22"/>
                <w:szCs w:val="22"/>
              </w:rPr>
              <w:t xml:space="preserve">Celková plocha areálu </w:t>
            </w:r>
            <w:proofErr w:type="spellStart"/>
            <w:r>
              <w:rPr>
                <w:rFonts w:ascii="Century Gothic" w:hAnsi="Century Gothic" w:cs="Calibri"/>
                <w:color w:val="000000"/>
                <w:sz w:val="22"/>
                <w:szCs w:val="22"/>
              </w:rPr>
              <w:t>FNsP</w:t>
            </w:r>
            <w:proofErr w:type="spellEnd"/>
            <w:r>
              <w:rPr>
                <w:rFonts w:ascii="Century Gothic" w:hAnsi="Century Gothic" w:cs="Calibri"/>
                <w:color w:val="000000"/>
                <w:sz w:val="22"/>
                <w:szCs w:val="22"/>
              </w:rPr>
              <w:t xml:space="preserve"> Žilina</w:t>
            </w:r>
          </w:p>
        </w:tc>
        <w:tc>
          <w:tcPr>
            <w:tcW w:w="1643" w:type="dxa"/>
            <w:tcBorders>
              <w:top w:val="nil"/>
              <w:left w:val="nil"/>
              <w:bottom w:val="nil"/>
              <w:right w:val="nil"/>
            </w:tcBorders>
            <w:shd w:val="clear" w:color="auto" w:fill="auto"/>
            <w:noWrap/>
            <w:vAlign w:val="center"/>
            <w:hideMark/>
          </w:tcPr>
          <w:p w14:paraId="6DF4A2EE" w14:textId="77777777" w:rsidR="00EF45DE" w:rsidRPr="002679C1" w:rsidRDefault="00EF45DE" w:rsidP="00D43498">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131 344,27</w:t>
            </w:r>
          </w:p>
        </w:tc>
        <w:tc>
          <w:tcPr>
            <w:tcW w:w="1212" w:type="dxa"/>
            <w:tcBorders>
              <w:top w:val="nil"/>
              <w:left w:val="nil"/>
              <w:bottom w:val="nil"/>
              <w:right w:val="nil"/>
            </w:tcBorders>
            <w:shd w:val="clear" w:color="auto" w:fill="auto"/>
            <w:noWrap/>
            <w:vAlign w:val="bottom"/>
            <w:hideMark/>
          </w:tcPr>
          <w:p w14:paraId="5D1B674A" w14:textId="77777777"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EF45DE" w:rsidRPr="002679C1" w14:paraId="2165D637" w14:textId="77777777" w:rsidTr="00D43498">
        <w:trPr>
          <w:trHeight w:val="302"/>
        </w:trPr>
        <w:tc>
          <w:tcPr>
            <w:tcW w:w="3686" w:type="dxa"/>
            <w:tcBorders>
              <w:top w:val="nil"/>
              <w:left w:val="nil"/>
              <w:bottom w:val="nil"/>
              <w:right w:val="nil"/>
            </w:tcBorders>
            <w:shd w:val="clear" w:color="auto" w:fill="auto"/>
            <w:noWrap/>
            <w:vAlign w:val="center"/>
            <w:hideMark/>
          </w:tcPr>
          <w:p w14:paraId="3267F315" w14:textId="081AEB7B"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 xml:space="preserve">Zastavaná plocha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w:t>
            </w:r>
            <w:r w:rsidR="00A81F2E">
              <w:rPr>
                <w:rFonts w:ascii="Century Gothic" w:hAnsi="Century Gothic" w:cs="Calibri"/>
                <w:color w:val="000000"/>
                <w:sz w:val="22"/>
                <w:szCs w:val="22"/>
              </w:rPr>
              <w:t>Žilina</w:t>
            </w:r>
          </w:p>
        </w:tc>
        <w:tc>
          <w:tcPr>
            <w:tcW w:w="1643" w:type="dxa"/>
            <w:tcBorders>
              <w:top w:val="nil"/>
              <w:left w:val="nil"/>
              <w:bottom w:val="nil"/>
              <w:right w:val="nil"/>
            </w:tcBorders>
            <w:shd w:val="clear" w:color="auto" w:fill="auto"/>
            <w:noWrap/>
            <w:vAlign w:val="center"/>
            <w:hideMark/>
          </w:tcPr>
          <w:p w14:paraId="58E53D7A" w14:textId="77777777" w:rsidR="00EF45DE" w:rsidRPr="002679C1" w:rsidRDefault="00EF45DE" w:rsidP="00D43498">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40 828,44</w:t>
            </w:r>
          </w:p>
        </w:tc>
        <w:tc>
          <w:tcPr>
            <w:tcW w:w="1212" w:type="dxa"/>
            <w:tcBorders>
              <w:top w:val="nil"/>
              <w:left w:val="nil"/>
              <w:bottom w:val="nil"/>
              <w:right w:val="nil"/>
            </w:tcBorders>
            <w:shd w:val="clear" w:color="auto" w:fill="auto"/>
            <w:noWrap/>
            <w:vAlign w:val="bottom"/>
            <w:hideMark/>
          </w:tcPr>
          <w:p w14:paraId="6D744AC8" w14:textId="77777777"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EF45DE" w:rsidRPr="002679C1" w14:paraId="3162A7A2" w14:textId="77777777" w:rsidTr="00D43498">
        <w:trPr>
          <w:trHeight w:val="302"/>
        </w:trPr>
        <w:tc>
          <w:tcPr>
            <w:tcW w:w="3686" w:type="dxa"/>
            <w:tcBorders>
              <w:top w:val="nil"/>
              <w:left w:val="nil"/>
              <w:bottom w:val="nil"/>
              <w:right w:val="nil"/>
            </w:tcBorders>
            <w:shd w:val="clear" w:color="auto" w:fill="auto"/>
            <w:noWrap/>
            <w:vAlign w:val="center"/>
            <w:hideMark/>
          </w:tcPr>
          <w:p w14:paraId="5AD7C3AF" w14:textId="0A0C51D4"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 xml:space="preserve">Spevnené plochy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w:t>
            </w:r>
            <w:r w:rsidR="00A81F2E">
              <w:rPr>
                <w:rFonts w:ascii="Century Gothic" w:hAnsi="Century Gothic" w:cs="Calibri"/>
                <w:color w:val="000000"/>
                <w:sz w:val="22"/>
                <w:szCs w:val="22"/>
              </w:rPr>
              <w:t>Žilina</w:t>
            </w:r>
          </w:p>
        </w:tc>
        <w:tc>
          <w:tcPr>
            <w:tcW w:w="1643" w:type="dxa"/>
            <w:tcBorders>
              <w:top w:val="nil"/>
              <w:left w:val="nil"/>
              <w:bottom w:val="nil"/>
              <w:right w:val="nil"/>
            </w:tcBorders>
            <w:shd w:val="clear" w:color="auto" w:fill="auto"/>
            <w:noWrap/>
            <w:vAlign w:val="center"/>
            <w:hideMark/>
          </w:tcPr>
          <w:p w14:paraId="227B0A43" w14:textId="77777777" w:rsidR="00EF45DE" w:rsidRPr="002679C1" w:rsidRDefault="00EF45DE" w:rsidP="00D43498">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30 094,66</w:t>
            </w:r>
          </w:p>
        </w:tc>
        <w:tc>
          <w:tcPr>
            <w:tcW w:w="1212" w:type="dxa"/>
            <w:tcBorders>
              <w:top w:val="nil"/>
              <w:left w:val="nil"/>
              <w:bottom w:val="nil"/>
              <w:right w:val="nil"/>
            </w:tcBorders>
            <w:shd w:val="clear" w:color="auto" w:fill="auto"/>
            <w:noWrap/>
            <w:vAlign w:val="bottom"/>
            <w:hideMark/>
          </w:tcPr>
          <w:p w14:paraId="65455F37" w14:textId="77777777"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EF45DE" w:rsidRPr="002679C1" w14:paraId="7ECF0E3D" w14:textId="77777777" w:rsidTr="00D43498">
        <w:trPr>
          <w:trHeight w:val="302"/>
        </w:trPr>
        <w:tc>
          <w:tcPr>
            <w:tcW w:w="3686" w:type="dxa"/>
            <w:tcBorders>
              <w:top w:val="nil"/>
              <w:left w:val="nil"/>
              <w:bottom w:val="nil"/>
              <w:right w:val="nil"/>
            </w:tcBorders>
            <w:shd w:val="clear" w:color="auto" w:fill="auto"/>
            <w:noWrap/>
            <w:vAlign w:val="center"/>
            <w:hideMark/>
          </w:tcPr>
          <w:p w14:paraId="30C5C5D9" w14:textId="3ED08BF0"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lastRenderedPageBreak/>
              <w:t xml:space="preserve">Zelené plochy </w:t>
            </w:r>
            <w:proofErr w:type="spellStart"/>
            <w:r w:rsidRPr="002679C1">
              <w:rPr>
                <w:rFonts w:ascii="Century Gothic" w:hAnsi="Century Gothic" w:cs="Calibri"/>
                <w:color w:val="000000"/>
                <w:sz w:val="22"/>
                <w:szCs w:val="22"/>
              </w:rPr>
              <w:t>FNsP</w:t>
            </w:r>
            <w:proofErr w:type="spellEnd"/>
            <w:r w:rsidRPr="002679C1">
              <w:rPr>
                <w:rFonts w:ascii="Century Gothic" w:hAnsi="Century Gothic" w:cs="Calibri"/>
                <w:color w:val="000000"/>
                <w:sz w:val="22"/>
                <w:szCs w:val="22"/>
              </w:rPr>
              <w:t xml:space="preserve"> </w:t>
            </w:r>
            <w:r w:rsidR="00A81F2E">
              <w:rPr>
                <w:rFonts w:ascii="Century Gothic" w:hAnsi="Century Gothic" w:cs="Calibri"/>
                <w:color w:val="000000"/>
                <w:sz w:val="22"/>
                <w:szCs w:val="22"/>
              </w:rPr>
              <w:t>Žilina</w:t>
            </w:r>
          </w:p>
        </w:tc>
        <w:tc>
          <w:tcPr>
            <w:tcW w:w="1643" w:type="dxa"/>
            <w:tcBorders>
              <w:top w:val="nil"/>
              <w:left w:val="nil"/>
              <w:bottom w:val="nil"/>
              <w:right w:val="nil"/>
            </w:tcBorders>
            <w:shd w:val="clear" w:color="auto" w:fill="auto"/>
            <w:noWrap/>
            <w:vAlign w:val="center"/>
            <w:hideMark/>
          </w:tcPr>
          <w:p w14:paraId="2E43E110" w14:textId="77777777" w:rsidR="00EF45DE" w:rsidRPr="002679C1" w:rsidRDefault="00EF45DE" w:rsidP="00D43498">
            <w:pPr>
              <w:spacing w:line="240" w:lineRule="auto"/>
              <w:jc w:val="right"/>
              <w:rPr>
                <w:rFonts w:ascii="Century Gothic" w:hAnsi="Century Gothic" w:cs="Calibri"/>
                <w:color w:val="000000"/>
                <w:sz w:val="22"/>
                <w:szCs w:val="22"/>
              </w:rPr>
            </w:pPr>
            <w:r w:rsidRPr="002679C1">
              <w:rPr>
                <w:rFonts w:ascii="Century Gothic" w:hAnsi="Century Gothic" w:cs="Calibri"/>
                <w:color w:val="000000"/>
                <w:sz w:val="22"/>
                <w:szCs w:val="22"/>
              </w:rPr>
              <w:t>60 421,17</w:t>
            </w:r>
          </w:p>
        </w:tc>
        <w:tc>
          <w:tcPr>
            <w:tcW w:w="1212" w:type="dxa"/>
            <w:tcBorders>
              <w:top w:val="nil"/>
              <w:left w:val="nil"/>
              <w:bottom w:val="nil"/>
              <w:right w:val="nil"/>
            </w:tcBorders>
            <w:shd w:val="clear" w:color="auto" w:fill="auto"/>
            <w:noWrap/>
            <w:vAlign w:val="bottom"/>
            <w:hideMark/>
          </w:tcPr>
          <w:p w14:paraId="7D1DE45F" w14:textId="77777777" w:rsidR="00EF45DE" w:rsidRPr="002679C1" w:rsidRDefault="00EF45DE" w:rsidP="00D43498">
            <w:pPr>
              <w:spacing w:line="240" w:lineRule="auto"/>
              <w:rPr>
                <w:rFonts w:ascii="Century Gothic" w:hAnsi="Century Gothic" w:cs="Calibri"/>
                <w:color w:val="000000"/>
                <w:sz w:val="22"/>
                <w:szCs w:val="22"/>
              </w:rPr>
            </w:pPr>
            <w:r w:rsidRPr="002679C1">
              <w:rPr>
                <w:rFonts w:ascii="Century Gothic" w:hAnsi="Century Gothic" w:cs="Calibri"/>
                <w:color w:val="000000"/>
                <w:sz w:val="22"/>
                <w:szCs w:val="22"/>
              </w:rPr>
              <w:t>m</w:t>
            </w:r>
            <w:r w:rsidRPr="002679C1">
              <w:rPr>
                <w:rFonts w:ascii="Century Gothic" w:hAnsi="Century Gothic" w:cs="Calibri"/>
                <w:color w:val="000000"/>
                <w:sz w:val="22"/>
                <w:szCs w:val="22"/>
                <w:vertAlign w:val="superscript"/>
              </w:rPr>
              <w:t>2</w:t>
            </w:r>
          </w:p>
        </w:tc>
      </w:tr>
      <w:tr w:rsidR="00EF45DE" w:rsidRPr="002679C1" w14:paraId="2B9DDC39" w14:textId="77777777" w:rsidTr="00D43498">
        <w:trPr>
          <w:trHeight w:val="102"/>
        </w:trPr>
        <w:tc>
          <w:tcPr>
            <w:tcW w:w="3686" w:type="dxa"/>
            <w:tcBorders>
              <w:top w:val="nil"/>
              <w:left w:val="nil"/>
              <w:bottom w:val="nil"/>
              <w:right w:val="nil"/>
            </w:tcBorders>
            <w:shd w:val="clear" w:color="auto" w:fill="auto"/>
            <w:noWrap/>
            <w:vAlign w:val="center"/>
            <w:hideMark/>
          </w:tcPr>
          <w:p w14:paraId="68623291" w14:textId="77777777" w:rsidR="00EF45DE" w:rsidRPr="002679C1" w:rsidRDefault="00EF45DE" w:rsidP="00D43498">
            <w:pPr>
              <w:spacing w:line="240" w:lineRule="auto"/>
              <w:rPr>
                <w:rFonts w:ascii="Century Gothic" w:hAnsi="Century Gothic"/>
                <w:sz w:val="22"/>
                <w:szCs w:val="22"/>
              </w:rPr>
            </w:pPr>
          </w:p>
        </w:tc>
        <w:tc>
          <w:tcPr>
            <w:tcW w:w="1643" w:type="dxa"/>
            <w:tcBorders>
              <w:top w:val="nil"/>
              <w:left w:val="nil"/>
              <w:bottom w:val="nil"/>
              <w:right w:val="nil"/>
            </w:tcBorders>
            <w:shd w:val="clear" w:color="auto" w:fill="auto"/>
            <w:noWrap/>
            <w:vAlign w:val="center"/>
            <w:hideMark/>
          </w:tcPr>
          <w:p w14:paraId="1A3AE0FC" w14:textId="77777777" w:rsidR="00EF45DE" w:rsidRPr="002679C1" w:rsidRDefault="00EF45DE" w:rsidP="00D43498">
            <w:pPr>
              <w:spacing w:line="240" w:lineRule="auto"/>
              <w:rPr>
                <w:rFonts w:ascii="Century Gothic" w:hAnsi="Century Gothic"/>
                <w:sz w:val="22"/>
                <w:szCs w:val="22"/>
              </w:rPr>
            </w:pPr>
          </w:p>
        </w:tc>
        <w:tc>
          <w:tcPr>
            <w:tcW w:w="1212" w:type="dxa"/>
            <w:tcBorders>
              <w:top w:val="nil"/>
              <w:left w:val="nil"/>
              <w:bottom w:val="nil"/>
              <w:right w:val="nil"/>
            </w:tcBorders>
            <w:shd w:val="clear" w:color="auto" w:fill="auto"/>
            <w:noWrap/>
            <w:vAlign w:val="bottom"/>
            <w:hideMark/>
          </w:tcPr>
          <w:p w14:paraId="5FD5E422" w14:textId="77777777" w:rsidR="00EF45DE" w:rsidRPr="002679C1" w:rsidRDefault="00EF45DE" w:rsidP="00D43498">
            <w:pPr>
              <w:spacing w:line="240" w:lineRule="auto"/>
              <w:jc w:val="right"/>
              <w:rPr>
                <w:rFonts w:ascii="Century Gothic" w:hAnsi="Century Gothic"/>
                <w:sz w:val="22"/>
                <w:szCs w:val="22"/>
              </w:rPr>
            </w:pPr>
          </w:p>
        </w:tc>
      </w:tr>
      <w:tr w:rsidR="00EF45DE" w:rsidRPr="002679C1" w14:paraId="4A382A30" w14:textId="77777777" w:rsidTr="00D43498">
        <w:trPr>
          <w:trHeight w:val="302"/>
        </w:trPr>
        <w:tc>
          <w:tcPr>
            <w:tcW w:w="3686" w:type="dxa"/>
            <w:tcBorders>
              <w:top w:val="nil"/>
              <w:left w:val="nil"/>
              <w:bottom w:val="nil"/>
              <w:right w:val="nil"/>
            </w:tcBorders>
            <w:shd w:val="clear" w:color="auto" w:fill="auto"/>
            <w:noWrap/>
            <w:vAlign w:val="center"/>
            <w:hideMark/>
          </w:tcPr>
          <w:p w14:paraId="62163173" w14:textId="77777777" w:rsidR="00EF45DE" w:rsidRPr="002679C1" w:rsidRDefault="00EF45DE" w:rsidP="00D43498">
            <w:pPr>
              <w:spacing w:line="240" w:lineRule="auto"/>
              <w:rPr>
                <w:rFonts w:ascii="Century Gothic" w:hAnsi="Century Gothic" w:cs="Calibri"/>
                <w:b/>
                <w:bCs/>
                <w:color w:val="000000"/>
                <w:sz w:val="22"/>
                <w:szCs w:val="22"/>
              </w:rPr>
            </w:pPr>
            <w:r w:rsidRPr="002679C1">
              <w:rPr>
                <w:rFonts w:ascii="Century Gothic" w:hAnsi="Century Gothic" w:cs="Calibri"/>
                <w:b/>
                <w:bCs/>
                <w:color w:val="000000"/>
                <w:sz w:val="22"/>
                <w:szCs w:val="22"/>
              </w:rPr>
              <w:t>Koeficient zelene KZ</w:t>
            </w:r>
          </w:p>
        </w:tc>
        <w:tc>
          <w:tcPr>
            <w:tcW w:w="1643" w:type="dxa"/>
            <w:tcBorders>
              <w:top w:val="nil"/>
              <w:left w:val="nil"/>
              <w:bottom w:val="nil"/>
              <w:right w:val="nil"/>
            </w:tcBorders>
            <w:shd w:val="clear" w:color="auto" w:fill="auto"/>
            <w:noWrap/>
            <w:vAlign w:val="center"/>
            <w:hideMark/>
          </w:tcPr>
          <w:p w14:paraId="0873F235" w14:textId="77777777" w:rsidR="00EF45DE" w:rsidRPr="002679C1" w:rsidRDefault="00EF45DE" w:rsidP="00D43498">
            <w:pPr>
              <w:spacing w:line="240" w:lineRule="auto"/>
              <w:jc w:val="right"/>
              <w:rPr>
                <w:rFonts w:ascii="Century Gothic" w:hAnsi="Century Gothic" w:cs="Calibri"/>
                <w:b/>
                <w:bCs/>
                <w:color w:val="000000"/>
                <w:sz w:val="22"/>
                <w:szCs w:val="22"/>
              </w:rPr>
            </w:pPr>
            <w:r w:rsidRPr="002679C1">
              <w:rPr>
                <w:rFonts w:ascii="Century Gothic" w:hAnsi="Century Gothic" w:cs="Calibri"/>
                <w:b/>
                <w:bCs/>
                <w:color w:val="000000"/>
                <w:sz w:val="22"/>
                <w:szCs w:val="22"/>
              </w:rPr>
              <w:t>0,46</w:t>
            </w:r>
          </w:p>
        </w:tc>
        <w:tc>
          <w:tcPr>
            <w:tcW w:w="1212" w:type="dxa"/>
            <w:tcBorders>
              <w:top w:val="nil"/>
              <w:left w:val="nil"/>
              <w:bottom w:val="nil"/>
              <w:right w:val="nil"/>
            </w:tcBorders>
            <w:shd w:val="clear" w:color="auto" w:fill="auto"/>
            <w:noWrap/>
            <w:vAlign w:val="bottom"/>
            <w:hideMark/>
          </w:tcPr>
          <w:p w14:paraId="631F7E2B" w14:textId="77777777" w:rsidR="00EF45DE" w:rsidRPr="002679C1" w:rsidRDefault="00EF45DE" w:rsidP="00D43498">
            <w:pPr>
              <w:spacing w:line="240" w:lineRule="auto"/>
              <w:jc w:val="right"/>
              <w:rPr>
                <w:rFonts w:ascii="Century Gothic" w:hAnsi="Century Gothic" w:cs="Calibri"/>
                <w:color w:val="000000"/>
                <w:sz w:val="22"/>
                <w:szCs w:val="22"/>
              </w:rPr>
            </w:pPr>
          </w:p>
        </w:tc>
      </w:tr>
    </w:tbl>
    <w:p w14:paraId="67B742DC" w14:textId="77777777" w:rsidR="00EF45DE" w:rsidRPr="002679C1" w:rsidRDefault="00EF45DE" w:rsidP="00EF45DE">
      <w:pPr>
        <w:suppressAutoHyphens/>
        <w:spacing w:line="240" w:lineRule="auto"/>
        <w:rPr>
          <w:rFonts w:ascii="Century Gothic" w:hAnsi="Century Gothic"/>
          <w:sz w:val="22"/>
          <w:szCs w:val="22"/>
        </w:rPr>
      </w:pPr>
    </w:p>
    <w:p w14:paraId="7C8CE070" w14:textId="77777777" w:rsidR="00EF45DE" w:rsidRPr="002679C1" w:rsidRDefault="00EF45DE" w:rsidP="00EF45DE">
      <w:pPr>
        <w:suppressAutoHyphens/>
        <w:spacing w:line="240" w:lineRule="auto"/>
        <w:rPr>
          <w:rFonts w:ascii="Century Gothic" w:hAnsi="Century Gothic"/>
          <w:b/>
          <w:sz w:val="22"/>
          <w:szCs w:val="22"/>
        </w:rPr>
      </w:pPr>
      <w:r w:rsidRPr="002679C1">
        <w:rPr>
          <w:rFonts w:ascii="Century Gothic" w:hAnsi="Century Gothic"/>
          <w:b/>
          <w:sz w:val="22"/>
          <w:szCs w:val="22"/>
        </w:rPr>
        <w:t>Navrhovaný zámer je v súlade s územnoplánovacou dokumentáciou mesta Žilina.</w:t>
      </w:r>
    </w:p>
    <w:p w14:paraId="438B25D1" w14:textId="77777777" w:rsidR="00EF45DE" w:rsidRPr="002679C1" w:rsidRDefault="00EF45DE" w:rsidP="00EF45DE">
      <w:pPr>
        <w:suppressAutoHyphens/>
        <w:spacing w:line="240" w:lineRule="auto"/>
        <w:rPr>
          <w:rFonts w:ascii="Century Gothic" w:hAnsi="Century Gothic"/>
          <w:sz w:val="22"/>
          <w:szCs w:val="22"/>
        </w:rPr>
      </w:pPr>
    </w:p>
    <w:p w14:paraId="4C36A9F4" w14:textId="77777777" w:rsidR="00EF45DE" w:rsidRPr="002679C1" w:rsidRDefault="00EF45DE" w:rsidP="00EF45DE">
      <w:pPr>
        <w:suppressAutoHyphens/>
        <w:spacing w:line="240" w:lineRule="auto"/>
        <w:rPr>
          <w:rFonts w:ascii="Century Gothic" w:hAnsi="Century Gothic"/>
          <w:bCs/>
          <w:sz w:val="22"/>
          <w:szCs w:val="22"/>
        </w:rPr>
      </w:pPr>
      <w:r w:rsidRPr="002679C1">
        <w:rPr>
          <w:rFonts w:ascii="Century Gothic" w:hAnsi="Century Gothic"/>
          <w:bCs/>
          <w:sz w:val="22"/>
          <w:szCs w:val="22"/>
        </w:rPr>
        <w:t>Počet parkovacích miest 1.PP</w:t>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t>399</w:t>
      </w:r>
    </w:p>
    <w:p w14:paraId="6822C61D" w14:textId="77777777" w:rsidR="00EF45DE" w:rsidRPr="002679C1" w:rsidRDefault="00EF45DE" w:rsidP="00EF45DE">
      <w:pPr>
        <w:suppressAutoHyphens/>
        <w:spacing w:line="240" w:lineRule="auto"/>
        <w:rPr>
          <w:rFonts w:ascii="Century Gothic" w:hAnsi="Century Gothic"/>
          <w:bCs/>
          <w:sz w:val="22"/>
          <w:szCs w:val="22"/>
        </w:rPr>
      </w:pPr>
      <w:r w:rsidRPr="002679C1">
        <w:rPr>
          <w:rFonts w:ascii="Century Gothic" w:hAnsi="Century Gothic"/>
          <w:bCs/>
          <w:sz w:val="22"/>
          <w:szCs w:val="22"/>
        </w:rPr>
        <w:t xml:space="preserve">Počet parkovacích miest na teréne - </w:t>
      </w:r>
      <w:proofErr w:type="spellStart"/>
      <w:r w:rsidRPr="002679C1">
        <w:rPr>
          <w:rFonts w:ascii="Century Gothic" w:hAnsi="Century Gothic"/>
          <w:bCs/>
          <w:sz w:val="22"/>
          <w:szCs w:val="22"/>
        </w:rPr>
        <w:t>urgent</w:t>
      </w:r>
      <w:proofErr w:type="spellEnd"/>
      <w:r w:rsidRPr="002679C1">
        <w:rPr>
          <w:rFonts w:ascii="Century Gothic" w:hAnsi="Century Gothic"/>
          <w:bCs/>
          <w:sz w:val="22"/>
          <w:szCs w:val="22"/>
        </w:rPr>
        <w:t>:</w:t>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r>
      <w:r w:rsidRPr="002679C1">
        <w:rPr>
          <w:rFonts w:ascii="Century Gothic" w:hAnsi="Century Gothic"/>
          <w:bCs/>
          <w:sz w:val="22"/>
          <w:szCs w:val="22"/>
        </w:rPr>
        <w:tab/>
        <w:t xml:space="preserve">10 </w:t>
      </w:r>
    </w:p>
    <w:p w14:paraId="19172386" w14:textId="77777777" w:rsidR="00EF45DE" w:rsidRPr="002679C1" w:rsidRDefault="00EF45DE" w:rsidP="00EF45DE">
      <w:pPr>
        <w:suppressAutoHyphens/>
        <w:spacing w:line="240" w:lineRule="auto"/>
        <w:rPr>
          <w:rFonts w:ascii="Century Gothic" w:hAnsi="Century Gothic"/>
          <w:b/>
          <w:sz w:val="22"/>
          <w:szCs w:val="22"/>
        </w:rPr>
      </w:pPr>
      <w:r w:rsidRPr="002679C1">
        <w:rPr>
          <w:rFonts w:ascii="Century Gothic" w:hAnsi="Century Gothic"/>
          <w:b/>
          <w:sz w:val="22"/>
          <w:szCs w:val="22"/>
        </w:rPr>
        <w:t>Počet parkovacích miest spolu:</w:t>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r>
      <w:r w:rsidRPr="002679C1">
        <w:rPr>
          <w:rFonts w:ascii="Century Gothic" w:hAnsi="Century Gothic"/>
          <w:b/>
          <w:sz w:val="22"/>
          <w:szCs w:val="22"/>
        </w:rPr>
        <w:tab/>
        <w:t>408</w:t>
      </w:r>
    </w:p>
    <w:p w14:paraId="27BA8F1E" w14:textId="61BA18E4" w:rsidR="00EF45DE" w:rsidRDefault="00EF45DE" w:rsidP="00EF45DE">
      <w:pPr>
        <w:suppressAutoHyphens/>
        <w:spacing w:line="240" w:lineRule="auto"/>
        <w:rPr>
          <w:rFonts w:ascii="Century Gothic" w:hAnsi="Century Gothic"/>
          <w:bCs/>
          <w:sz w:val="22"/>
          <w:szCs w:val="22"/>
        </w:rPr>
      </w:pPr>
      <w:r w:rsidRPr="002679C1">
        <w:rPr>
          <w:rFonts w:ascii="Century Gothic" w:hAnsi="Century Gothic"/>
          <w:bCs/>
          <w:sz w:val="22"/>
          <w:szCs w:val="22"/>
        </w:rPr>
        <w:t>Počet parkovacích miest vyhradených pre ZŤP z celkového počtu PM:</w:t>
      </w:r>
      <w:r w:rsidRPr="002679C1">
        <w:rPr>
          <w:rFonts w:ascii="Century Gothic" w:hAnsi="Century Gothic"/>
          <w:bCs/>
          <w:sz w:val="22"/>
          <w:szCs w:val="22"/>
        </w:rPr>
        <w:tab/>
        <w:t>60 (14,5%)</w:t>
      </w:r>
    </w:p>
    <w:p w14:paraId="3B59D86E" w14:textId="77777777" w:rsidR="00787A0E" w:rsidRPr="002679C1" w:rsidRDefault="00787A0E" w:rsidP="00EF45DE">
      <w:pPr>
        <w:suppressAutoHyphens/>
        <w:spacing w:line="240" w:lineRule="auto"/>
        <w:rPr>
          <w:rFonts w:ascii="Century Gothic" w:hAnsi="Century Gothic"/>
          <w:sz w:val="22"/>
          <w:szCs w:val="22"/>
        </w:rPr>
      </w:pPr>
    </w:p>
    <w:p w14:paraId="1E9105FE" w14:textId="77777777" w:rsidR="00EF45DE" w:rsidRPr="00EF45DE" w:rsidRDefault="00EF45DE" w:rsidP="00EF45DE">
      <w:pPr>
        <w:suppressAutoHyphens/>
        <w:spacing w:line="240" w:lineRule="auto"/>
        <w:rPr>
          <w:rFonts w:ascii="Century Gothic" w:hAnsi="Century Gothic"/>
          <w:b/>
          <w:sz w:val="22"/>
          <w:szCs w:val="22"/>
        </w:rPr>
      </w:pPr>
      <w:r w:rsidRPr="00EF45DE">
        <w:rPr>
          <w:rFonts w:ascii="Century Gothic" w:hAnsi="Century Gothic"/>
          <w:b/>
          <w:sz w:val="22"/>
          <w:szCs w:val="22"/>
        </w:rPr>
        <w:t>Údaje o kapacite</w:t>
      </w:r>
    </w:p>
    <w:p w14:paraId="3C9FB292" w14:textId="77777777" w:rsidR="00EF45DE" w:rsidRPr="002679C1" w:rsidRDefault="00EF45DE" w:rsidP="007F681B">
      <w:pPr>
        <w:pStyle w:val="Odsekzoznamu"/>
        <w:numPr>
          <w:ilvl w:val="0"/>
          <w:numId w:val="57"/>
        </w:numPr>
        <w:suppressAutoHyphens/>
        <w:spacing w:line="240" w:lineRule="auto"/>
        <w:ind w:hanging="357"/>
        <w:rPr>
          <w:rFonts w:ascii="Century Gothic" w:hAnsi="Century Gothic" w:cs="Arial"/>
          <w:sz w:val="22"/>
          <w:szCs w:val="22"/>
        </w:rPr>
      </w:pPr>
      <w:r w:rsidRPr="002679C1">
        <w:rPr>
          <w:rFonts w:ascii="Century Gothic" w:hAnsi="Century Gothic" w:cs="Arial"/>
          <w:sz w:val="22"/>
          <w:szCs w:val="22"/>
        </w:rPr>
        <w:t>Počet lôžok</w:t>
      </w:r>
      <w:r w:rsidRPr="002679C1">
        <w:rPr>
          <w:rFonts w:ascii="Century Gothic" w:hAnsi="Century Gothic" w:cs="Arial"/>
          <w:sz w:val="22"/>
          <w:szCs w:val="22"/>
        </w:rPr>
        <w:tab/>
      </w:r>
      <w:r w:rsidRPr="002679C1">
        <w:rPr>
          <w:rFonts w:ascii="Century Gothic" w:hAnsi="Century Gothic" w:cs="Arial"/>
          <w:sz w:val="22"/>
          <w:szCs w:val="22"/>
        </w:rPr>
        <w:tab/>
      </w:r>
      <w:r w:rsidRPr="002679C1">
        <w:rPr>
          <w:rFonts w:ascii="Century Gothic" w:hAnsi="Century Gothic" w:cs="Arial"/>
          <w:sz w:val="22"/>
          <w:szCs w:val="22"/>
        </w:rPr>
        <w:tab/>
        <w:t>343 ks</w:t>
      </w:r>
      <w:r w:rsidRPr="002679C1">
        <w:rPr>
          <w:rFonts w:ascii="Century Gothic" w:hAnsi="Century Gothic" w:cs="Arial"/>
          <w:sz w:val="22"/>
          <w:szCs w:val="22"/>
        </w:rPr>
        <w:tab/>
      </w:r>
    </w:p>
    <w:p w14:paraId="559267F3" w14:textId="77777777" w:rsidR="00EF45DE" w:rsidRPr="002679C1" w:rsidRDefault="00EF45DE" w:rsidP="007F681B">
      <w:pPr>
        <w:pStyle w:val="Odsekzoznamu"/>
        <w:numPr>
          <w:ilvl w:val="0"/>
          <w:numId w:val="57"/>
        </w:numPr>
        <w:suppressAutoHyphens/>
        <w:spacing w:line="240" w:lineRule="auto"/>
        <w:ind w:hanging="357"/>
        <w:rPr>
          <w:rFonts w:ascii="Century Gothic" w:hAnsi="Century Gothic" w:cs="Arial"/>
          <w:sz w:val="22"/>
          <w:szCs w:val="22"/>
        </w:rPr>
      </w:pPr>
      <w:r w:rsidRPr="002679C1">
        <w:rPr>
          <w:rFonts w:ascii="Century Gothic" w:hAnsi="Century Gothic" w:cs="Arial"/>
          <w:sz w:val="22"/>
          <w:szCs w:val="22"/>
        </w:rPr>
        <w:t>Operačné sály</w:t>
      </w:r>
      <w:r w:rsidRPr="002679C1">
        <w:rPr>
          <w:rFonts w:ascii="Century Gothic" w:hAnsi="Century Gothic" w:cs="Arial"/>
          <w:sz w:val="22"/>
          <w:szCs w:val="22"/>
        </w:rPr>
        <w:tab/>
      </w:r>
      <w:r w:rsidRPr="002679C1">
        <w:rPr>
          <w:rFonts w:ascii="Century Gothic" w:hAnsi="Century Gothic" w:cs="Arial"/>
          <w:sz w:val="22"/>
          <w:szCs w:val="22"/>
        </w:rPr>
        <w:tab/>
        <w:t>14x operačná sála,</w:t>
      </w:r>
    </w:p>
    <w:p w14:paraId="6CAAB81B" w14:textId="77777777" w:rsidR="00EF45DE" w:rsidRPr="002679C1" w:rsidRDefault="00EF45DE" w:rsidP="00EF45DE">
      <w:pPr>
        <w:pStyle w:val="Odsekzoznamu"/>
        <w:suppressAutoHyphens/>
        <w:spacing w:line="240" w:lineRule="auto"/>
        <w:ind w:left="3544"/>
        <w:rPr>
          <w:rFonts w:ascii="Century Gothic" w:hAnsi="Century Gothic" w:cs="Arial"/>
          <w:sz w:val="22"/>
          <w:szCs w:val="22"/>
        </w:rPr>
      </w:pPr>
      <w:r w:rsidRPr="002679C1">
        <w:rPr>
          <w:rFonts w:ascii="Century Gothic" w:hAnsi="Century Gothic" w:cs="Arial"/>
          <w:sz w:val="22"/>
          <w:szCs w:val="22"/>
        </w:rPr>
        <w:t>1x hybridný operačný sál</w:t>
      </w:r>
      <w:r w:rsidRPr="002679C1">
        <w:rPr>
          <w:rFonts w:ascii="Century Gothic" w:hAnsi="Century Gothic" w:cs="Arial"/>
          <w:sz w:val="22"/>
          <w:szCs w:val="22"/>
        </w:rPr>
        <w:tab/>
        <w:t xml:space="preserve"> </w:t>
      </w:r>
      <w:r w:rsidRPr="002679C1">
        <w:rPr>
          <w:rFonts w:ascii="Century Gothic" w:hAnsi="Century Gothic" w:cs="Arial"/>
          <w:sz w:val="22"/>
          <w:szCs w:val="22"/>
        </w:rPr>
        <w:tab/>
      </w:r>
    </w:p>
    <w:p w14:paraId="6C65D40C" w14:textId="77777777" w:rsidR="00EF45DE" w:rsidRDefault="00EF45DE" w:rsidP="00EF45DE">
      <w:pPr>
        <w:pStyle w:val="Odsekzoznamu"/>
        <w:suppressAutoHyphens/>
        <w:spacing w:line="240" w:lineRule="auto"/>
        <w:ind w:left="2846" w:firstLine="697"/>
        <w:rPr>
          <w:rFonts w:ascii="Century Gothic" w:hAnsi="Century Gothic" w:cs="Arial"/>
          <w:sz w:val="22"/>
          <w:szCs w:val="22"/>
        </w:rPr>
      </w:pPr>
      <w:r w:rsidRPr="002679C1">
        <w:rPr>
          <w:rFonts w:ascii="Century Gothic" w:hAnsi="Century Gothic" w:cs="Arial"/>
          <w:sz w:val="22"/>
          <w:szCs w:val="22"/>
        </w:rPr>
        <w:t>10 x sál na 1 dňovú chirurgiu</w:t>
      </w:r>
      <w:r w:rsidRPr="002679C1">
        <w:rPr>
          <w:rFonts w:ascii="Century Gothic" w:hAnsi="Century Gothic" w:cs="Arial"/>
          <w:sz w:val="22"/>
          <w:szCs w:val="22"/>
        </w:rPr>
        <w:tab/>
        <w:t xml:space="preserve"> </w:t>
      </w:r>
    </w:p>
    <w:p w14:paraId="1984D476" w14:textId="77777777" w:rsidR="00EF45DE" w:rsidRPr="003F63FD" w:rsidRDefault="00EF45DE" w:rsidP="007F681B">
      <w:pPr>
        <w:pStyle w:val="Odsekzoznamu"/>
        <w:numPr>
          <w:ilvl w:val="0"/>
          <w:numId w:val="57"/>
        </w:numPr>
        <w:suppressAutoHyphens/>
        <w:spacing w:line="240" w:lineRule="auto"/>
        <w:ind w:left="714" w:hanging="357"/>
        <w:rPr>
          <w:rFonts w:ascii="Arial Narrow" w:hAnsi="Arial Narrow" w:cs="Arial"/>
          <w:szCs w:val="22"/>
        </w:rPr>
      </w:pPr>
      <w:r w:rsidRPr="00A81F2E">
        <w:rPr>
          <w:rFonts w:ascii="Century Gothic" w:hAnsi="Century Gothic" w:cs="Arial"/>
          <w:sz w:val="22"/>
          <w:szCs w:val="22"/>
        </w:rPr>
        <w:t>JIS vr. ARO</w:t>
      </w:r>
      <w:r w:rsidRPr="003F63FD">
        <w:rPr>
          <w:rFonts w:ascii="Arial Narrow" w:hAnsi="Arial Narrow" w:cs="Arial"/>
          <w:szCs w:val="22"/>
        </w:rPr>
        <w:tab/>
      </w:r>
      <w:r w:rsidRPr="003F63FD">
        <w:rPr>
          <w:rFonts w:ascii="Arial Narrow" w:hAnsi="Arial Narrow" w:cs="Arial"/>
          <w:szCs w:val="22"/>
        </w:rPr>
        <w:tab/>
      </w:r>
      <w:r w:rsidRPr="003F63FD">
        <w:rPr>
          <w:rFonts w:ascii="Arial Narrow" w:hAnsi="Arial Narrow" w:cs="Arial"/>
          <w:szCs w:val="22"/>
        </w:rPr>
        <w:tab/>
      </w:r>
      <w:r w:rsidRPr="00EF45DE">
        <w:rPr>
          <w:rFonts w:ascii="Century Gothic" w:hAnsi="Century Gothic" w:cs="Arial"/>
          <w:sz w:val="22"/>
          <w:szCs w:val="22"/>
        </w:rPr>
        <w:t>60 lôžok</w:t>
      </w:r>
    </w:p>
    <w:p w14:paraId="17D76F56" w14:textId="77777777" w:rsidR="00EF45DE" w:rsidRPr="00A52FA5" w:rsidRDefault="00EF45DE" w:rsidP="007F681B">
      <w:pPr>
        <w:pStyle w:val="Odsekzoznamu"/>
        <w:numPr>
          <w:ilvl w:val="0"/>
          <w:numId w:val="57"/>
        </w:numPr>
        <w:suppressAutoHyphens/>
        <w:spacing w:line="240" w:lineRule="auto"/>
        <w:ind w:hanging="357"/>
        <w:rPr>
          <w:rFonts w:ascii="Century Gothic" w:hAnsi="Century Gothic" w:cs="Arial"/>
          <w:sz w:val="22"/>
          <w:szCs w:val="22"/>
        </w:rPr>
      </w:pPr>
      <w:proofErr w:type="spellStart"/>
      <w:r w:rsidRPr="00A52FA5">
        <w:rPr>
          <w:rFonts w:ascii="Century Gothic" w:hAnsi="Century Gothic" w:cs="Arial"/>
          <w:sz w:val="22"/>
          <w:szCs w:val="22"/>
        </w:rPr>
        <w:t>Urgent</w:t>
      </w:r>
      <w:proofErr w:type="spellEnd"/>
      <w:r w:rsidRPr="00A52FA5">
        <w:rPr>
          <w:rFonts w:ascii="Century Gothic" w:hAnsi="Century Gothic" w:cs="Arial"/>
          <w:sz w:val="22"/>
          <w:szCs w:val="22"/>
        </w:rPr>
        <w:t xml:space="preserve"> 2. typu</w:t>
      </w:r>
    </w:p>
    <w:p w14:paraId="3ED7001F" w14:textId="77777777" w:rsidR="00EF45DE" w:rsidRPr="00A52FA5" w:rsidRDefault="00EF45DE" w:rsidP="007F681B">
      <w:pPr>
        <w:pStyle w:val="Odsekzoznamu"/>
        <w:numPr>
          <w:ilvl w:val="0"/>
          <w:numId w:val="57"/>
        </w:numPr>
        <w:suppressAutoHyphens/>
        <w:spacing w:line="240" w:lineRule="auto"/>
        <w:ind w:hanging="357"/>
        <w:rPr>
          <w:rFonts w:ascii="Century Gothic" w:hAnsi="Century Gothic" w:cs="Arial"/>
          <w:sz w:val="22"/>
          <w:szCs w:val="22"/>
        </w:rPr>
      </w:pPr>
      <w:proofErr w:type="spellStart"/>
      <w:r w:rsidRPr="00A52FA5">
        <w:rPr>
          <w:rFonts w:ascii="Century Gothic" w:hAnsi="Century Gothic" w:cs="Arial"/>
          <w:sz w:val="22"/>
          <w:szCs w:val="22"/>
        </w:rPr>
        <w:t>Heliport</w:t>
      </w:r>
      <w:proofErr w:type="spellEnd"/>
      <w:r w:rsidRPr="00A52FA5">
        <w:rPr>
          <w:rFonts w:ascii="Century Gothic" w:hAnsi="Century Gothic" w:cs="Arial"/>
          <w:sz w:val="22"/>
          <w:szCs w:val="22"/>
        </w:rPr>
        <w:t xml:space="preserve"> HEMS</w:t>
      </w:r>
    </w:p>
    <w:p w14:paraId="5AE40E1C" w14:textId="09DFB498" w:rsidR="001C4816" w:rsidRDefault="001C4816" w:rsidP="00A877EC">
      <w:pPr>
        <w:pStyle w:val="Normlnywebov"/>
        <w:spacing w:before="0" w:beforeAutospacing="0" w:after="0" w:afterAutospacing="0"/>
        <w:rPr>
          <w:rFonts w:ascii="Century Gothic" w:hAnsi="Century Gothic" w:cstheme="minorHAnsi"/>
          <w:b/>
          <w:bCs/>
          <w:sz w:val="22"/>
          <w:szCs w:val="22"/>
        </w:rPr>
      </w:pPr>
    </w:p>
    <w:p w14:paraId="325166F1" w14:textId="43BD7BDD" w:rsidR="00786A20" w:rsidRDefault="00786A20" w:rsidP="00EF45D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61" w:name="_Toc145219980"/>
      <w:r w:rsidRPr="00EF45DE">
        <w:rPr>
          <w:rFonts w:ascii="Century Gothic" w:hAnsi="Century Gothic" w:cs="Calibri Light"/>
          <w:b w:val="0"/>
          <w:bCs w:val="0"/>
          <w:color w:val="365F91" w:themeColor="accent1" w:themeShade="BF"/>
          <w:lang w:eastAsia="en-US"/>
        </w:rPr>
        <w:t>Odhadované investičné náklady</w:t>
      </w:r>
      <w:bookmarkEnd w:id="161"/>
    </w:p>
    <w:p w14:paraId="57459B49" w14:textId="1CED6172" w:rsidR="00EF45DE" w:rsidRDefault="00EF45DE" w:rsidP="00EF45DE">
      <w:pPr>
        <w:rPr>
          <w:lang w:eastAsia="en-US"/>
        </w:rPr>
      </w:pPr>
    </w:p>
    <w:p w14:paraId="0066BD8C" w14:textId="28B71255" w:rsidR="00EF45DE" w:rsidRPr="00EF45DE" w:rsidRDefault="00EF45DE" w:rsidP="00EF45DE">
      <w:pPr>
        <w:spacing w:line="240" w:lineRule="auto"/>
        <w:rPr>
          <w:rFonts w:ascii="Century Gothic" w:hAnsi="Century Gothic"/>
          <w:sz w:val="22"/>
          <w:szCs w:val="22"/>
        </w:rPr>
      </w:pPr>
      <w:r w:rsidRPr="00EF45DE">
        <w:rPr>
          <w:rFonts w:ascii="Century Gothic" w:hAnsi="Century Gothic"/>
          <w:sz w:val="22"/>
          <w:szCs w:val="22"/>
        </w:rPr>
        <w:t xml:space="preserve">Ceny kalkulované na základe platných </w:t>
      </w:r>
      <w:proofErr w:type="spellStart"/>
      <w:r w:rsidRPr="00EF45DE">
        <w:rPr>
          <w:rFonts w:ascii="Century Gothic" w:hAnsi="Century Gothic"/>
          <w:sz w:val="22"/>
          <w:szCs w:val="22"/>
        </w:rPr>
        <w:t>benchmarkov</w:t>
      </w:r>
      <w:proofErr w:type="spellEnd"/>
      <w:r w:rsidRPr="00EF45DE">
        <w:rPr>
          <w:rFonts w:ascii="Century Gothic" w:hAnsi="Century Gothic"/>
          <w:sz w:val="22"/>
          <w:szCs w:val="22"/>
        </w:rPr>
        <w:t xml:space="preserve"> </w:t>
      </w:r>
      <w:r w:rsidR="00BB692D">
        <w:rPr>
          <w:rFonts w:ascii="Century Gothic" w:hAnsi="Century Gothic"/>
          <w:sz w:val="22"/>
          <w:szCs w:val="22"/>
        </w:rPr>
        <w:t>P</w:t>
      </w:r>
      <w:r w:rsidRPr="00EF45DE">
        <w:rPr>
          <w:rFonts w:ascii="Century Gothic" w:hAnsi="Century Gothic"/>
          <w:sz w:val="22"/>
          <w:szCs w:val="22"/>
        </w:rPr>
        <w:t>lánu obnovy a</w:t>
      </w:r>
      <w:r>
        <w:rPr>
          <w:rFonts w:ascii="Century Gothic" w:hAnsi="Century Gothic"/>
          <w:sz w:val="22"/>
          <w:szCs w:val="22"/>
        </w:rPr>
        <w:t> </w:t>
      </w:r>
      <w:r w:rsidRPr="00EF45DE">
        <w:rPr>
          <w:rFonts w:ascii="Century Gothic" w:hAnsi="Century Gothic"/>
          <w:sz w:val="22"/>
          <w:szCs w:val="22"/>
        </w:rPr>
        <w:t>odolnosti</w:t>
      </w:r>
      <w:r>
        <w:rPr>
          <w:rFonts w:ascii="Century Gothic" w:hAnsi="Century Gothic"/>
          <w:sz w:val="22"/>
          <w:szCs w:val="22"/>
        </w:rPr>
        <w:t>.</w:t>
      </w:r>
    </w:p>
    <w:p w14:paraId="59C00EA8" w14:textId="77777777" w:rsidR="00EF45DE" w:rsidRPr="00EF45DE" w:rsidRDefault="00EF45DE" w:rsidP="00EF45DE">
      <w:pPr>
        <w:rPr>
          <w:lang w:eastAsia="en-US"/>
        </w:rPr>
      </w:pPr>
    </w:p>
    <w:p w14:paraId="1BD78DE1" w14:textId="77777777" w:rsidR="006F3186" w:rsidRPr="002679C1" w:rsidRDefault="006F3186" w:rsidP="006F3186">
      <w:pPr>
        <w:spacing w:line="240" w:lineRule="auto"/>
        <w:rPr>
          <w:rFonts w:ascii="Century Gothic" w:hAnsi="Century Gothic"/>
          <w:sz w:val="22"/>
          <w:szCs w:val="22"/>
        </w:rPr>
      </w:pPr>
      <w:r w:rsidRPr="002679C1">
        <w:rPr>
          <w:rFonts w:ascii="Century Gothic" w:hAnsi="Century Gothic"/>
          <w:sz w:val="22"/>
          <w:szCs w:val="22"/>
        </w:rPr>
        <w:t>SHELL and CORE:</w:t>
      </w:r>
    </w:p>
    <w:p w14:paraId="376AAA82" w14:textId="77777777" w:rsidR="006F3186" w:rsidRPr="002679C1" w:rsidRDefault="006F3186" w:rsidP="006F3186">
      <w:pPr>
        <w:spacing w:line="240" w:lineRule="auto"/>
        <w:rPr>
          <w:rFonts w:ascii="Century Gothic" w:hAnsi="Century Gothic"/>
          <w:sz w:val="22"/>
          <w:szCs w:val="22"/>
        </w:rPr>
      </w:pPr>
      <w:r w:rsidRPr="002679C1">
        <w:rPr>
          <w:rFonts w:ascii="Century Gothic" w:hAnsi="Century Gothic"/>
          <w:sz w:val="22"/>
          <w:szCs w:val="22"/>
        </w:rPr>
        <w:t>144 237 674 Eur bez DPH</w:t>
      </w:r>
      <w:r>
        <w:rPr>
          <w:rFonts w:ascii="Century Gothic" w:hAnsi="Century Gothic"/>
          <w:sz w:val="22"/>
          <w:szCs w:val="22"/>
        </w:rPr>
        <w:t xml:space="preserve"> </w:t>
      </w:r>
      <w:r w:rsidRPr="00287442">
        <w:rPr>
          <w:rFonts w:ascii="Century Gothic" w:hAnsi="Century Gothic"/>
          <w:sz w:val="22"/>
          <w:szCs w:val="22"/>
        </w:rPr>
        <w:t>*</w:t>
      </w:r>
    </w:p>
    <w:p w14:paraId="121C18CB" w14:textId="77777777" w:rsidR="006F3186" w:rsidRPr="002679C1" w:rsidRDefault="006F3186" w:rsidP="006F3186">
      <w:pPr>
        <w:spacing w:line="240" w:lineRule="auto"/>
        <w:rPr>
          <w:rFonts w:ascii="Century Gothic" w:hAnsi="Century Gothic"/>
          <w:sz w:val="22"/>
          <w:szCs w:val="22"/>
        </w:rPr>
      </w:pPr>
      <w:r w:rsidRPr="002679C1">
        <w:rPr>
          <w:rFonts w:ascii="Century Gothic" w:hAnsi="Century Gothic"/>
          <w:sz w:val="22"/>
          <w:szCs w:val="22"/>
        </w:rPr>
        <w:t>FULL FIT OUT:</w:t>
      </w:r>
    </w:p>
    <w:p w14:paraId="5AEFD5DF" w14:textId="77777777" w:rsidR="006F3186" w:rsidRPr="002679C1" w:rsidRDefault="006F3186" w:rsidP="006F3186">
      <w:pPr>
        <w:spacing w:line="240" w:lineRule="auto"/>
        <w:rPr>
          <w:rFonts w:ascii="Century Gothic" w:hAnsi="Century Gothic"/>
          <w:sz w:val="22"/>
          <w:szCs w:val="22"/>
        </w:rPr>
      </w:pPr>
      <w:r w:rsidRPr="002679C1">
        <w:rPr>
          <w:rFonts w:ascii="Century Gothic" w:hAnsi="Century Gothic"/>
          <w:sz w:val="22"/>
          <w:szCs w:val="22"/>
        </w:rPr>
        <w:t>211 548 680 Eur bez DPH</w:t>
      </w:r>
      <w:r w:rsidRPr="00287442">
        <w:rPr>
          <w:rFonts w:ascii="Century Gothic" w:hAnsi="Century Gothic"/>
          <w:sz w:val="22"/>
          <w:szCs w:val="22"/>
        </w:rPr>
        <w:t>*</w:t>
      </w:r>
      <w:r w:rsidRPr="002679C1">
        <w:rPr>
          <w:rFonts w:ascii="Century Gothic" w:hAnsi="Century Gothic"/>
          <w:sz w:val="22"/>
          <w:szCs w:val="22"/>
        </w:rPr>
        <w:t xml:space="preserve"> (</w:t>
      </w:r>
      <w:r>
        <w:rPr>
          <w:rFonts w:ascii="Century Gothic" w:hAnsi="Century Gothic"/>
          <w:sz w:val="22"/>
          <w:szCs w:val="22"/>
        </w:rPr>
        <w:t>v</w:t>
      </w:r>
      <w:r w:rsidRPr="002679C1">
        <w:rPr>
          <w:rFonts w:ascii="Century Gothic" w:hAnsi="Century Gothic"/>
          <w:sz w:val="22"/>
          <w:szCs w:val="22"/>
        </w:rPr>
        <w:t>rátane medicínskeho vybavenia, ktoré tvorí cca 25 % ceny)</w:t>
      </w:r>
    </w:p>
    <w:p w14:paraId="3DECB9B5" w14:textId="77777777" w:rsidR="006F3186" w:rsidRPr="002679C1" w:rsidRDefault="006F3186" w:rsidP="006F3186">
      <w:pPr>
        <w:spacing w:line="240" w:lineRule="auto"/>
        <w:rPr>
          <w:rFonts w:ascii="Century Gothic" w:hAnsi="Century Gothic"/>
          <w:sz w:val="22"/>
          <w:szCs w:val="22"/>
        </w:rPr>
      </w:pPr>
      <w:r w:rsidRPr="002679C1">
        <w:rPr>
          <w:rFonts w:ascii="Century Gothic" w:hAnsi="Century Gothic"/>
          <w:sz w:val="22"/>
          <w:szCs w:val="22"/>
        </w:rPr>
        <w:t xml:space="preserve">z toho </w:t>
      </w:r>
    </w:p>
    <w:p w14:paraId="3D9D2B99" w14:textId="77777777" w:rsidR="006F3186" w:rsidRPr="002679C1" w:rsidRDefault="006F3186" w:rsidP="006F3186">
      <w:pPr>
        <w:pStyle w:val="Odsekzoznamu"/>
        <w:numPr>
          <w:ilvl w:val="0"/>
          <w:numId w:val="56"/>
        </w:numPr>
        <w:spacing w:line="240" w:lineRule="auto"/>
        <w:rPr>
          <w:rFonts w:ascii="Century Gothic" w:hAnsi="Century Gothic"/>
          <w:sz w:val="22"/>
          <w:szCs w:val="22"/>
        </w:rPr>
      </w:pPr>
      <w:r w:rsidRPr="002679C1">
        <w:rPr>
          <w:rFonts w:ascii="Century Gothic" w:hAnsi="Century Gothic"/>
          <w:sz w:val="22"/>
          <w:szCs w:val="22"/>
        </w:rPr>
        <w:t>158 661 510 Eur bez DPH (Samotná stavba bez medicínskeho vybavenia)</w:t>
      </w:r>
    </w:p>
    <w:p w14:paraId="519E5410" w14:textId="77777777" w:rsidR="006F3186" w:rsidRDefault="006F3186" w:rsidP="006F3186">
      <w:pPr>
        <w:pStyle w:val="Odsekzoznamu"/>
        <w:numPr>
          <w:ilvl w:val="0"/>
          <w:numId w:val="56"/>
        </w:numPr>
        <w:spacing w:line="240" w:lineRule="auto"/>
        <w:rPr>
          <w:rFonts w:ascii="Century Gothic" w:hAnsi="Century Gothic"/>
          <w:sz w:val="22"/>
          <w:szCs w:val="22"/>
        </w:rPr>
      </w:pPr>
      <w:r w:rsidRPr="002679C1">
        <w:rPr>
          <w:rFonts w:ascii="Century Gothic" w:hAnsi="Century Gothic"/>
          <w:sz w:val="22"/>
          <w:szCs w:val="22"/>
        </w:rPr>
        <w:t>52 887 170 Eur bez DPH (Medicínske vybavenie)</w:t>
      </w:r>
    </w:p>
    <w:p w14:paraId="420BCE97" w14:textId="77777777" w:rsidR="006F3186" w:rsidRDefault="006F3186" w:rsidP="006F3186">
      <w:pPr>
        <w:spacing w:line="240" w:lineRule="auto"/>
        <w:rPr>
          <w:rFonts w:ascii="Century Gothic" w:hAnsi="Century Gothic"/>
          <w:sz w:val="22"/>
          <w:szCs w:val="22"/>
        </w:rPr>
      </w:pPr>
    </w:p>
    <w:p w14:paraId="5A015C75" w14:textId="77777777" w:rsidR="006F3186" w:rsidRPr="00287442" w:rsidRDefault="006F3186" w:rsidP="006F3186">
      <w:pPr>
        <w:spacing w:line="240" w:lineRule="auto"/>
        <w:rPr>
          <w:rFonts w:ascii="Century Gothic" w:hAnsi="Century Gothic"/>
          <w:sz w:val="22"/>
          <w:szCs w:val="22"/>
        </w:rPr>
      </w:pPr>
      <w:r w:rsidRPr="00287442">
        <w:rPr>
          <w:rFonts w:ascii="Century Gothic" w:hAnsi="Century Gothic"/>
          <w:sz w:val="22"/>
          <w:szCs w:val="22"/>
        </w:rPr>
        <w:t xml:space="preserve">*ceny kalkulované podľa upravených </w:t>
      </w:r>
      <w:proofErr w:type="spellStart"/>
      <w:r w:rsidRPr="00287442">
        <w:rPr>
          <w:rFonts w:ascii="Century Gothic" w:hAnsi="Century Gothic"/>
          <w:sz w:val="22"/>
          <w:szCs w:val="22"/>
        </w:rPr>
        <w:t>benchmarkov</w:t>
      </w:r>
      <w:proofErr w:type="spellEnd"/>
      <w:r w:rsidRPr="00287442">
        <w:rPr>
          <w:rFonts w:ascii="Century Gothic" w:hAnsi="Century Gothic"/>
          <w:sz w:val="22"/>
          <w:szCs w:val="22"/>
        </w:rPr>
        <w:t xml:space="preserve"> na lôžko pre plán obnovy po aktualizácii</w:t>
      </w:r>
    </w:p>
    <w:p w14:paraId="33FD3389" w14:textId="77777777" w:rsidR="00A877EC" w:rsidRPr="00A877EC" w:rsidRDefault="00A877EC" w:rsidP="00A877EC">
      <w:pPr>
        <w:spacing w:line="240" w:lineRule="auto"/>
        <w:rPr>
          <w:rFonts w:ascii="Century Gothic" w:hAnsi="Century Gothic"/>
          <w:sz w:val="22"/>
          <w:szCs w:val="22"/>
        </w:rPr>
      </w:pPr>
    </w:p>
    <w:p w14:paraId="20550954" w14:textId="41F91032" w:rsidR="00EF45DE" w:rsidRPr="00947662" w:rsidRDefault="00EF45DE" w:rsidP="00EF45DE">
      <w:pPr>
        <w:spacing w:line="240" w:lineRule="auto"/>
        <w:rPr>
          <w:rFonts w:ascii="Century Gothic" w:hAnsi="Century Gothic"/>
          <w:sz w:val="22"/>
          <w:szCs w:val="22"/>
        </w:rPr>
      </w:pPr>
      <w:r w:rsidRPr="00947662">
        <w:rPr>
          <w:rFonts w:ascii="Century Gothic" w:hAnsi="Century Gothic"/>
          <w:sz w:val="22"/>
          <w:szCs w:val="22"/>
        </w:rPr>
        <w:t xml:space="preserve">CENY KALKULOVANÉ </w:t>
      </w:r>
      <w:r w:rsidR="006F3186" w:rsidRPr="00947662">
        <w:rPr>
          <w:rFonts w:ascii="Century Gothic" w:hAnsi="Century Gothic"/>
          <w:sz w:val="22"/>
          <w:szCs w:val="22"/>
        </w:rPr>
        <w:t xml:space="preserve">INVESTOROM NA ZÁKLADE </w:t>
      </w:r>
      <w:r w:rsidRPr="00947662">
        <w:rPr>
          <w:rFonts w:ascii="Century Gothic" w:hAnsi="Century Gothic"/>
          <w:sz w:val="22"/>
          <w:szCs w:val="22"/>
        </w:rPr>
        <w:t>HODNOTENÍ UHP</w:t>
      </w:r>
    </w:p>
    <w:p w14:paraId="60701C43" w14:textId="434C914D" w:rsidR="006F3186" w:rsidRPr="00947662" w:rsidRDefault="00947662" w:rsidP="006F3186">
      <w:pPr>
        <w:spacing w:line="240" w:lineRule="auto"/>
        <w:rPr>
          <w:rFonts w:ascii="Century Gothic" w:hAnsi="Century Gothic"/>
          <w:sz w:val="22"/>
          <w:szCs w:val="22"/>
        </w:rPr>
      </w:pPr>
      <w:r w:rsidRPr="00947662">
        <w:rPr>
          <w:rFonts w:ascii="Century Gothic" w:hAnsi="Century Gothic"/>
          <w:sz w:val="22"/>
          <w:szCs w:val="22"/>
          <w:shd w:val="clear" w:color="auto" w:fill="FFFFFF"/>
        </w:rPr>
        <w:t xml:space="preserve">207 986 667 </w:t>
      </w:r>
      <w:r w:rsidR="006F3186" w:rsidRPr="00947662">
        <w:rPr>
          <w:rFonts w:ascii="Century Gothic" w:hAnsi="Century Gothic"/>
          <w:sz w:val="22"/>
          <w:szCs w:val="22"/>
        </w:rPr>
        <w:t>Eur bez DPH (vrátane medicínskeho vybavenia, ktoré tvorí cca 25 % ceny)</w:t>
      </w:r>
    </w:p>
    <w:p w14:paraId="47F92B74" w14:textId="77777777" w:rsidR="006F3186" w:rsidRPr="00947662" w:rsidRDefault="006F3186" w:rsidP="006F3186">
      <w:pPr>
        <w:spacing w:line="240" w:lineRule="auto"/>
        <w:rPr>
          <w:rFonts w:ascii="Century Gothic" w:hAnsi="Century Gothic"/>
          <w:sz w:val="22"/>
          <w:szCs w:val="22"/>
        </w:rPr>
      </w:pPr>
      <w:r w:rsidRPr="00947662">
        <w:rPr>
          <w:rFonts w:ascii="Century Gothic" w:hAnsi="Century Gothic"/>
          <w:sz w:val="22"/>
          <w:szCs w:val="22"/>
        </w:rPr>
        <w:t xml:space="preserve">z toho </w:t>
      </w:r>
    </w:p>
    <w:p w14:paraId="3D04D74F" w14:textId="30B60C05" w:rsidR="006F3186" w:rsidRPr="00947662" w:rsidRDefault="00947662" w:rsidP="006F3186">
      <w:pPr>
        <w:pStyle w:val="Odsekzoznamu"/>
        <w:numPr>
          <w:ilvl w:val="0"/>
          <w:numId w:val="56"/>
        </w:numPr>
        <w:spacing w:line="240" w:lineRule="auto"/>
        <w:rPr>
          <w:rFonts w:ascii="Century Gothic" w:hAnsi="Century Gothic"/>
          <w:sz w:val="22"/>
          <w:szCs w:val="22"/>
        </w:rPr>
      </w:pPr>
      <w:r w:rsidRPr="00947662">
        <w:rPr>
          <w:rFonts w:ascii="Century Gothic" w:hAnsi="Century Gothic"/>
          <w:sz w:val="22"/>
          <w:szCs w:val="22"/>
          <w:shd w:val="clear" w:color="auto" w:fill="FFFFFF"/>
        </w:rPr>
        <w:t xml:space="preserve">155 990 000 </w:t>
      </w:r>
      <w:r w:rsidR="006F3186" w:rsidRPr="00947662">
        <w:rPr>
          <w:rFonts w:ascii="Century Gothic" w:hAnsi="Century Gothic"/>
          <w:sz w:val="22"/>
          <w:szCs w:val="22"/>
        </w:rPr>
        <w:t xml:space="preserve">Eur bez DPH (Samotná stavba bez medicínskeho vybavenia)  </w:t>
      </w:r>
    </w:p>
    <w:p w14:paraId="7DC4C730" w14:textId="6CD2CA2B" w:rsidR="006F3186" w:rsidRPr="00947662" w:rsidRDefault="006F3186" w:rsidP="006F3186">
      <w:pPr>
        <w:pStyle w:val="Odsekzoznamu"/>
        <w:numPr>
          <w:ilvl w:val="0"/>
          <w:numId w:val="56"/>
        </w:numPr>
        <w:spacing w:line="240" w:lineRule="auto"/>
        <w:rPr>
          <w:rFonts w:ascii="Century Gothic" w:hAnsi="Century Gothic"/>
          <w:sz w:val="22"/>
          <w:szCs w:val="22"/>
        </w:rPr>
      </w:pPr>
      <w:r w:rsidRPr="00947662">
        <w:rPr>
          <w:rFonts w:ascii="Century Gothic" w:hAnsi="Century Gothic"/>
          <w:sz w:val="22"/>
          <w:szCs w:val="22"/>
        </w:rPr>
        <w:t xml:space="preserve">  </w:t>
      </w:r>
      <w:r w:rsidR="00947662" w:rsidRPr="00947662">
        <w:rPr>
          <w:rFonts w:ascii="Century Gothic" w:hAnsi="Century Gothic"/>
          <w:sz w:val="22"/>
          <w:szCs w:val="22"/>
          <w:shd w:val="clear" w:color="auto" w:fill="FFFFFF"/>
        </w:rPr>
        <w:t xml:space="preserve">51 996 667 </w:t>
      </w:r>
      <w:r w:rsidRPr="00947662">
        <w:rPr>
          <w:rFonts w:ascii="Century Gothic" w:hAnsi="Century Gothic"/>
          <w:sz w:val="22"/>
          <w:szCs w:val="22"/>
        </w:rPr>
        <w:t>Eur bez DPH (Medicínske vybavenie)</w:t>
      </w:r>
    </w:p>
    <w:p w14:paraId="3D7D4DB8" w14:textId="77777777" w:rsidR="00A877EC" w:rsidRPr="00EF45DE" w:rsidRDefault="00A877EC" w:rsidP="00A877EC">
      <w:pPr>
        <w:spacing w:line="240" w:lineRule="auto"/>
        <w:rPr>
          <w:rFonts w:ascii="Century Gothic" w:hAnsi="Century Gothic"/>
          <w:b/>
          <w:sz w:val="22"/>
          <w:szCs w:val="22"/>
        </w:rPr>
      </w:pPr>
    </w:p>
    <w:p w14:paraId="243BC180" w14:textId="49B68CE8" w:rsidR="00EF45DE" w:rsidRPr="00EF45DE" w:rsidRDefault="00EF45DE" w:rsidP="00EF45D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62" w:name="_Toc145219981"/>
      <w:r w:rsidRPr="00EF45DE">
        <w:rPr>
          <w:rFonts w:ascii="Century Gothic" w:hAnsi="Century Gothic" w:cs="Calibri Light"/>
          <w:b w:val="0"/>
          <w:bCs w:val="0"/>
          <w:color w:val="365F91" w:themeColor="accent1" w:themeShade="BF"/>
          <w:lang w:eastAsia="en-US"/>
        </w:rPr>
        <w:t>Zrealizované časti a výstupy v rámci predpr</w:t>
      </w:r>
      <w:r w:rsidR="00ED44DA">
        <w:rPr>
          <w:rFonts w:ascii="Century Gothic" w:hAnsi="Century Gothic" w:cs="Calibri Light"/>
          <w:b w:val="0"/>
          <w:bCs w:val="0"/>
          <w:color w:val="365F91" w:themeColor="accent1" w:themeShade="BF"/>
          <w:lang w:eastAsia="en-US"/>
        </w:rPr>
        <w:t>o</w:t>
      </w:r>
      <w:r w:rsidRPr="00EF45DE">
        <w:rPr>
          <w:rFonts w:ascii="Century Gothic" w:hAnsi="Century Gothic" w:cs="Calibri Light"/>
          <w:b w:val="0"/>
          <w:bCs w:val="0"/>
          <w:color w:val="365F91" w:themeColor="accent1" w:themeShade="BF"/>
          <w:lang w:eastAsia="en-US"/>
        </w:rPr>
        <w:t>jektovej a projektovej prípravy</w:t>
      </w:r>
      <w:bookmarkEnd w:id="162"/>
    </w:p>
    <w:p w14:paraId="1FB0624D" w14:textId="77777777" w:rsidR="00EF45DE" w:rsidRPr="00A877EC" w:rsidRDefault="00EF45DE" w:rsidP="00A877EC">
      <w:pPr>
        <w:pStyle w:val="Normlnywebov"/>
        <w:spacing w:before="0" w:beforeAutospacing="0" w:after="0" w:afterAutospacing="0"/>
        <w:rPr>
          <w:rFonts w:ascii="Century Gothic" w:hAnsi="Century Gothic" w:cstheme="minorHAnsi"/>
          <w:b/>
          <w:bCs/>
          <w:sz w:val="22"/>
          <w:szCs w:val="22"/>
        </w:rPr>
      </w:pPr>
    </w:p>
    <w:p w14:paraId="45C1F7F7"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Štúdia dopravného napojenia</w:t>
      </w:r>
    </w:p>
    <w:p w14:paraId="3D52A53C"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Kapacitný model nového pavilónu</w:t>
      </w:r>
    </w:p>
    <w:p w14:paraId="2699B4DB"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 xml:space="preserve">VO na dodávateľa/realizátora procesu EIA – realizované </w:t>
      </w:r>
    </w:p>
    <w:p w14:paraId="71BC0907"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VO na realizátora procesu VO – realizované</w:t>
      </w:r>
    </w:p>
    <w:p w14:paraId="55B338B8"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VO na IG prieskum - realizované</w:t>
      </w:r>
    </w:p>
    <w:p w14:paraId="5793C954"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VO na štúdiu realizovateľnosti – realizované</w:t>
      </w:r>
    </w:p>
    <w:p w14:paraId="5B9F773A"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lastRenderedPageBreak/>
        <w:t>Dendrologický posudok - realizovaný</w:t>
      </w:r>
    </w:p>
    <w:p w14:paraId="0FADD280"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 xml:space="preserve">Výškopisné </w:t>
      </w:r>
      <w:proofErr w:type="spellStart"/>
      <w:r w:rsidRPr="00A877EC">
        <w:rPr>
          <w:rFonts w:ascii="Century Gothic" w:hAnsi="Century Gothic" w:cstheme="minorHAnsi"/>
          <w:iCs/>
          <w:sz w:val="22"/>
          <w:szCs w:val="22"/>
        </w:rPr>
        <w:t>polohohopisné</w:t>
      </w:r>
      <w:proofErr w:type="spellEnd"/>
      <w:r w:rsidRPr="00A877EC">
        <w:rPr>
          <w:rFonts w:ascii="Century Gothic" w:hAnsi="Century Gothic" w:cstheme="minorHAnsi"/>
          <w:iCs/>
          <w:sz w:val="22"/>
          <w:szCs w:val="22"/>
        </w:rPr>
        <w:t xml:space="preserve"> zameranie areálu vrátane </w:t>
      </w:r>
      <w:proofErr w:type="spellStart"/>
      <w:r w:rsidRPr="00A877EC">
        <w:rPr>
          <w:rFonts w:ascii="Century Gothic" w:hAnsi="Century Gothic" w:cstheme="minorHAnsi"/>
          <w:iCs/>
          <w:sz w:val="22"/>
          <w:szCs w:val="22"/>
        </w:rPr>
        <w:t>inž</w:t>
      </w:r>
      <w:proofErr w:type="spellEnd"/>
      <w:r w:rsidRPr="00A877EC">
        <w:rPr>
          <w:rFonts w:ascii="Century Gothic" w:hAnsi="Century Gothic" w:cstheme="minorHAnsi"/>
          <w:iCs/>
          <w:sz w:val="22"/>
          <w:szCs w:val="22"/>
        </w:rPr>
        <w:t>. sietí – realizované</w:t>
      </w:r>
    </w:p>
    <w:p w14:paraId="1A713798"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Potvrdenie bodov napojenia na vodovod, kanalizáciu a el. energiu – realizované</w:t>
      </w:r>
    </w:p>
    <w:p w14:paraId="046E7373"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Dokumentácia na územné rozhodnutie – realizované</w:t>
      </w:r>
    </w:p>
    <w:p w14:paraId="1C4FC338"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Hodnotenie vplyvov na životné prostredie – v procese</w:t>
      </w:r>
    </w:p>
    <w:p w14:paraId="3B00F6EA"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Dokumentácia stavebného zámeru verejnej práce – v procese</w:t>
      </w:r>
    </w:p>
    <w:p w14:paraId="2F0D31FF"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Jednoduché pozemkové úpravy/</w:t>
      </w:r>
      <w:proofErr w:type="spellStart"/>
      <w:r w:rsidRPr="00A877EC">
        <w:rPr>
          <w:rFonts w:ascii="Century Gothic" w:hAnsi="Century Gothic" w:cstheme="minorHAnsi"/>
          <w:iCs/>
          <w:sz w:val="22"/>
          <w:szCs w:val="22"/>
        </w:rPr>
        <w:t>majetkoprávne</w:t>
      </w:r>
      <w:proofErr w:type="spellEnd"/>
      <w:r w:rsidRPr="00A877EC">
        <w:rPr>
          <w:rFonts w:ascii="Century Gothic" w:hAnsi="Century Gothic" w:cstheme="minorHAnsi"/>
          <w:iCs/>
          <w:sz w:val="22"/>
          <w:szCs w:val="22"/>
        </w:rPr>
        <w:t xml:space="preserve"> vysporiadanie pozemkov – v procese</w:t>
      </w:r>
    </w:p>
    <w:p w14:paraId="2843C5F3"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Štúdia realizovateľnosti – v procese</w:t>
      </w:r>
    </w:p>
    <w:p w14:paraId="4B0DCB9A"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Územné konanie – Dokumentácia na územné rozhodnutie predložená na dotknuté orgány štátnej a verejnej správy – zbierame postupne vyjadrenia dotknutých orgánov</w:t>
      </w:r>
    </w:p>
    <w:p w14:paraId="6B48A1FE" w14:textId="77777777" w:rsidR="00786A20" w:rsidRPr="00A877EC" w:rsidRDefault="00786A20" w:rsidP="007F681B">
      <w:pPr>
        <w:pStyle w:val="Normlnywebov"/>
        <w:numPr>
          <w:ilvl w:val="0"/>
          <w:numId w:val="53"/>
        </w:numPr>
        <w:suppressAutoHyphens/>
        <w:autoSpaceDN w:val="0"/>
        <w:spacing w:before="0" w:beforeAutospacing="0" w:after="0" w:afterAutospacing="0"/>
        <w:textAlignment w:val="baseline"/>
        <w:rPr>
          <w:rFonts w:ascii="Century Gothic" w:hAnsi="Century Gothic" w:cstheme="minorHAnsi"/>
          <w:iCs/>
          <w:sz w:val="22"/>
          <w:szCs w:val="22"/>
        </w:rPr>
      </w:pPr>
      <w:r w:rsidRPr="00A877EC">
        <w:rPr>
          <w:rFonts w:ascii="Century Gothic" w:hAnsi="Century Gothic" w:cstheme="minorHAnsi"/>
          <w:iCs/>
          <w:sz w:val="22"/>
          <w:szCs w:val="22"/>
        </w:rPr>
        <w:t>Príprava podkladov na verejné obstarávanie – v procese</w:t>
      </w:r>
    </w:p>
    <w:p w14:paraId="5C7B7F50" w14:textId="77777777" w:rsidR="00786A20" w:rsidRPr="00A877EC" w:rsidRDefault="00786A20" w:rsidP="00A877EC">
      <w:pPr>
        <w:pStyle w:val="Normlnywebov"/>
        <w:spacing w:before="0" w:beforeAutospacing="0" w:after="0" w:afterAutospacing="0"/>
        <w:ind w:left="720"/>
        <w:rPr>
          <w:rFonts w:ascii="Century Gothic" w:hAnsi="Century Gothic" w:cstheme="minorHAnsi"/>
          <w:i/>
          <w:iCs/>
          <w:sz w:val="22"/>
          <w:szCs w:val="22"/>
        </w:rPr>
      </w:pPr>
    </w:p>
    <w:p w14:paraId="08D00B97" w14:textId="709A3EE4" w:rsidR="00786A20" w:rsidRDefault="00EF45DE" w:rsidP="00EF45DE">
      <w:pPr>
        <w:pStyle w:val="Nadpis2"/>
        <w:numPr>
          <w:ilvl w:val="1"/>
          <w:numId w:val="1"/>
        </w:numPr>
        <w:tabs>
          <w:tab w:val="clear" w:pos="567"/>
          <w:tab w:val="left" w:pos="1134"/>
          <w:tab w:val="left" w:pos="1276"/>
        </w:tabs>
        <w:spacing w:before="40" w:line="259" w:lineRule="auto"/>
        <w:ind w:hanging="207"/>
        <w:jc w:val="left"/>
        <w:rPr>
          <w:rFonts w:ascii="Century Gothic" w:hAnsi="Century Gothic" w:cs="Calibri Light"/>
          <w:b w:val="0"/>
          <w:bCs w:val="0"/>
          <w:color w:val="365F91" w:themeColor="accent1" w:themeShade="BF"/>
          <w:lang w:eastAsia="en-US"/>
        </w:rPr>
      </w:pPr>
      <w:bookmarkStart w:id="163" w:name="_Toc145219982"/>
      <w:r>
        <w:rPr>
          <w:rFonts w:ascii="Century Gothic" w:hAnsi="Century Gothic" w:cs="Calibri Light"/>
          <w:b w:val="0"/>
          <w:bCs w:val="0"/>
          <w:color w:val="365F91" w:themeColor="accent1" w:themeShade="BF"/>
          <w:lang w:eastAsia="en-US"/>
        </w:rPr>
        <w:t>Časový harmonogram</w:t>
      </w:r>
      <w:bookmarkEnd w:id="163"/>
    </w:p>
    <w:p w14:paraId="686B9DB2" w14:textId="77777777" w:rsidR="00EF45DE" w:rsidRPr="00EF45DE" w:rsidRDefault="00EF45DE" w:rsidP="00EF45DE">
      <w:pPr>
        <w:rPr>
          <w:lang w:eastAsia="en-US"/>
        </w:rPr>
      </w:pPr>
    </w:p>
    <w:p w14:paraId="6BE1EC70" w14:textId="5F14275D"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01-12/2022</w:t>
      </w:r>
      <w:r w:rsidR="00ED44DA">
        <w:rPr>
          <w:rFonts w:ascii="Century Gothic" w:hAnsi="Century Gothic" w:cs="Arial"/>
          <w:sz w:val="22"/>
          <w:szCs w:val="22"/>
        </w:rPr>
        <w:t xml:space="preserve">: </w:t>
      </w:r>
      <w:r w:rsidRPr="00A877EC">
        <w:rPr>
          <w:rFonts w:ascii="Century Gothic" w:hAnsi="Century Gothic" w:cs="Arial"/>
          <w:sz w:val="22"/>
          <w:szCs w:val="22"/>
        </w:rPr>
        <w:t>IG prieskum. geodetické zameranie, prípravné práce, medicínsky model</w:t>
      </w:r>
    </w:p>
    <w:p w14:paraId="553884F7" w14:textId="228826CF" w:rsidR="00786A20" w:rsidRPr="00A877EC" w:rsidRDefault="00ED44DA"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 xml:space="preserve">12/2022 – 05/2023: </w:t>
      </w:r>
      <w:r w:rsidR="00786A20" w:rsidRPr="00A877EC">
        <w:rPr>
          <w:rFonts w:ascii="Century Gothic" w:hAnsi="Century Gothic" w:cs="Arial"/>
          <w:sz w:val="22"/>
          <w:szCs w:val="22"/>
        </w:rPr>
        <w:t>Dokumentácia na územné rozhodnutie</w:t>
      </w:r>
    </w:p>
    <w:p w14:paraId="7451D05E" w14:textId="329F0E0B"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03-06/</w:t>
      </w:r>
      <w:r w:rsidR="00ED44DA">
        <w:rPr>
          <w:rFonts w:ascii="Century Gothic" w:hAnsi="Century Gothic" w:cs="Arial"/>
          <w:sz w:val="22"/>
          <w:szCs w:val="22"/>
        </w:rPr>
        <w:t xml:space="preserve">2023: Štúdia realizovateľnosti </w:t>
      </w:r>
      <w:r w:rsidRPr="00A877EC">
        <w:rPr>
          <w:rFonts w:ascii="Century Gothic" w:hAnsi="Century Gothic" w:cs="Arial"/>
          <w:sz w:val="22"/>
          <w:szCs w:val="22"/>
        </w:rPr>
        <w:t>– hodnotenie UHP</w:t>
      </w:r>
    </w:p>
    <w:p w14:paraId="01B3A1C9" w14:textId="73EC8667" w:rsidR="00786A20" w:rsidRPr="00A877EC" w:rsidRDefault="00ED44DA"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06/2023-0</w:t>
      </w:r>
      <w:r w:rsidR="00787A0E">
        <w:rPr>
          <w:rFonts w:ascii="Century Gothic" w:hAnsi="Century Gothic" w:cs="Arial"/>
          <w:sz w:val="22"/>
          <w:szCs w:val="22"/>
        </w:rPr>
        <w:t>9</w:t>
      </w:r>
      <w:r>
        <w:rPr>
          <w:rFonts w:ascii="Century Gothic" w:hAnsi="Century Gothic" w:cs="Arial"/>
          <w:sz w:val="22"/>
          <w:szCs w:val="22"/>
        </w:rPr>
        <w:t>/2023:</w:t>
      </w:r>
      <w:r w:rsidR="00786A20" w:rsidRPr="00A877EC">
        <w:rPr>
          <w:rFonts w:ascii="Century Gothic" w:hAnsi="Century Gothic" w:cs="Arial"/>
          <w:sz w:val="22"/>
          <w:szCs w:val="22"/>
        </w:rPr>
        <w:t xml:space="preserve"> Dokumentácia stavebného zámeru verejnej práce</w:t>
      </w:r>
    </w:p>
    <w:p w14:paraId="63524467" w14:textId="53ED1D52"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12/2022 – 0</w:t>
      </w:r>
      <w:r w:rsidR="00787A0E">
        <w:rPr>
          <w:rFonts w:ascii="Century Gothic" w:hAnsi="Century Gothic" w:cs="Arial"/>
          <w:sz w:val="22"/>
          <w:szCs w:val="22"/>
        </w:rPr>
        <w:t>9</w:t>
      </w:r>
      <w:r w:rsidRPr="00A877EC">
        <w:rPr>
          <w:rFonts w:ascii="Century Gothic" w:hAnsi="Century Gothic" w:cs="Arial"/>
          <w:sz w:val="22"/>
          <w:szCs w:val="22"/>
        </w:rPr>
        <w:t>/2023</w:t>
      </w:r>
      <w:r w:rsidR="00ED44DA">
        <w:rPr>
          <w:rFonts w:ascii="Century Gothic" w:hAnsi="Century Gothic" w:cs="Arial"/>
          <w:sz w:val="22"/>
          <w:szCs w:val="22"/>
        </w:rPr>
        <w:t xml:space="preserve">: </w:t>
      </w:r>
      <w:r w:rsidRPr="00A877EC">
        <w:rPr>
          <w:rFonts w:ascii="Century Gothic" w:hAnsi="Century Gothic" w:cs="Arial"/>
          <w:sz w:val="22"/>
          <w:szCs w:val="22"/>
        </w:rPr>
        <w:t>Hodnotenie vplyvov na životné prostredie</w:t>
      </w:r>
    </w:p>
    <w:p w14:paraId="66171FF3" w14:textId="4A8AAF07" w:rsidR="00786A20" w:rsidRPr="00A877EC" w:rsidRDefault="00786A20"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sidRPr="00A877EC">
        <w:rPr>
          <w:rFonts w:ascii="Century Gothic" w:hAnsi="Century Gothic" w:cs="Arial"/>
          <w:sz w:val="22"/>
          <w:szCs w:val="22"/>
        </w:rPr>
        <w:t xml:space="preserve">08/2023 – </w:t>
      </w:r>
      <w:r w:rsidR="00787A0E">
        <w:rPr>
          <w:rFonts w:ascii="Century Gothic" w:hAnsi="Century Gothic" w:cs="Arial"/>
          <w:sz w:val="22"/>
          <w:szCs w:val="22"/>
        </w:rPr>
        <w:t>11</w:t>
      </w:r>
      <w:r w:rsidRPr="00A877EC">
        <w:rPr>
          <w:rFonts w:ascii="Century Gothic" w:hAnsi="Century Gothic" w:cs="Arial"/>
          <w:sz w:val="22"/>
          <w:szCs w:val="22"/>
        </w:rPr>
        <w:t>/2</w:t>
      </w:r>
      <w:r w:rsidR="00ED44DA">
        <w:rPr>
          <w:rFonts w:ascii="Century Gothic" w:hAnsi="Century Gothic" w:cs="Arial"/>
          <w:sz w:val="22"/>
          <w:szCs w:val="22"/>
        </w:rPr>
        <w:t>023:</w:t>
      </w:r>
      <w:r w:rsidRPr="00A877EC">
        <w:rPr>
          <w:rFonts w:ascii="Century Gothic" w:hAnsi="Century Gothic" w:cs="Arial"/>
          <w:sz w:val="22"/>
          <w:szCs w:val="22"/>
        </w:rPr>
        <w:t xml:space="preserve"> Štátna expertíza</w:t>
      </w:r>
    </w:p>
    <w:p w14:paraId="203199C7" w14:textId="781530C8" w:rsidR="00786A20" w:rsidRPr="00ED44DA" w:rsidRDefault="00ED44DA" w:rsidP="00ED44DA">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05-</w:t>
      </w:r>
      <w:r w:rsidR="00787A0E">
        <w:rPr>
          <w:rFonts w:ascii="Century Gothic" w:hAnsi="Century Gothic" w:cs="Arial"/>
          <w:sz w:val="22"/>
          <w:szCs w:val="22"/>
        </w:rPr>
        <w:t>11</w:t>
      </w:r>
      <w:r>
        <w:rPr>
          <w:rFonts w:ascii="Century Gothic" w:hAnsi="Century Gothic" w:cs="Arial"/>
          <w:sz w:val="22"/>
          <w:szCs w:val="22"/>
        </w:rPr>
        <w:t>/202</w:t>
      </w:r>
      <w:r w:rsidR="00787A0E">
        <w:rPr>
          <w:rFonts w:ascii="Century Gothic" w:hAnsi="Century Gothic" w:cs="Arial"/>
          <w:sz w:val="22"/>
          <w:szCs w:val="22"/>
        </w:rPr>
        <w:t>3</w:t>
      </w:r>
      <w:r>
        <w:rPr>
          <w:rFonts w:ascii="Century Gothic" w:hAnsi="Century Gothic" w:cs="Arial"/>
          <w:sz w:val="22"/>
          <w:szCs w:val="22"/>
        </w:rPr>
        <w:t>:</w:t>
      </w:r>
      <w:r w:rsidR="00786A20" w:rsidRPr="00ED44DA">
        <w:rPr>
          <w:rFonts w:ascii="Century Gothic" w:hAnsi="Century Gothic" w:cs="Arial"/>
          <w:sz w:val="22"/>
          <w:szCs w:val="22"/>
        </w:rPr>
        <w:t xml:space="preserve"> Príprava zadania na VO na žltý FIDIC</w:t>
      </w:r>
    </w:p>
    <w:p w14:paraId="29E51B5F" w14:textId="7DDDB8E8" w:rsidR="00786A20" w:rsidRPr="00A877EC" w:rsidRDefault="00787A0E"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12</w:t>
      </w:r>
      <w:r w:rsidR="00ED44DA">
        <w:rPr>
          <w:rFonts w:ascii="Century Gothic" w:hAnsi="Century Gothic" w:cs="Arial"/>
          <w:sz w:val="22"/>
          <w:szCs w:val="22"/>
        </w:rPr>
        <w:t>/2023-</w:t>
      </w:r>
      <w:r>
        <w:rPr>
          <w:rFonts w:ascii="Century Gothic" w:hAnsi="Century Gothic" w:cs="Arial"/>
          <w:sz w:val="22"/>
          <w:szCs w:val="22"/>
        </w:rPr>
        <w:t>03</w:t>
      </w:r>
      <w:r w:rsidR="00ED44DA">
        <w:rPr>
          <w:rFonts w:ascii="Century Gothic" w:hAnsi="Century Gothic" w:cs="Arial"/>
          <w:sz w:val="22"/>
          <w:szCs w:val="22"/>
        </w:rPr>
        <w:t>/202</w:t>
      </w:r>
      <w:r>
        <w:rPr>
          <w:rFonts w:ascii="Century Gothic" w:hAnsi="Century Gothic" w:cs="Arial"/>
          <w:sz w:val="22"/>
          <w:szCs w:val="22"/>
        </w:rPr>
        <w:t>4</w:t>
      </w:r>
      <w:r w:rsidR="00ED44DA">
        <w:rPr>
          <w:rFonts w:ascii="Century Gothic" w:hAnsi="Century Gothic" w:cs="Arial"/>
          <w:sz w:val="22"/>
          <w:szCs w:val="22"/>
        </w:rPr>
        <w:t>:</w:t>
      </w:r>
      <w:r w:rsidR="00786A20" w:rsidRPr="00A877EC">
        <w:rPr>
          <w:rFonts w:ascii="Century Gothic" w:hAnsi="Century Gothic" w:cs="Arial"/>
          <w:sz w:val="22"/>
          <w:szCs w:val="22"/>
        </w:rPr>
        <w:t xml:space="preserve"> VO na dodávateľa žltý FIDIC</w:t>
      </w:r>
    </w:p>
    <w:p w14:paraId="5557C834" w14:textId="5F81C727" w:rsidR="00786A20" w:rsidRPr="00A877EC" w:rsidRDefault="00ED44DA"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0</w:t>
      </w:r>
      <w:r w:rsidR="00787A0E">
        <w:rPr>
          <w:rFonts w:ascii="Century Gothic" w:hAnsi="Century Gothic" w:cs="Arial"/>
          <w:sz w:val="22"/>
          <w:szCs w:val="22"/>
        </w:rPr>
        <w:t>4/</w:t>
      </w:r>
      <w:r>
        <w:rPr>
          <w:rFonts w:ascii="Century Gothic" w:hAnsi="Century Gothic" w:cs="Arial"/>
          <w:sz w:val="22"/>
          <w:szCs w:val="22"/>
        </w:rPr>
        <w:t>2024:</w:t>
      </w:r>
      <w:r w:rsidR="00786A20" w:rsidRPr="00A877EC">
        <w:rPr>
          <w:rFonts w:ascii="Century Gothic" w:hAnsi="Century Gothic" w:cs="Arial"/>
          <w:sz w:val="22"/>
          <w:szCs w:val="22"/>
        </w:rPr>
        <w:t xml:space="preserve"> Podpis zmluvy s dodávateľom stavby a projektovej dokumentácie</w:t>
      </w:r>
    </w:p>
    <w:p w14:paraId="23A851AD" w14:textId="716D2AD4" w:rsidR="00786A20" w:rsidRPr="00A877EC" w:rsidRDefault="00ED44DA"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05-12/2023:</w:t>
      </w:r>
      <w:r w:rsidR="00786A20" w:rsidRPr="00A877EC">
        <w:rPr>
          <w:rFonts w:ascii="Century Gothic" w:hAnsi="Century Gothic" w:cs="Arial"/>
          <w:sz w:val="22"/>
          <w:szCs w:val="22"/>
        </w:rPr>
        <w:t xml:space="preserve"> Získanie územného rozhodnutia </w:t>
      </w:r>
    </w:p>
    <w:p w14:paraId="0B522B13" w14:textId="7FF6C628" w:rsidR="00786A20" w:rsidRPr="00A877EC" w:rsidRDefault="00ED44DA"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0</w:t>
      </w:r>
      <w:r w:rsidR="00787A0E">
        <w:rPr>
          <w:rFonts w:ascii="Century Gothic" w:hAnsi="Century Gothic" w:cs="Arial"/>
          <w:sz w:val="22"/>
          <w:szCs w:val="22"/>
        </w:rPr>
        <w:t>4</w:t>
      </w:r>
      <w:r>
        <w:rPr>
          <w:rFonts w:ascii="Century Gothic" w:hAnsi="Century Gothic" w:cs="Arial"/>
          <w:sz w:val="22"/>
          <w:szCs w:val="22"/>
        </w:rPr>
        <w:t xml:space="preserve">/2024- </w:t>
      </w:r>
      <w:r w:rsidR="00787A0E">
        <w:rPr>
          <w:rFonts w:ascii="Century Gothic" w:hAnsi="Century Gothic" w:cs="Arial"/>
          <w:sz w:val="22"/>
          <w:szCs w:val="22"/>
        </w:rPr>
        <w:t>10</w:t>
      </w:r>
      <w:r>
        <w:rPr>
          <w:rFonts w:ascii="Century Gothic" w:hAnsi="Century Gothic" w:cs="Arial"/>
          <w:sz w:val="22"/>
          <w:szCs w:val="22"/>
        </w:rPr>
        <w:t>/2024:</w:t>
      </w:r>
      <w:r w:rsidR="00786A20" w:rsidRPr="00A877EC">
        <w:rPr>
          <w:rFonts w:ascii="Century Gothic" w:hAnsi="Century Gothic" w:cs="Arial"/>
          <w:sz w:val="22"/>
          <w:szCs w:val="22"/>
        </w:rPr>
        <w:t xml:space="preserve"> Získanie stavebného povolenia</w:t>
      </w:r>
    </w:p>
    <w:p w14:paraId="6A4B277B" w14:textId="20737D17" w:rsidR="00786A20" w:rsidRPr="00A877EC" w:rsidRDefault="00787A0E" w:rsidP="00A877EC">
      <w:pPr>
        <w:pStyle w:val="Odsekzoznamu"/>
        <w:numPr>
          <w:ilvl w:val="0"/>
          <w:numId w:val="39"/>
        </w:numPr>
        <w:autoSpaceDE w:val="0"/>
        <w:autoSpaceDN w:val="0"/>
        <w:adjustRightInd w:val="0"/>
        <w:spacing w:line="240" w:lineRule="auto"/>
        <w:rPr>
          <w:rFonts w:ascii="Century Gothic" w:hAnsi="Century Gothic" w:cs="Arial"/>
          <w:sz w:val="22"/>
          <w:szCs w:val="22"/>
        </w:rPr>
      </w:pPr>
      <w:r>
        <w:rPr>
          <w:rFonts w:ascii="Century Gothic" w:hAnsi="Century Gothic" w:cs="Arial"/>
          <w:sz w:val="22"/>
          <w:szCs w:val="22"/>
        </w:rPr>
        <w:t>10</w:t>
      </w:r>
      <w:r w:rsidR="00ED44DA">
        <w:rPr>
          <w:rFonts w:ascii="Century Gothic" w:hAnsi="Century Gothic" w:cs="Arial"/>
          <w:sz w:val="22"/>
          <w:szCs w:val="22"/>
        </w:rPr>
        <w:t xml:space="preserve">/2024 – </w:t>
      </w:r>
      <w:r w:rsidR="0040476A">
        <w:rPr>
          <w:rFonts w:ascii="Century Gothic" w:hAnsi="Century Gothic" w:cs="Arial"/>
          <w:sz w:val="22"/>
          <w:szCs w:val="22"/>
        </w:rPr>
        <w:t>06</w:t>
      </w:r>
      <w:r w:rsidR="00ED44DA">
        <w:rPr>
          <w:rFonts w:ascii="Century Gothic" w:hAnsi="Century Gothic" w:cs="Arial"/>
          <w:sz w:val="22"/>
          <w:szCs w:val="22"/>
        </w:rPr>
        <w:t>/202</w:t>
      </w:r>
      <w:r w:rsidR="0040476A">
        <w:rPr>
          <w:rFonts w:ascii="Century Gothic" w:hAnsi="Century Gothic" w:cs="Arial"/>
          <w:sz w:val="22"/>
          <w:szCs w:val="22"/>
        </w:rPr>
        <w:t>7</w:t>
      </w:r>
      <w:r w:rsidR="00ED44DA">
        <w:rPr>
          <w:rFonts w:ascii="Century Gothic" w:hAnsi="Century Gothic" w:cs="Arial"/>
          <w:sz w:val="22"/>
          <w:szCs w:val="22"/>
        </w:rPr>
        <w:t>: R</w:t>
      </w:r>
      <w:r w:rsidR="00786A20" w:rsidRPr="00A877EC">
        <w:rPr>
          <w:rFonts w:ascii="Century Gothic" w:hAnsi="Century Gothic" w:cs="Arial"/>
          <w:sz w:val="22"/>
          <w:szCs w:val="22"/>
        </w:rPr>
        <w:t>ealizácia stavby</w:t>
      </w:r>
    </w:p>
    <w:p w14:paraId="603680A2" w14:textId="77777777" w:rsidR="00786A20" w:rsidRPr="006B5AAC" w:rsidRDefault="00786A20" w:rsidP="00786A20">
      <w:pPr>
        <w:pStyle w:val="Standard"/>
        <w:rPr>
          <w:rFonts w:asciiTheme="minorHAnsi" w:hAnsiTheme="minorHAnsi" w:cstheme="minorHAnsi"/>
        </w:rPr>
      </w:pPr>
    </w:p>
    <w:p w14:paraId="5854CF8D" w14:textId="77777777" w:rsidR="005A6FC7" w:rsidRPr="00256580" w:rsidRDefault="005A6FC7" w:rsidP="007B7154">
      <w:pPr>
        <w:rPr>
          <w:rFonts w:ascii="Century Gothic" w:hAnsi="Century Gothic"/>
          <w:b/>
          <w:sz w:val="28"/>
          <w:szCs w:val="28"/>
        </w:rPr>
      </w:pPr>
    </w:p>
    <w:p w14:paraId="3C63D9D0" w14:textId="77777777" w:rsidR="00CC5E50" w:rsidRDefault="00CC5E50">
      <w:pPr>
        <w:spacing w:after="200"/>
        <w:jc w:val="left"/>
        <w:rPr>
          <w:rFonts w:ascii="Century Gothic" w:eastAsiaTheme="majorEastAsia" w:hAnsi="Century Gothic" w:cs="Calibri Light"/>
          <w:color w:val="365F91" w:themeColor="accent1" w:themeShade="BF"/>
          <w:sz w:val="32"/>
          <w:szCs w:val="32"/>
          <w:lang w:eastAsia="en-US"/>
        </w:rPr>
      </w:pPr>
      <w:r>
        <w:rPr>
          <w:rFonts w:ascii="Century Gothic" w:hAnsi="Century Gothic" w:cs="Calibri Light"/>
          <w:b/>
          <w:bCs/>
          <w:sz w:val="32"/>
          <w:szCs w:val="32"/>
          <w:lang w:eastAsia="en-US"/>
        </w:rPr>
        <w:br w:type="page"/>
      </w:r>
    </w:p>
    <w:p w14:paraId="4A0D4F31" w14:textId="3970EDE9" w:rsidR="007B7154" w:rsidRPr="00554317"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64" w:name="_Toc145219983"/>
      <w:r w:rsidRPr="00554317">
        <w:rPr>
          <w:rFonts w:ascii="Century Gothic" w:hAnsi="Century Gothic" w:cs="Calibri Light"/>
          <w:b w:val="0"/>
          <w:bCs w:val="0"/>
          <w:sz w:val="32"/>
          <w:szCs w:val="32"/>
          <w:lang w:eastAsia="en-US"/>
        </w:rPr>
        <w:lastRenderedPageBreak/>
        <w:t>Analýza rizík</w:t>
      </w:r>
      <w:bookmarkEnd w:id="164"/>
    </w:p>
    <w:p w14:paraId="54C6CFB3" w14:textId="77777777" w:rsidR="00DE1873" w:rsidRDefault="00DE1873" w:rsidP="007B7154">
      <w:pPr>
        <w:rPr>
          <w:rFonts w:ascii="Century Gothic" w:hAnsi="Century Gothic" w:cstheme="majorHAnsi"/>
        </w:rPr>
      </w:pPr>
    </w:p>
    <w:p w14:paraId="698EFBC1" w14:textId="675FD53C" w:rsidR="006331B2" w:rsidRPr="006331B2" w:rsidRDefault="00DE1873" w:rsidP="006331B2">
      <w:pPr>
        <w:autoSpaceDE w:val="0"/>
        <w:autoSpaceDN w:val="0"/>
        <w:adjustRightInd w:val="0"/>
        <w:spacing w:line="240" w:lineRule="auto"/>
        <w:rPr>
          <w:rFonts w:ascii="Century Gothic" w:hAnsi="Century Gothic" w:cstheme="minorHAnsi"/>
          <w:sz w:val="22"/>
          <w:szCs w:val="22"/>
        </w:rPr>
      </w:pPr>
      <w:r w:rsidRPr="006331B2">
        <w:rPr>
          <w:rFonts w:ascii="Century Gothic" w:hAnsi="Century Gothic" w:cstheme="minorHAnsi"/>
          <w:sz w:val="22"/>
          <w:szCs w:val="22"/>
        </w:rPr>
        <w:t xml:space="preserve"> </w:t>
      </w:r>
      <w:r w:rsidR="006331B2" w:rsidRPr="006331B2">
        <w:rPr>
          <w:rFonts w:ascii="Century Gothic" w:hAnsi="Century Gothic" w:cstheme="minorHAnsi"/>
          <w:sz w:val="22"/>
          <w:szCs w:val="22"/>
        </w:rPr>
        <w:t>Medzi hlavné riziká patria:</w:t>
      </w:r>
    </w:p>
    <w:tbl>
      <w:tblPr>
        <w:tblStyle w:val="Mriekatabuky"/>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BFBFBF" w:themeFill="background1" w:themeFillShade="BF"/>
        <w:tblLayout w:type="fixed"/>
        <w:tblLook w:val="04A0" w:firstRow="1" w:lastRow="0" w:firstColumn="1" w:lastColumn="0" w:noHBand="0" w:noVBand="1"/>
      </w:tblPr>
      <w:tblGrid>
        <w:gridCol w:w="1828"/>
        <w:gridCol w:w="2126"/>
        <w:gridCol w:w="1418"/>
        <w:gridCol w:w="1417"/>
        <w:gridCol w:w="2253"/>
      </w:tblGrid>
      <w:tr w:rsidR="006331B2" w:rsidRPr="006331B2" w14:paraId="7C72BB7D" w14:textId="77777777" w:rsidTr="006331B2">
        <w:tc>
          <w:tcPr>
            <w:tcW w:w="1828" w:type="dxa"/>
            <w:shd w:val="clear" w:color="auto" w:fill="BFBFBF" w:themeFill="background1" w:themeFillShade="BF"/>
          </w:tcPr>
          <w:p w14:paraId="2D5D05E3" w14:textId="77777777" w:rsidR="006331B2" w:rsidRPr="006331B2" w:rsidRDefault="006331B2" w:rsidP="00A62CD9">
            <w:pPr>
              <w:autoSpaceDE w:val="0"/>
              <w:autoSpaceDN w:val="0"/>
              <w:adjustRightInd w:val="0"/>
              <w:jc w:val="left"/>
              <w:rPr>
                <w:rFonts w:ascii="Century Gothic" w:hAnsi="Century Gothic" w:cstheme="minorHAnsi"/>
                <w:b/>
                <w:bCs/>
                <w:sz w:val="20"/>
                <w:szCs w:val="20"/>
              </w:rPr>
            </w:pPr>
            <w:r w:rsidRPr="006331B2">
              <w:rPr>
                <w:rFonts w:ascii="Century Gothic" w:hAnsi="Century Gothic" w:cstheme="minorHAnsi"/>
                <w:b/>
                <w:bCs/>
                <w:sz w:val="20"/>
                <w:szCs w:val="20"/>
              </w:rPr>
              <w:t>Riziko</w:t>
            </w:r>
          </w:p>
        </w:tc>
        <w:tc>
          <w:tcPr>
            <w:tcW w:w="2126" w:type="dxa"/>
            <w:shd w:val="clear" w:color="auto" w:fill="BFBFBF" w:themeFill="background1" w:themeFillShade="BF"/>
          </w:tcPr>
          <w:p w14:paraId="64B7A915" w14:textId="77777777" w:rsidR="006331B2" w:rsidRPr="006331B2" w:rsidRDefault="006331B2" w:rsidP="00A62CD9">
            <w:pPr>
              <w:autoSpaceDE w:val="0"/>
              <w:autoSpaceDN w:val="0"/>
              <w:adjustRightInd w:val="0"/>
              <w:jc w:val="left"/>
              <w:rPr>
                <w:rFonts w:ascii="Century Gothic" w:hAnsi="Century Gothic" w:cstheme="minorHAnsi"/>
                <w:b/>
                <w:bCs/>
                <w:sz w:val="20"/>
                <w:szCs w:val="20"/>
              </w:rPr>
            </w:pPr>
            <w:r w:rsidRPr="006331B2">
              <w:rPr>
                <w:rFonts w:ascii="Century Gothic" w:hAnsi="Century Gothic" w:cstheme="minorHAnsi"/>
                <w:b/>
                <w:bCs/>
                <w:sz w:val="20"/>
                <w:szCs w:val="20"/>
              </w:rPr>
              <w:t>Popis</w:t>
            </w:r>
          </w:p>
        </w:tc>
        <w:tc>
          <w:tcPr>
            <w:tcW w:w="1418" w:type="dxa"/>
            <w:shd w:val="clear" w:color="auto" w:fill="BFBFBF" w:themeFill="background1" w:themeFillShade="BF"/>
          </w:tcPr>
          <w:p w14:paraId="74DE7FBD" w14:textId="77777777" w:rsidR="006331B2" w:rsidRPr="006331B2" w:rsidRDefault="006331B2" w:rsidP="00A62CD9">
            <w:pPr>
              <w:autoSpaceDE w:val="0"/>
              <w:autoSpaceDN w:val="0"/>
              <w:adjustRightInd w:val="0"/>
              <w:jc w:val="left"/>
              <w:rPr>
                <w:rFonts w:ascii="Century Gothic" w:hAnsi="Century Gothic" w:cstheme="minorHAnsi"/>
                <w:b/>
                <w:bCs/>
                <w:sz w:val="20"/>
                <w:szCs w:val="20"/>
              </w:rPr>
            </w:pPr>
            <w:proofErr w:type="spellStart"/>
            <w:r w:rsidRPr="006331B2">
              <w:rPr>
                <w:rFonts w:ascii="Century Gothic" w:hAnsi="Century Gothic" w:cstheme="minorHAnsi"/>
                <w:b/>
                <w:bCs/>
                <w:sz w:val="20"/>
                <w:szCs w:val="20"/>
              </w:rPr>
              <w:t>Pravdepodo-bnosť</w:t>
            </w:r>
            <w:proofErr w:type="spellEnd"/>
            <w:r w:rsidRPr="006331B2">
              <w:rPr>
                <w:rFonts w:ascii="Century Gothic" w:hAnsi="Century Gothic" w:cstheme="minorHAnsi"/>
                <w:b/>
                <w:bCs/>
                <w:sz w:val="20"/>
                <w:szCs w:val="20"/>
              </w:rPr>
              <w:t xml:space="preserve"> vzniku rizika</w:t>
            </w:r>
          </w:p>
        </w:tc>
        <w:tc>
          <w:tcPr>
            <w:tcW w:w="1417" w:type="dxa"/>
            <w:shd w:val="clear" w:color="auto" w:fill="BFBFBF" w:themeFill="background1" w:themeFillShade="BF"/>
          </w:tcPr>
          <w:p w14:paraId="16D77232" w14:textId="77777777" w:rsidR="006331B2" w:rsidRPr="006331B2" w:rsidRDefault="006331B2" w:rsidP="00A62CD9">
            <w:pPr>
              <w:autoSpaceDE w:val="0"/>
              <w:autoSpaceDN w:val="0"/>
              <w:adjustRightInd w:val="0"/>
              <w:jc w:val="left"/>
              <w:rPr>
                <w:rFonts w:ascii="Century Gothic" w:hAnsi="Century Gothic" w:cstheme="minorHAnsi"/>
                <w:b/>
                <w:bCs/>
                <w:sz w:val="20"/>
                <w:szCs w:val="20"/>
              </w:rPr>
            </w:pPr>
            <w:r w:rsidRPr="006331B2">
              <w:rPr>
                <w:rFonts w:ascii="Century Gothic" w:hAnsi="Century Gothic" w:cstheme="minorHAnsi"/>
                <w:b/>
                <w:bCs/>
                <w:sz w:val="20"/>
                <w:szCs w:val="20"/>
              </w:rPr>
              <w:t>Potenciálny dopad rizika</w:t>
            </w:r>
          </w:p>
        </w:tc>
        <w:tc>
          <w:tcPr>
            <w:tcW w:w="2253" w:type="dxa"/>
            <w:shd w:val="clear" w:color="auto" w:fill="BFBFBF" w:themeFill="background1" w:themeFillShade="BF"/>
          </w:tcPr>
          <w:p w14:paraId="62449771" w14:textId="77777777" w:rsidR="006331B2" w:rsidRPr="006331B2" w:rsidRDefault="006331B2" w:rsidP="00A62CD9">
            <w:pPr>
              <w:autoSpaceDE w:val="0"/>
              <w:autoSpaceDN w:val="0"/>
              <w:adjustRightInd w:val="0"/>
              <w:jc w:val="left"/>
              <w:rPr>
                <w:rFonts w:ascii="Century Gothic" w:hAnsi="Century Gothic" w:cstheme="minorHAnsi"/>
                <w:b/>
                <w:bCs/>
                <w:sz w:val="20"/>
                <w:szCs w:val="20"/>
              </w:rPr>
            </w:pPr>
            <w:r w:rsidRPr="006331B2">
              <w:rPr>
                <w:rFonts w:ascii="Century Gothic" w:hAnsi="Century Gothic" w:cstheme="minorHAnsi"/>
                <w:b/>
                <w:bCs/>
                <w:sz w:val="20"/>
                <w:szCs w:val="20"/>
              </w:rPr>
              <w:t>Opatrenie na elimináciu rizika</w:t>
            </w:r>
          </w:p>
        </w:tc>
      </w:tr>
      <w:tr w:rsidR="006331B2" w:rsidRPr="006331B2" w14:paraId="27B801AF" w14:textId="77777777" w:rsidTr="006331B2">
        <w:tc>
          <w:tcPr>
            <w:tcW w:w="1828" w:type="dxa"/>
            <w:shd w:val="clear" w:color="auto" w:fill="BFBFBF" w:themeFill="background1" w:themeFillShade="BF"/>
          </w:tcPr>
          <w:p w14:paraId="588FAAC3" w14:textId="66A588FC" w:rsidR="006331B2" w:rsidRPr="006331B2" w:rsidRDefault="006331B2" w:rsidP="00A62CD9">
            <w:pPr>
              <w:pStyle w:val="Default"/>
              <w:rPr>
                <w:rFonts w:ascii="Century Gothic" w:hAnsi="Century Gothic" w:cstheme="minorHAnsi"/>
                <w:b/>
                <w:bCs/>
                <w:sz w:val="20"/>
                <w:szCs w:val="20"/>
              </w:rPr>
            </w:pPr>
            <w:r w:rsidRPr="006331B2">
              <w:rPr>
                <w:rFonts w:ascii="Century Gothic" w:hAnsi="Century Gothic" w:cstheme="minorHAnsi"/>
                <w:b/>
                <w:bCs/>
                <w:sz w:val="20"/>
                <w:szCs w:val="20"/>
              </w:rPr>
              <w:t>Požiadavka na zmenu funkčného modelu</w:t>
            </w:r>
            <w:r w:rsidR="00C80314">
              <w:rPr>
                <w:rFonts w:ascii="Century Gothic" w:hAnsi="Century Gothic" w:cstheme="minorHAnsi"/>
                <w:b/>
                <w:bCs/>
                <w:sz w:val="20"/>
                <w:szCs w:val="20"/>
              </w:rPr>
              <w:t xml:space="preserve"> fungovania nemocnice</w:t>
            </w:r>
            <w:r w:rsidRPr="006331B2">
              <w:rPr>
                <w:rFonts w:ascii="Century Gothic" w:hAnsi="Century Gothic" w:cstheme="minorHAnsi"/>
                <w:b/>
                <w:bCs/>
                <w:sz w:val="20"/>
                <w:szCs w:val="20"/>
              </w:rPr>
              <w:t xml:space="preserve"> </w:t>
            </w:r>
          </w:p>
          <w:p w14:paraId="1A96DA87" w14:textId="77777777" w:rsidR="006331B2" w:rsidRPr="006331B2" w:rsidRDefault="006331B2" w:rsidP="00A62CD9">
            <w:pPr>
              <w:autoSpaceDE w:val="0"/>
              <w:autoSpaceDN w:val="0"/>
              <w:adjustRightInd w:val="0"/>
              <w:jc w:val="left"/>
              <w:rPr>
                <w:rFonts w:ascii="Century Gothic" w:eastAsiaTheme="minorHAnsi" w:hAnsi="Century Gothic" w:cstheme="minorHAnsi"/>
                <w:b/>
                <w:bCs/>
                <w:color w:val="000000"/>
                <w:sz w:val="20"/>
                <w:szCs w:val="20"/>
                <w:lang w:eastAsia="en-US"/>
              </w:rPr>
            </w:pPr>
          </w:p>
        </w:tc>
        <w:tc>
          <w:tcPr>
            <w:tcW w:w="2126" w:type="dxa"/>
            <w:shd w:val="clear" w:color="auto" w:fill="BFBFBF" w:themeFill="background1" w:themeFillShade="BF"/>
          </w:tcPr>
          <w:p w14:paraId="284A1ECC"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Absencia konsenzu medzi zainteresovanými stranami pre oblasti pracovných tokov vnútri a medzi jednotlivými útvarmi. </w:t>
            </w:r>
          </w:p>
        </w:tc>
        <w:tc>
          <w:tcPr>
            <w:tcW w:w="1418" w:type="dxa"/>
            <w:shd w:val="clear" w:color="auto" w:fill="BFBFBF" w:themeFill="background1" w:themeFillShade="BF"/>
          </w:tcPr>
          <w:p w14:paraId="3E8C42F7"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Stredná </w:t>
            </w:r>
          </w:p>
          <w:p w14:paraId="25F1C2D1" w14:textId="77777777" w:rsidR="006331B2" w:rsidRPr="006331B2" w:rsidRDefault="006331B2" w:rsidP="00A62CD9">
            <w:pPr>
              <w:autoSpaceDE w:val="0"/>
              <w:autoSpaceDN w:val="0"/>
              <w:adjustRightInd w:val="0"/>
              <w:jc w:val="left"/>
              <w:rPr>
                <w:rFonts w:ascii="Century Gothic" w:hAnsi="Century Gothic" w:cstheme="minorHAnsi"/>
                <w:bCs/>
                <w:sz w:val="20"/>
                <w:szCs w:val="20"/>
              </w:rPr>
            </w:pPr>
          </w:p>
        </w:tc>
        <w:tc>
          <w:tcPr>
            <w:tcW w:w="1417" w:type="dxa"/>
            <w:shd w:val="clear" w:color="auto" w:fill="BFBFBF" w:themeFill="background1" w:themeFillShade="BF"/>
          </w:tcPr>
          <w:p w14:paraId="46CB9189"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Stredný </w:t>
            </w:r>
          </w:p>
          <w:p w14:paraId="0A9B04CC" w14:textId="77777777" w:rsidR="006331B2" w:rsidRPr="006331B2" w:rsidRDefault="006331B2" w:rsidP="00A62CD9">
            <w:pPr>
              <w:autoSpaceDE w:val="0"/>
              <w:autoSpaceDN w:val="0"/>
              <w:adjustRightInd w:val="0"/>
              <w:jc w:val="left"/>
              <w:rPr>
                <w:rFonts w:ascii="Century Gothic" w:hAnsi="Century Gothic" w:cstheme="minorHAnsi"/>
                <w:bCs/>
                <w:sz w:val="20"/>
                <w:szCs w:val="20"/>
              </w:rPr>
            </w:pPr>
          </w:p>
        </w:tc>
        <w:tc>
          <w:tcPr>
            <w:tcW w:w="2253" w:type="dxa"/>
            <w:shd w:val="clear" w:color="auto" w:fill="BFBFBF" w:themeFill="background1" w:themeFillShade="BF"/>
          </w:tcPr>
          <w:p w14:paraId="7813B948"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Podpora a prezentácia budúcich opatrení vedúcimi stranami (</w:t>
            </w:r>
            <w:proofErr w:type="spellStart"/>
            <w:r w:rsidRPr="006331B2">
              <w:rPr>
                <w:rFonts w:ascii="Century Gothic" w:hAnsi="Century Gothic" w:cstheme="minorHAnsi"/>
                <w:sz w:val="20"/>
                <w:szCs w:val="20"/>
              </w:rPr>
              <w:t>stakeholdermi</w:t>
            </w:r>
            <w:proofErr w:type="spellEnd"/>
            <w:r w:rsidRPr="006331B2">
              <w:rPr>
                <w:rFonts w:ascii="Century Gothic" w:hAnsi="Century Gothic" w:cstheme="minorHAnsi"/>
                <w:sz w:val="20"/>
                <w:szCs w:val="20"/>
              </w:rPr>
              <w:t xml:space="preserve">) posilní dôveru pracovníkov, zmierni organizačné riziko a určí oblasti významných zmien v procese riadenia. </w:t>
            </w:r>
          </w:p>
        </w:tc>
      </w:tr>
      <w:tr w:rsidR="006331B2" w:rsidRPr="006331B2" w14:paraId="24CC91A2" w14:textId="77777777" w:rsidTr="006331B2">
        <w:tc>
          <w:tcPr>
            <w:tcW w:w="1828" w:type="dxa"/>
            <w:shd w:val="clear" w:color="auto" w:fill="BFBFBF" w:themeFill="background1" w:themeFillShade="BF"/>
          </w:tcPr>
          <w:p w14:paraId="59255A3C" w14:textId="77777777" w:rsidR="006331B2" w:rsidRPr="006331B2" w:rsidRDefault="006331B2" w:rsidP="00A62CD9">
            <w:pPr>
              <w:pStyle w:val="Default"/>
              <w:rPr>
                <w:rFonts w:ascii="Century Gothic" w:hAnsi="Century Gothic" w:cstheme="minorHAnsi"/>
                <w:b/>
                <w:bCs/>
                <w:sz w:val="20"/>
                <w:szCs w:val="20"/>
              </w:rPr>
            </w:pPr>
            <w:r w:rsidRPr="006331B2">
              <w:rPr>
                <w:rFonts w:ascii="Century Gothic" w:hAnsi="Century Gothic" w:cstheme="minorHAnsi"/>
                <w:b/>
                <w:bCs/>
                <w:sz w:val="20"/>
                <w:szCs w:val="20"/>
              </w:rPr>
              <w:t xml:space="preserve">Zabezpečenie kľúčového zdravotníckeho </w:t>
            </w:r>
          </w:p>
          <w:p w14:paraId="09038A77" w14:textId="77777777" w:rsidR="006331B2" w:rsidRPr="006331B2" w:rsidRDefault="006331B2" w:rsidP="00A62CD9">
            <w:pPr>
              <w:pStyle w:val="Default"/>
              <w:rPr>
                <w:rFonts w:ascii="Century Gothic" w:hAnsi="Century Gothic" w:cstheme="minorHAnsi"/>
                <w:b/>
                <w:bCs/>
                <w:sz w:val="20"/>
                <w:szCs w:val="20"/>
              </w:rPr>
            </w:pPr>
            <w:r w:rsidRPr="006331B2">
              <w:rPr>
                <w:rFonts w:ascii="Century Gothic" w:hAnsi="Century Gothic" w:cstheme="minorHAnsi"/>
                <w:b/>
                <w:bCs/>
                <w:sz w:val="20"/>
                <w:szCs w:val="20"/>
              </w:rPr>
              <w:t xml:space="preserve">personálu </w:t>
            </w:r>
          </w:p>
        </w:tc>
        <w:tc>
          <w:tcPr>
            <w:tcW w:w="2126" w:type="dxa"/>
            <w:shd w:val="clear" w:color="auto" w:fill="BFBFBF" w:themeFill="background1" w:themeFillShade="BF"/>
          </w:tcPr>
          <w:p w14:paraId="67E3A276"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Odborný zdravotnícky personál je nosným pilierom úspešnosti projektu. V tomto prípade môžeme  identifikovať problémy s prijatím inovácií z osobných či profesijných záujmov. Vzniká problém pri presune kompetencií a zodpovednosti, odchod kľúčových pracovníkov ešte počas realizácie a pod. </w:t>
            </w:r>
          </w:p>
          <w:p w14:paraId="22DC81A7" w14:textId="77777777" w:rsidR="006331B2" w:rsidRPr="006331B2" w:rsidRDefault="006331B2" w:rsidP="00A62CD9">
            <w:pPr>
              <w:pStyle w:val="Default"/>
              <w:rPr>
                <w:rFonts w:ascii="Century Gothic" w:hAnsi="Century Gothic" w:cstheme="minorHAnsi"/>
                <w:sz w:val="20"/>
                <w:szCs w:val="20"/>
              </w:rPr>
            </w:pPr>
          </w:p>
          <w:p w14:paraId="0066B605" w14:textId="77777777" w:rsidR="006331B2" w:rsidRPr="006331B2" w:rsidRDefault="006331B2" w:rsidP="00A62CD9">
            <w:pPr>
              <w:autoSpaceDE w:val="0"/>
              <w:autoSpaceDN w:val="0"/>
              <w:adjustRightInd w:val="0"/>
              <w:jc w:val="left"/>
              <w:rPr>
                <w:rFonts w:ascii="Century Gothic" w:eastAsiaTheme="minorHAnsi" w:hAnsi="Century Gothic" w:cstheme="minorHAnsi"/>
                <w:color w:val="000000"/>
                <w:sz w:val="20"/>
                <w:szCs w:val="20"/>
                <w:lang w:eastAsia="en-US"/>
              </w:rPr>
            </w:pPr>
          </w:p>
        </w:tc>
        <w:tc>
          <w:tcPr>
            <w:tcW w:w="1418" w:type="dxa"/>
            <w:shd w:val="clear" w:color="auto" w:fill="BFBFBF" w:themeFill="background1" w:themeFillShade="BF"/>
          </w:tcPr>
          <w:p w14:paraId="7F6182D4"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Stredné </w:t>
            </w:r>
          </w:p>
          <w:p w14:paraId="5AE4F4E1" w14:textId="77777777" w:rsidR="006331B2" w:rsidRPr="006331B2" w:rsidRDefault="006331B2" w:rsidP="00A62CD9">
            <w:pPr>
              <w:autoSpaceDE w:val="0"/>
              <w:autoSpaceDN w:val="0"/>
              <w:adjustRightInd w:val="0"/>
              <w:jc w:val="left"/>
              <w:rPr>
                <w:rFonts w:ascii="Century Gothic" w:eastAsiaTheme="minorHAnsi" w:hAnsi="Century Gothic" w:cstheme="minorHAnsi"/>
                <w:color w:val="000000"/>
                <w:sz w:val="20"/>
                <w:szCs w:val="20"/>
                <w:lang w:eastAsia="en-US"/>
              </w:rPr>
            </w:pPr>
          </w:p>
        </w:tc>
        <w:tc>
          <w:tcPr>
            <w:tcW w:w="1417" w:type="dxa"/>
            <w:shd w:val="clear" w:color="auto" w:fill="BFBFBF" w:themeFill="background1" w:themeFillShade="BF"/>
          </w:tcPr>
          <w:p w14:paraId="1C933954"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Vysoký </w:t>
            </w:r>
          </w:p>
          <w:p w14:paraId="570AF9F8" w14:textId="77777777" w:rsidR="006331B2" w:rsidRPr="006331B2" w:rsidRDefault="006331B2" w:rsidP="00A62CD9">
            <w:pPr>
              <w:autoSpaceDE w:val="0"/>
              <w:autoSpaceDN w:val="0"/>
              <w:adjustRightInd w:val="0"/>
              <w:jc w:val="left"/>
              <w:rPr>
                <w:rFonts w:ascii="Century Gothic" w:eastAsiaTheme="minorHAnsi" w:hAnsi="Century Gothic" w:cstheme="minorHAnsi"/>
                <w:color w:val="000000"/>
                <w:sz w:val="20"/>
                <w:szCs w:val="20"/>
                <w:lang w:eastAsia="en-US"/>
              </w:rPr>
            </w:pPr>
          </w:p>
        </w:tc>
        <w:tc>
          <w:tcPr>
            <w:tcW w:w="2253" w:type="dxa"/>
            <w:shd w:val="clear" w:color="auto" w:fill="BFBFBF" w:themeFill="background1" w:themeFillShade="BF"/>
          </w:tcPr>
          <w:p w14:paraId="5B24909C"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Integrácia odborného personálu do prípravnej fázy projektu, </w:t>
            </w:r>
            <w:proofErr w:type="spellStart"/>
            <w:r w:rsidRPr="006331B2">
              <w:rPr>
                <w:rFonts w:ascii="Century Gothic" w:hAnsi="Century Gothic" w:cstheme="minorHAnsi"/>
                <w:sz w:val="20"/>
                <w:szCs w:val="20"/>
              </w:rPr>
              <w:t>zazmluvnenie</w:t>
            </w:r>
            <w:proofErr w:type="spellEnd"/>
            <w:r w:rsidRPr="006331B2">
              <w:rPr>
                <w:rFonts w:ascii="Century Gothic" w:hAnsi="Century Gothic" w:cstheme="minorHAnsi"/>
                <w:sz w:val="20"/>
                <w:szCs w:val="20"/>
              </w:rPr>
              <w:t xml:space="preserve"> kľúčového personálu, dôkladný nábor a výber  zamestnancov. Personálne riziká budeme tiež minimalizovať podporou budúcich zamestnancov, ich motiváciou, zabezpečovaním zlepšovania odborných vedomostí a skúseností, zlepšovaním tímovej súdržnosti, vytváraním optimálnych pracovných podmienok, zlepšením dynamiky priebehu výstavby a pod. Opatrenia budú zamerané aj na riešenie prípadných konfliktov, zmiernenie osobných antipatií, stanovením komunikačnej mapy </w:t>
            </w:r>
            <w:r w:rsidRPr="006331B2">
              <w:rPr>
                <w:rFonts w:ascii="Century Gothic" w:hAnsi="Century Gothic" w:cstheme="minorHAnsi"/>
                <w:sz w:val="20"/>
                <w:szCs w:val="20"/>
              </w:rPr>
              <w:lastRenderedPageBreak/>
              <w:t xml:space="preserve">a jasných smerov komunikácie a aktívnym manažmentom komunikácie. </w:t>
            </w:r>
          </w:p>
        </w:tc>
      </w:tr>
      <w:tr w:rsidR="006331B2" w:rsidRPr="006331B2" w14:paraId="31459EA1" w14:textId="77777777" w:rsidTr="006331B2">
        <w:tc>
          <w:tcPr>
            <w:tcW w:w="1828" w:type="dxa"/>
            <w:shd w:val="clear" w:color="auto" w:fill="BFBFBF" w:themeFill="background1" w:themeFillShade="BF"/>
          </w:tcPr>
          <w:p w14:paraId="56FBA8FA" w14:textId="77777777" w:rsidR="006331B2" w:rsidRPr="006331B2" w:rsidRDefault="006331B2" w:rsidP="00A62CD9">
            <w:pPr>
              <w:pStyle w:val="Default"/>
              <w:rPr>
                <w:rFonts w:ascii="Century Gothic" w:hAnsi="Century Gothic" w:cstheme="minorHAnsi"/>
                <w:b/>
                <w:bCs/>
                <w:sz w:val="20"/>
                <w:szCs w:val="20"/>
              </w:rPr>
            </w:pPr>
            <w:r w:rsidRPr="006331B2">
              <w:rPr>
                <w:rFonts w:ascii="Century Gothic" w:hAnsi="Century Gothic" w:cstheme="minorHAnsi"/>
                <w:b/>
                <w:bCs/>
                <w:sz w:val="20"/>
                <w:szCs w:val="20"/>
              </w:rPr>
              <w:lastRenderedPageBreak/>
              <w:t xml:space="preserve">Nepochopenie a neprijatie </w:t>
            </w:r>
            <w:proofErr w:type="spellStart"/>
            <w:r w:rsidRPr="006331B2">
              <w:rPr>
                <w:rFonts w:ascii="Century Gothic" w:hAnsi="Century Gothic" w:cstheme="minorHAnsi"/>
                <w:b/>
                <w:bCs/>
                <w:sz w:val="20"/>
                <w:szCs w:val="20"/>
              </w:rPr>
              <w:t>smart</w:t>
            </w:r>
            <w:proofErr w:type="spellEnd"/>
            <w:r w:rsidRPr="006331B2">
              <w:rPr>
                <w:rFonts w:ascii="Century Gothic" w:hAnsi="Century Gothic" w:cstheme="minorHAnsi"/>
                <w:b/>
                <w:bCs/>
                <w:sz w:val="20"/>
                <w:szCs w:val="20"/>
              </w:rPr>
              <w:t xml:space="preserve"> riešení, technické a technologické riziko </w:t>
            </w:r>
          </w:p>
          <w:p w14:paraId="0F8E5058" w14:textId="77777777" w:rsidR="006331B2" w:rsidRPr="006331B2" w:rsidRDefault="006331B2" w:rsidP="00A62CD9">
            <w:pPr>
              <w:pStyle w:val="Default"/>
              <w:rPr>
                <w:rFonts w:ascii="Century Gothic" w:hAnsi="Century Gothic" w:cstheme="minorHAnsi"/>
                <w:b/>
                <w:bCs/>
                <w:sz w:val="20"/>
                <w:szCs w:val="20"/>
              </w:rPr>
            </w:pPr>
          </w:p>
        </w:tc>
        <w:tc>
          <w:tcPr>
            <w:tcW w:w="2126" w:type="dxa"/>
            <w:shd w:val="clear" w:color="auto" w:fill="BFBFBF" w:themeFill="background1" w:themeFillShade="BF"/>
          </w:tcPr>
          <w:p w14:paraId="61AD0B6B"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Nová nemocnica prinesie nové informačné systémy, softvérové upgrady a dodatočné funkcie, nové medicínske technológie a postupy s nimi spojené a celkovo bude zvýšená požiadavka na užívanie týchto technológií. Tiež môžu vzniknúť problémy pri inštalácii špecifických technológií a ich kompatibilita s existujúcim prístrojovým vybavením, schopnosť využitia odborných vedomostí pre spôsobilosť práce s technológiami a využitie plného potenciálu technológií. </w:t>
            </w:r>
          </w:p>
          <w:p w14:paraId="469C04B4" w14:textId="77777777" w:rsidR="006331B2" w:rsidRPr="006331B2" w:rsidRDefault="006331B2" w:rsidP="00A62CD9">
            <w:pPr>
              <w:pStyle w:val="Default"/>
              <w:rPr>
                <w:rFonts w:ascii="Century Gothic" w:hAnsi="Century Gothic" w:cstheme="minorHAnsi"/>
                <w:sz w:val="20"/>
                <w:szCs w:val="20"/>
              </w:rPr>
            </w:pPr>
          </w:p>
        </w:tc>
        <w:tc>
          <w:tcPr>
            <w:tcW w:w="1418" w:type="dxa"/>
            <w:shd w:val="clear" w:color="auto" w:fill="BFBFBF" w:themeFill="background1" w:themeFillShade="BF"/>
          </w:tcPr>
          <w:p w14:paraId="6A6D3864"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Stredná </w:t>
            </w:r>
          </w:p>
          <w:p w14:paraId="7B194DB5" w14:textId="77777777" w:rsidR="006331B2" w:rsidRPr="006331B2" w:rsidRDefault="006331B2" w:rsidP="00A62CD9">
            <w:pPr>
              <w:pStyle w:val="Default"/>
              <w:rPr>
                <w:rFonts w:ascii="Century Gothic" w:hAnsi="Century Gothic" w:cstheme="minorHAnsi"/>
                <w:sz w:val="20"/>
                <w:szCs w:val="20"/>
              </w:rPr>
            </w:pPr>
          </w:p>
        </w:tc>
        <w:tc>
          <w:tcPr>
            <w:tcW w:w="1417" w:type="dxa"/>
            <w:shd w:val="clear" w:color="auto" w:fill="BFBFBF" w:themeFill="background1" w:themeFillShade="BF"/>
          </w:tcPr>
          <w:p w14:paraId="14C722DA"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Vysoký </w:t>
            </w:r>
          </w:p>
          <w:p w14:paraId="3690AFAE" w14:textId="77777777" w:rsidR="006331B2" w:rsidRPr="006331B2" w:rsidRDefault="006331B2" w:rsidP="00A62CD9">
            <w:pPr>
              <w:pStyle w:val="Default"/>
              <w:rPr>
                <w:rFonts w:ascii="Century Gothic" w:hAnsi="Century Gothic" w:cstheme="minorHAnsi"/>
                <w:sz w:val="20"/>
                <w:szCs w:val="20"/>
              </w:rPr>
            </w:pPr>
          </w:p>
        </w:tc>
        <w:tc>
          <w:tcPr>
            <w:tcW w:w="2253" w:type="dxa"/>
            <w:shd w:val="clear" w:color="auto" w:fill="BFBFBF" w:themeFill="background1" w:themeFillShade="BF"/>
          </w:tcPr>
          <w:p w14:paraId="67B07FAC"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Budúci užívatelia musia nové funkcionality nemocnice plne pochopiť a dostať školenie o nových prevádzkových pracovných tokoch. Inštalácia, implementácia, integrácia a testovanie nových IT zariadení a systémov počas aktivácie vyžaduje vysoko koordinované úsilie na zabezpečenie plnej funkčnosti a bezpečnej starostlivosti o pacienta. </w:t>
            </w:r>
          </w:p>
          <w:p w14:paraId="791EE50A" w14:textId="77777777" w:rsidR="006331B2" w:rsidRPr="006331B2" w:rsidRDefault="006331B2" w:rsidP="00A62CD9">
            <w:pPr>
              <w:pStyle w:val="Default"/>
              <w:rPr>
                <w:rFonts w:ascii="Century Gothic" w:hAnsi="Century Gothic" w:cstheme="minorHAnsi"/>
                <w:sz w:val="20"/>
                <w:szCs w:val="20"/>
              </w:rPr>
            </w:pPr>
            <w:r w:rsidRPr="006331B2">
              <w:rPr>
                <w:rFonts w:ascii="Century Gothic" w:hAnsi="Century Gothic" w:cstheme="minorHAnsi"/>
                <w:sz w:val="20"/>
                <w:szCs w:val="20"/>
              </w:rPr>
              <w:t xml:space="preserve">Riziko minimalizujeme aj aplikáciou štandardných a špecifických postupov pri zavádzaní nových postupov pre konkrétne technologické a technické riešenia. Pri dodaní a inštalácii infraštruktúry bude zabezpečená dôkladná kontrola v zmysle dohľadu na realizáciu všetkých potrebných skúšok a protokolov a overenie funkčnosti. </w:t>
            </w:r>
          </w:p>
        </w:tc>
      </w:tr>
    </w:tbl>
    <w:p w14:paraId="7BA3ED54" w14:textId="3E70AB17" w:rsidR="007B7154" w:rsidRDefault="007B7154" w:rsidP="007B7154">
      <w:pPr>
        <w:rPr>
          <w:rFonts w:ascii="Century Gothic" w:hAnsi="Century Gothic" w:cstheme="majorHAnsi"/>
        </w:rPr>
      </w:pPr>
      <w:r>
        <w:rPr>
          <w:rFonts w:ascii="Century Gothic" w:hAnsi="Century Gothic" w:cstheme="majorHAnsi"/>
        </w:rPr>
        <w:br w:type="page"/>
      </w:r>
    </w:p>
    <w:p w14:paraId="5AD4AA3F" w14:textId="167CD016" w:rsidR="007B7154"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65" w:name="_Toc145219984"/>
      <w:r w:rsidRPr="00B46658">
        <w:rPr>
          <w:rFonts w:ascii="Century Gothic" w:hAnsi="Century Gothic" w:cs="Calibri Light"/>
          <w:b w:val="0"/>
          <w:bCs w:val="0"/>
          <w:sz w:val="32"/>
          <w:szCs w:val="32"/>
          <w:lang w:eastAsia="en-US"/>
        </w:rPr>
        <w:lastRenderedPageBreak/>
        <w:t>Prílohy</w:t>
      </w:r>
      <w:bookmarkEnd w:id="165"/>
    </w:p>
    <w:p w14:paraId="4D479E3A" w14:textId="35ACF9F8" w:rsidR="00DC358F" w:rsidRDefault="00DC358F" w:rsidP="002679C1">
      <w:pPr>
        <w:rPr>
          <w:lang w:eastAsia="en-US"/>
        </w:rPr>
      </w:pPr>
    </w:p>
    <w:p w14:paraId="47FE6933" w14:textId="2A83C1A9" w:rsidR="00DC358F" w:rsidRPr="00554317" w:rsidRDefault="00DC358F" w:rsidP="007F681B">
      <w:pPr>
        <w:pStyle w:val="Odsekzoznamu"/>
        <w:numPr>
          <w:ilvl w:val="0"/>
          <w:numId w:val="54"/>
        </w:numPr>
        <w:spacing w:line="240" w:lineRule="auto"/>
        <w:ind w:left="714" w:hanging="357"/>
        <w:rPr>
          <w:rFonts w:ascii="Century Gothic" w:hAnsi="Century Gothic"/>
          <w:sz w:val="22"/>
          <w:szCs w:val="22"/>
          <w:lang w:eastAsia="en-US"/>
        </w:rPr>
      </w:pPr>
      <w:r w:rsidRPr="00554317">
        <w:rPr>
          <w:rFonts w:ascii="Century Gothic" w:hAnsi="Century Gothic"/>
          <w:sz w:val="22"/>
          <w:szCs w:val="22"/>
          <w:lang w:eastAsia="en-US"/>
        </w:rPr>
        <w:t>Dopytový model</w:t>
      </w:r>
    </w:p>
    <w:p w14:paraId="1BA945AA" w14:textId="21B7FD0E" w:rsidR="00DC358F" w:rsidRPr="00554317" w:rsidRDefault="00DC358F" w:rsidP="007F681B">
      <w:pPr>
        <w:pStyle w:val="Odsekzoznamu"/>
        <w:numPr>
          <w:ilvl w:val="0"/>
          <w:numId w:val="54"/>
        </w:numPr>
        <w:spacing w:line="240" w:lineRule="auto"/>
        <w:ind w:left="714" w:hanging="357"/>
        <w:rPr>
          <w:rFonts w:ascii="Century Gothic" w:hAnsi="Century Gothic"/>
          <w:sz w:val="22"/>
          <w:szCs w:val="22"/>
          <w:lang w:eastAsia="en-US"/>
        </w:rPr>
      </w:pPr>
      <w:r w:rsidRPr="00554317">
        <w:rPr>
          <w:rFonts w:ascii="Century Gothic" w:hAnsi="Century Gothic"/>
          <w:sz w:val="22"/>
          <w:szCs w:val="22"/>
          <w:lang w:eastAsia="en-US"/>
        </w:rPr>
        <w:t>Ekonomický model</w:t>
      </w:r>
    </w:p>
    <w:p w14:paraId="2B94211C" w14:textId="46E1FD53" w:rsidR="007B7154" w:rsidRPr="00F958E8" w:rsidRDefault="007B7154" w:rsidP="007F681B">
      <w:pPr>
        <w:pStyle w:val="Odsekzoznamu"/>
        <w:numPr>
          <w:ilvl w:val="0"/>
          <w:numId w:val="54"/>
        </w:numPr>
        <w:spacing w:line="240" w:lineRule="auto"/>
        <w:ind w:left="714" w:hanging="357"/>
        <w:rPr>
          <w:rFonts w:ascii="Century Gothic" w:hAnsi="Century Gothic"/>
          <w:sz w:val="22"/>
          <w:szCs w:val="22"/>
          <w:lang w:eastAsia="en-US"/>
        </w:rPr>
      </w:pPr>
      <w:r w:rsidRPr="00F958E8">
        <w:rPr>
          <w:rFonts w:ascii="Century Gothic" w:hAnsi="Century Gothic"/>
          <w:b/>
          <w:sz w:val="28"/>
          <w:szCs w:val="28"/>
        </w:rPr>
        <w:br w:type="page"/>
      </w:r>
    </w:p>
    <w:p w14:paraId="6CC6EA10" w14:textId="77777777" w:rsidR="007B7154" w:rsidRPr="00B46658" w:rsidRDefault="007B7154" w:rsidP="00FE5F9C">
      <w:pPr>
        <w:pStyle w:val="Nadpis10"/>
        <w:numPr>
          <w:ilvl w:val="0"/>
          <w:numId w:val="1"/>
        </w:numPr>
        <w:tabs>
          <w:tab w:val="clear" w:pos="567"/>
        </w:tabs>
        <w:spacing w:before="240" w:line="259" w:lineRule="auto"/>
        <w:ind w:left="993" w:hanging="633"/>
        <w:jc w:val="left"/>
        <w:rPr>
          <w:rFonts w:ascii="Century Gothic" w:hAnsi="Century Gothic" w:cs="Calibri Light"/>
          <w:b w:val="0"/>
          <w:bCs w:val="0"/>
          <w:sz w:val="32"/>
          <w:szCs w:val="32"/>
          <w:lang w:eastAsia="en-US"/>
        </w:rPr>
      </w:pPr>
      <w:bookmarkStart w:id="166" w:name="_Toc145219985"/>
      <w:r w:rsidRPr="00B46658">
        <w:rPr>
          <w:rFonts w:ascii="Century Gothic" w:hAnsi="Century Gothic" w:cs="Calibri Light"/>
          <w:b w:val="0"/>
          <w:bCs w:val="0"/>
          <w:sz w:val="32"/>
          <w:szCs w:val="32"/>
          <w:lang w:eastAsia="en-US"/>
        </w:rPr>
        <w:lastRenderedPageBreak/>
        <w:t>Zoznam použitej literatúry</w:t>
      </w:r>
      <w:bookmarkEnd w:id="166"/>
    </w:p>
    <w:p w14:paraId="260E5F2D" w14:textId="77777777" w:rsidR="007B7154" w:rsidRDefault="007B7154" w:rsidP="007B7154">
      <w:pPr>
        <w:spacing w:line="240" w:lineRule="auto"/>
        <w:rPr>
          <w:rFonts w:ascii="Century Gothic" w:hAnsi="Century Gothic" w:cs="Arial"/>
          <w:color w:val="3E3E3E"/>
        </w:rPr>
      </w:pPr>
    </w:p>
    <w:p w14:paraId="10660277" w14:textId="77777777" w:rsidR="007B7154" w:rsidRPr="009E0B4F" w:rsidRDefault="007B7154" w:rsidP="005577AD">
      <w:pPr>
        <w:pStyle w:val="Odsekzoznamu"/>
        <w:numPr>
          <w:ilvl w:val="0"/>
          <w:numId w:val="40"/>
        </w:numPr>
        <w:spacing w:line="240" w:lineRule="auto"/>
        <w:rPr>
          <w:rFonts w:ascii="Century Gothic" w:hAnsi="Century Gothic" w:cs="Arial"/>
          <w:color w:val="3E3E3E"/>
          <w:sz w:val="22"/>
          <w:szCs w:val="22"/>
        </w:rPr>
      </w:pPr>
      <w:proofErr w:type="spellStart"/>
      <w:r w:rsidRPr="009E0B4F">
        <w:rPr>
          <w:rFonts w:ascii="Century Gothic" w:hAnsi="Century Gothic" w:cs="Arial"/>
          <w:color w:val="222222"/>
          <w:sz w:val="22"/>
          <w:szCs w:val="22"/>
          <w:shd w:val="clear" w:color="auto" w:fill="FFFFFF"/>
        </w:rPr>
        <w:t>Inovitum</w:t>
      </w:r>
      <w:proofErr w:type="spellEnd"/>
      <w:r w:rsidRPr="009E0B4F">
        <w:rPr>
          <w:rFonts w:ascii="Century Gothic" w:hAnsi="Century Gothic" w:cs="Arial"/>
          <w:color w:val="222222"/>
          <w:sz w:val="22"/>
          <w:szCs w:val="22"/>
          <w:shd w:val="clear" w:color="auto" w:fill="FFFFFF"/>
        </w:rPr>
        <w:t xml:space="preserve">, </w:t>
      </w:r>
      <w:proofErr w:type="spellStart"/>
      <w:r w:rsidRPr="009E0B4F">
        <w:rPr>
          <w:rFonts w:ascii="Century Gothic" w:hAnsi="Century Gothic" w:cs="Arial"/>
          <w:color w:val="222222"/>
          <w:sz w:val="22"/>
          <w:szCs w:val="22"/>
          <w:shd w:val="clear" w:color="auto" w:fill="FFFFFF"/>
        </w:rPr>
        <w:t>s.r.o</w:t>
      </w:r>
      <w:proofErr w:type="spellEnd"/>
      <w:r w:rsidRPr="009E0B4F">
        <w:rPr>
          <w:rFonts w:ascii="Century Gothic" w:hAnsi="Century Gothic" w:cs="Arial"/>
          <w:color w:val="222222"/>
          <w:sz w:val="22"/>
          <w:szCs w:val="22"/>
          <w:shd w:val="clear" w:color="auto" w:fill="FFFFFF"/>
        </w:rPr>
        <w:t>.: Program hospodárskeho rozvoja a sociálneho rozvoja mesta Žilina/IÚS UMR Žilina 2021-2027 s výhľadom do roku 2030, Žilina, 2022</w:t>
      </w:r>
    </w:p>
    <w:p w14:paraId="34793CCA" w14:textId="787F0ACA" w:rsidR="007B7154" w:rsidRPr="005577AD" w:rsidRDefault="007B7154" w:rsidP="005577AD">
      <w:pPr>
        <w:pStyle w:val="Odsekzoznamu"/>
        <w:numPr>
          <w:ilvl w:val="0"/>
          <w:numId w:val="40"/>
        </w:numPr>
        <w:spacing w:line="240" w:lineRule="auto"/>
        <w:rPr>
          <w:rFonts w:ascii="Century Gothic" w:hAnsi="Century Gothic" w:cs="Arial"/>
          <w:color w:val="222222"/>
          <w:sz w:val="22"/>
          <w:szCs w:val="22"/>
          <w:shd w:val="clear" w:color="auto" w:fill="FFFFFF"/>
        </w:rPr>
      </w:pPr>
      <w:r w:rsidRPr="009E0B4F">
        <w:rPr>
          <w:rFonts w:ascii="Century Gothic" w:hAnsi="Century Gothic" w:cs="Arial"/>
          <w:color w:val="222222"/>
          <w:sz w:val="22"/>
          <w:szCs w:val="22"/>
          <w:shd w:val="clear" w:color="auto" w:fill="FFFFFF"/>
        </w:rPr>
        <w:t xml:space="preserve">EUPC </w:t>
      </w:r>
      <w:proofErr w:type="spellStart"/>
      <w:r w:rsidRPr="009E0B4F">
        <w:rPr>
          <w:rFonts w:ascii="Century Gothic" w:hAnsi="Century Gothic" w:cs="Arial"/>
          <w:color w:val="222222"/>
          <w:sz w:val="22"/>
          <w:szCs w:val="22"/>
          <w:shd w:val="clear" w:color="auto" w:fill="FFFFFF"/>
        </w:rPr>
        <w:t>s.r.o</w:t>
      </w:r>
      <w:proofErr w:type="spellEnd"/>
      <w:r w:rsidRPr="009E0B4F">
        <w:rPr>
          <w:rFonts w:ascii="Century Gothic" w:hAnsi="Century Gothic" w:cs="Arial"/>
          <w:color w:val="222222"/>
          <w:sz w:val="22"/>
          <w:szCs w:val="22"/>
          <w:shd w:val="clear" w:color="auto" w:fill="FFFFFF"/>
        </w:rPr>
        <w:t>.: Program hospodárskeho rozvoja a sociálneho rozvoja Žilinského samosprávneho kraja 2021+:</w:t>
      </w:r>
      <w:r w:rsidRPr="005577AD">
        <w:rPr>
          <w:rFonts w:ascii="Century Gothic" w:hAnsi="Century Gothic" w:cs="Arial"/>
          <w:color w:val="222222"/>
          <w:sz w:val="22"/>
          <w:szCs w:val="22"/>
          <w:shd w:val="clear" w:color="auto" w:fill="FFFFFF"/>
        </w:rPr>
        <w:t xml:space="preserve"> analytická časť, Žilina, 2021</w:t>
      </w:r>
    </w:p>
    <w:p w14:paraId="230A6CBA" w14:textId="77777777" w:rsidR="005577AD" w:rsidRPr="005577AD" w:rsidRDefault="005577AD" w:rsidP="005577AD">
      <w:pPr>
        <w:pStyle w:val="Odsekzoznamu"/>
        <w:numPr>
          <w:ilvl w:val="0"/>
          <w:numId w:val="40"/>
        </w:numPr>
        <w:spacing w:line="240" w:lineRule="auto"/>
        <w:rPr>
          <w:rFonts w:ascii="Century Gothic" w:hAnsi="Century Gothic" w:cs="Arial"/>
          <w:color w:val="222222"/>
          <w:sz w:val="22"/>
          <w:szCs w:val="22"/>
          <w:shd w:val="clear" w:color="auto" w:fill="FFFFFF"/>
        </w:rPr>
      </w:pPr>
      <w:proofErr w:type="spellStart"/>
      <w:r w:rsidRPr="005577AD">
        <w:rPr>
          <w:rFonts w:ascii="Century Gothic" w:hAnsi="Century Gothic" w:cs="Arial"/>
          <w:color w:val="222222"/>
          <w:sz w:val="22"/>
          <w:szCs w:val="22"/>
          <w:shd w:val="clear" w:color="auto" w:fill="FFFFFF"/>
        </w:rPr>
        <w:t>Jesseniova</w:t>
      </w:r>
      <w:proofErr w:type="spellEnd"/>
      <w:r w:rsidRPr="005577AD">
        <w:rPr>
          <w:rFonts w:ascii="Century Gothic" w:hAnsi="Century Gothic" w:cs="Arial"/>
          <w:color w:val="222222"/>
          <w:sz w:val="22"/>
          <w:szCs w:val="22"/>
          <w:shd w:val="clear" w:color="auto" w:fill="FFFFFF"/>
        </w:rPr>
        <w:t xml:space="preserve"> lekárska fakulta v Martine Univerzity Komenského v Bratislave: Štúdia realizovateľnosti výstavby Novej univerzitnej nemocnice v Martine, Martin, január 2022</w:t>
      </w:r>
    </w:p>
    <w:p w14:paraId="2A1DD5A5" w14:textId="129B6969" w:rsidR="007B7154" w:rsidRPr="009E0B4F" w:rsidRDefault="005577AD" w:rsidP="005577AD">
      <w:pPr>
        <w:pStyle w:val="Odsekzoznamu"/>
        <w:numPr>
          <w:ilvl w:val="0"/>
          <w:numId w:val="40"/>
        </w:numPr>
        <w:spacing w:line="240" w:lineRule="auto"/>
        <w:rPr>
          <w:rFonts w:ascii="Century Gothic" w:hAnsi="Century Gothic" w:cs="Arial"/>
          <w:color w:val="3E3E3E"/>
          <w:sz w:val="22"/>
          <w:szCs w:val="22"/>
        </w:rPr>
      </w:pPr>
      <w:r w:rsidRPr="005577AD">
        <w:rPr>
          <w:rFonts w:ascii="Century Gothic" w:hAnsi="Century Gothic" w:cs="Arial"/>
          <w:color w:val="222222"/>
          <w:sz w:val="22"/>
          <w:szCs w:val="22"/>
          <w:shd w:val="clear" w:color="auto" w:fill="FFFFFF"/>
        </w:rPr>
        <w:t xml:space="preserve">Fakultná nemocnica s poliklinikou Žilina, dostupné na internete </w:t>
      </w:r>
      <w:hyperlink r:id="rId85" w:history="1">
        <w:r w:rsidR="007B7154" w:rsidRPr="009E0B4F">
          <w:rPr>
            <w:rStyle w:val="Hypertextovprepojenie"/>
            <w:rFonts w:ascii="Century Gothic" w:hAnsi="Century Gothic" w:cs="Arial"/>
            <w:sz w:val="22"/>
            <w:szCs w:val="22"/>
          </w:rPr>
          <w:t>https://www.fnspza.sk</w:t>
        </w:r>
      </w:hyperlink>
      <w:r w:rsidR="007B7154" w:rsidRPr="009E0B4F">
        <w:rPr>
          <w:rFonts w:ascii="Century Gothic" w:hAnsi="Century Gothic" w:cs="Arial"/>
          <w:color w:val="3E3E3E"/>
          <w:sz w:val="22"/>
          <w:szCs w:val="22"/>
        </w:rPr>
        <w:t xml:space="preserve"> </w:t>
      </w:r>
    </w:p>
    <w:p w14:paraId="5599E0A0" w14:textId="6413DB65" w:rsidR="007B7154" w:rsidRPr="00A877EC" w:rsidRDefault="005577AD" w:rsidP="005577AD">
      <w:pPr>
        <w:pStyle w:val="Odsekzoznamu"/>
        <w:numPr>
          <w:ilvl w:val="0"/>
          <w:numId w:val="40"/>
        </w:numPr>
        <w:spacing w:line="240" w:lineRule="auto"/>
        <w:rPr>
          <w:rFonts w:ascii="Century Gothic" w:hAnsi="Century Gothic" w:cs="Arial"/>
          <w:color w:val="3E3E3E"/>
          <w:sz w:val="22"/>
          <w:szCs w:val="22"/>
        </w:rPr>
      </w:pPr>
      <w:r w:rsidRPr="00A877EC">
        <w:rPr>
          <w:rFonts w:ascii="Century Gothic" w:hAnsi="Century Gothic" w:cs="Arial"/>
          <w:color w:val="222222"/>
          <w:sz w:val="22"/>
          <w:szCs w:val="22"/>
          <w:shd w:val="clear" w:color="auto" w:fill="FFFFFF"/>
        </w:rPr>
        <w:t xml:space="preserve">Štatistický úrad Slovenskej republiky, dostupné na internete </w:t>
      </w:r>
      <w:hyperlink r:id="rId86" w:history="1">
        <w:r w:rsidR="007B7154" w:rsidRPr="00A877EC">
          <w:rPr>
            <w:rStyle w:val="Hypertextovprepojenie"/>
            <w:rFonts w:ascii="Century Gothic" w:hAnsi="Century Gothic" w:cs="Arial"/>
            <w:sz w:val="22"/>
            <w:szCs w:val="22"/>
          </w:rPr>
          <w:t>https://slovak.statistics.sk</w:t>
        </w:r>
      </w:hyperlink>
      <w:r w:rsidR="007B7154" w:rsidRPr="00A877EC">
        <w:rPr>
          <w:rFonts w:ascii="Century Gothic" w:hAnsi="Century Gothic" w:cs="Arial"/>
          <w:color w:val="3E3E3E"/>
          <w:sz w:val="22"/>
          <w:szCs w:val="22"/>
        </w:rPr>
        <w:t xml:space="preserve"> </w:t>
      </w:r>
    </w:p>
    <w:p w14:paraId="0B4B311F" w14:textId="77777777" w:rsidR="007B7154" w:rsidRPr="00A877EC" w:rsidRDefault="007B7154" w:rsidP="005577AD">
      <w:pPr>
        <w:pStyle w:val="Odsekzoznamu"/>
        <w:numPr>
          <w:ilvl w:val="0"/>
          <w:numId w:val="40"/>
        </w:numPr>
        <w:spacing w:line="240" w:lineRule="auto"/>
        <w:rPr>
          <w:rFonts w:ascii="Century Gothic" w:hAnsi="Century Gothic" w:cs="Arial"/>
          <w:color w:val="222222"/>
          <w:sz w:val="22"/>
          <w:szCs w:val="22"/>
          <w:shd w:val="clear" w:color="auto" w:fill="FFFFFF"/>
        </w:rPr>
      </w:pPr>
      <w:r w:rsidRPr="00A877EC">
        <w:rPr>
          <w:rFonts w:ascii="Century Gothic" w:hAnsi="Century Gothic" w:cs="Arial"/>
          <w:color w:val="222222"/>
          <w:sz w:val="22"/>
          <w:szCs w:val="22"/>
          <w:shd w:val="clear" w:color="auto" w:fill="FFFFFF"/>
        </w:rPr>
        <w:t>Štatistický úrad Slovenskej republiky: Kraje v číslach 2021, Bratislava, december 2021</w:t>
      </w:r>
    </w:p>
    <w:p w14:paraId="5EA82151" w14:textId="77777777" w:rsidR="007B7154" w:rsidRPr="00A877EC" w:rsidRDefault="007B7154" w:rsidP="005577AD">
      <w:pPr>
        <w:pStyle w:val="Odsekzoznamu"/>
        <w:numPr>
          <w:ilvl w:val="0"/>
          <w:numId w:val="40"/>
        </w:numPr>
        <w:spacing w:line="240" w:lineRule="auto"/>
        <w:rPr>
          <w:rFonts w:ascii="Century Gothic" w:hAnsi="Century Gothic" w:cs="Arial"/>
          <w:color w:val="222222"/>
          <w:sz w:val="22"/>
          <w:szCs w:val="22"/>
          <w:shd w:val="clear" w:color="auto" w:fill="FFFFFF"/>
        </w:rPr>
      </w:pPr>
      <w:r w:rsidRPr="00A877EC">
        <w:rPr>
          <w:rFonts w:ascii="Century Gothic" w:hAnsi="Century Gothic" w:cs="Arial"/>
          <w:color w:val="222222"/>
          <w:sz w:val="22"/>
          <w:szCs w:val="22"/>
          <w:shd w:val="clear" w:color="auto" w:fill="FFFFFF"/>
        </w:rPr>
        <w:t>Štatistický úrad Slovenskej republiky: Žilinský kraj v číslach 2020, Bratislava, december 2020</w:t>
      </w:r>
    </w:p>
    <w:p w14:paraId="7312FCF6" w14:textId="23D7909C" w:rsidR="007B7154" w:rsidRPr="00A877EC" w:rsidRDefault="007B7154" w:rsidP="005577AD">
      <w:pPr>
        <w:pStyle w:val="Odsekzoznamu"/>
        <w:numPr>
          <w:ilvl w:val="0"/>
          <w:numId w:val="40"/>
        </w:numPr>
        <w:spacing w:line="240" w:lineRule="auto"/>
        <w:rPr>
          <w:rFonts w:ascii="Century Gothic" w:hAnsi="Century Gothic" w:cs="Arial"/>
          <w:color w:val="222222"/>
          <w:sz w:val="22"/>
          <w:szCs w:val="22"/>
          <w:shd w:val="clear" w:color="auto" w:fill="FFFFFF"/>
        </w:rPr>
      </w:pPr>
      <w:r w:rsidRPr="00A877EC">
        <w:rPr>
          <w:rFonts w:ascii="Century Gothic" w:hAnsi="Century Gothic" w:cs="Arial"/>
          <w:color w:val="222222"/>
          <w:sz w:val="22"/>
          <w:szCs w:val="22"/>
          <w:shd w:val="clear" w:color="auto" w:fill="FFFFFF"/>
        </w:rPr>
        <w:t>INFOSTAT, Inštitút informatiky a štatistiky:  prognóza/projekcia obyvateľov </w:t>
      </w:r>
    </w:p>
    <w:p w14:paraId="1FD37EAD" w14:textId="57AC77F3" w:rsidR="00296D6D" w:rsidRPr="00A877EC" w:rsidRDefault="00296D6D" w:rsidP="005577AD">
      <w:pPr>
        <w:pStyle w:val="Odsekzoznamu"/>
        <w:numPr>
          <w:ilvl w:val="0"/>
          <w:numId w:val="40"/>
        </w:numPr>
        <w:spacing w:line="240" w:lineRule="auto"/>
        <w:rPr>
          <w:rFonts w:ascii="Century Gothic" w:hAnsi="Century Gothic" w:cs="Arial"/>
          <w:color w:val="222222"/>
          <w:sz w:val="22"/>
          <w:szCs w:val="22"/>
          <w:shd w:val="clear" w:color="auto" w:fill="FFFFFF"/>
        </w:rPr>
      </w:pPr>
      <w:r w:rsidRPr="00A877EC">
        <w:rPr>
          <w:rFonts w:ascii="Century Gothic" w:hAnsi="Century Gothic" w:cs="Arial"/>
          <w:color w:val="222222"/>
          <w:sz w:val="22"/>
          <w:szCs w:val="22"/>
          <w:shd w:val="clear" w:color="auto" w:fill="FFFFFF"/>
        </w:rPr>
        <w:t>Interné dokumenty Fakultnej nemocnice s poliklinikou Žilina</w:t>
      </w:r>
      <w:r w:rsidR="00554317" w:rsidRPr="00A877EC">
        <w:rPr>
          <w:rFonts w:ascii="Century Gothic" w:hAnsi="Century Gothic" w:cs="Arial"/>
          <w:color w:val="222222"/>
          <w:sz w:val="22"/>
          <w:szCs w:val="22"/>
          <w:shd w:val="clear" w:color="auto" w:fill="FFFFFF"/>
        </w:rPr>
        <w:t xml:space="preserve"> </w:t>
      </w:r>
      <w:r w:rsidR="00A877EC" w:rsidRPr="00A877EC">
        <w:rPr>
          <w:rFonts w:ascii="Century Gothic" w:hAnsi="Century Gothic" w:cs="Arial"/>
          <w:color w:val="222222"/>
          <w:sz w:val="22"/>
          <w:szCs w:val="22"/>
          <w:shd w:val="clear" w:color="auto" w:fill="FFFFFF"/>
        </w:rPr>
        <w:t xml:space="preserve"> </w:t>
      </w:r>
    </w:p>
    <w:p w14:paraId="2F25D68A" w14:textId="07712B21" w:rsidR="009E0B4F" w:rsidRDefault="009E0B4F" w:rsidP="005577AD">
      <w:pPr>
        <w:pStyle w:val="Odsekzoznamu"/>
        <w:numPr>
          <w:ilvl w:val="0"/>
          <w:numId w:val="40"/>
        </w:numPr>
        <w:spacing w:line="240" w:lineRule="auto"/>
        <w:rPr>
          <w:rFonts w:ascii="Century Gothic" w:hAnsi="Century Gothic" w:cs="Arial"/>
          <w:color w:val="222222"/>
          <w:sz w:val="22"/>
          <w:szCs w:val="22"/>
          <w:shd w:val="clear" w:color="auto" w:fill="FFFFFF"/>
        </w:rPr>
      </w:pPr>
      <w:r w:rsidRPr="00A877EC">
        <w:rPr>
          <w:rFonts w:ascii="Century Gothic" w:hAnsi="Century Gothic" w:cs="Arial"/>
          <w:color w:val="222222"/>
          <w:sz w:val="22"/>
          <w:szCs w:val="22"/>
          <w:shd w:val="clear" w:color="auto" w:fill="FFFFFF"/>
        </w:rPr>
        <w:t>Národné centrum zdravotníckych informácií, dostupné na internete</w:t>
      </w:r>
      <w:r w:rsidR="004E231E" w:rsidRPr="00A877EC">
        <w:rPr>
          <w:rFonts w:ascii="Century Gothic" w:hAnsi="Century Gothic" w:cs="Arial"/>
          <w:color w:val="222222"/>
          <w:sz w:val="22"/>
          <w:szCs w:val="22"/>
          <w:shd w:val="clear" w:color="auto" w:fill="FFFFFF"/>
        </w:rPr>
        <w:t xml:space="preserve"> </w:t>
      </w:r>
      <w:r w:rsidR="00A877EC" w:rsidRPr="00A877EC">
        <w:rPr>
          <w:rFonts w:ascii="Century Gothic" w:hAnsi="Century Gothic" w:cs="Arial"/>
          <w:color w:val="222222"/>
          <w:sz w:val="22"/>
          <w:szCs w:val="22"/>
          <w:shd w:val="clear" w:color="auto" w:fill="FFFFFF"/>
        </w:rPr>
        <w:t xml:space="preserve"> </w:t>
      </w:r>
      <w:hyperlink r:id="rId87" w:history="1">
        <w:r w:rsidR="00A877EC" w:rsidRPr="00A877EC">
          <w:rPr>
            <w:rStyle w:val="Hypertextovprepojenie"/>
            <w:rFonts w:ascii="Century Gothic" w:hAnsi="Century Gothic" w:cs="Arial"/>
            <w:noProof w:val="0"/>
            <w:sz w:val="22"/>
            <w:szCs w:val="22"/>
            <w:shd w:val="clear" w:color="auto" w:fill="FFFFFF"/>
          </w:rPr>
          <w:t>https://nczisk.sk</w:t>
        </w:r>
      </w:hyperlink>
    </w:p>
    <w:p w14:paraId="714A6824" w14:textId="593FD26B" w:rsidR="00037D86" w:rsidRDefault="00E01E73" w:rsidP="002826DC">
      <w:pPr>
        <w:pStyle w:val="Odsekzoznamu"/>
        <w:numPr>
          <w:ilvl w:val="0"/>
          <w:numId w:val="40"/>
        </w:numPr>
        <w:spacing w:line="240" w:lineRule="auto"/>
        <w:rPr>
          <w:rFonts w:ascii="Century Gothic" w:hAnsi="Century Gothic" w:cs="Arial"/>
          <w:color w:val="222222"/>
          <w:sz w:val="22"/>
          <w:szCs w:val="22"/>
          <w:shd w:val="clear" w:color="auto" w:fill="FFFFFF"/>
        </w:rPr>
      </w:pPr>
      <w:r>
        <w:rPr>
          <w:rFonts w:ascii="Century Gothic" w:hAnsi="Century Gothic" w:cs="Arial"/>
          <w:color w:val="222222"/>
          <w:sz w:val="22"/>
          <w:szCs w:val="22"/>
          <w:shd w:val="clear" w:color="auto" w:fill="FFFFFF"/>
        </w:rPr>
        <w:t xml:space="preserve">Ing. Marek </w:t>
      </w:r>
      <w:proofErr w:type="spellStart"/>
      <w:r>
        <w:rPr>
          <w:rFonts w:ascii="Century Gothic" w:hAnsi="Century Gothic" w:cs="Arial"/>
          <w:color w:val="222222"/>
          <w:sz w:val="22"/>
          <w:szCs w:val="22"/>
          <w:shd w:val="clear" w:color="auto" w:fill="FFFFFF"/>
        </w:rPr>
        <w:t>Cangár</w:t>
      </w:r>
      <w:proofErr w:type="spellEnd"/>
      <w:r>
        <w:rPr>
          <w:rFonts w:ascii="Century Gothic" w:hAnsi="Century Gothic" w:cs="Arial"/>
          <w:color w:val="222222"/>
          <w:sz w:val="22"/>
          <w:szCs w:val="22"/>
          <w:shd w:val="clear" w:color="auto" w:fill="FFFFFF"/>
        </w:rPr>
        <w:t>, PhD.: Súhrnná a sprievodná technická správa – Pavilón urgentnej medicíny, Žilina, 03/2023.</w:t>
      </w:r>
    </w:p>
    <w:p w14:paraId="0078328F" w14:textId="67D20766" w:rsidR="00782EC7" w:rsidRPr="002826DC" w:rsidRDefault="00782EC7" w:rsidP="002826DC">
      <w:pPr>
        <w:pStyle w:val="Odsekzoznamu"/>
        <w:numPr>
          <w:ilvl w:val="0"/>
          <w:numId w:val="40"/>
        </w:numPr>
        <w:spacing w:line="240" w:lineRule="auto"/>
        <w:rPr>
          <w:rFonts w:ascii="Century Gothic" w:hAnsi="Century Gothic" w:cs="Arial"/>
          <w:color w:val="222222"/>
          <w:sz w:val="22"/>
          <w:szCs w:val="22"/>
          <w:shd w:val="clear" w:color="auto" w:fill="FFFFFF"/>
        </w:rPr>
      </w:pPr>
      <w:r>
        <w:rPr>
          <w:rFonts w:ascii="Century Gothic" w:hAnsi="Century Gothic" w:cs="Arial"/>
          <w:color w:val="222222"/>
          <w:sz w:val="22"/>
          <w:szCs w:val="22"/>
          <w:shd w:val="clear" w:color="auto" w:fill="FFFFFF"/>
        </w:rPr>
        <w:t>Národné centrum zdravotníckych informácií: Zdravotnícka ročenka Slovenskej republiky 2021, Bratislava, 2022</w:t>
      </w:r>
    </w:p>
    <w:sectPr w:rsidR="00782EC7" w:rsidRPr="002826DC" w:rsidSect="00DA4E9D">
      <w:footerReference w:type="default" r:id="rId88"/>
      <w:pgSz w:w="11906" w:h="16838"/>
      <w:pgMar w:top="1417" w:right="1417" w:bottom="1417" w:left="1417" w:header="851"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3B8CA" w16cex:dateUtc="2023-08-01T15:00:00Z"/>
  <w16cex:commentExtensible w16cex:durableId="2873BAAB" w16cex:dateUtc="2023-08-01T15:08:00Z"/>
  <w16cex:commentExtensible w16cex:durableId="2873BC80" w16cex:dateUtc="2023-08-01T15:16:00Z"/>
  <w16cex:commentExtensible w16cex:durableId="2873BDFE" w16cex:dateUtc="2023-08-01T15:23:00Z"/>
  <w16cex:commentExtensible w16cex:durableId="2873C0D5" w16cex:dateUtc="2023-08-01T15:35:00Z"/>
  <w16cex:commentExtensible w16cex:durableId="2873C15B" w16cex:dateUtc="2023-08-01T15:37:00Z"/>
  <w16cex:commentExtensible w16cex:durableId="2873C196" w16cex:dateUtc="2023-08-01T15:38:00Z"/>
  <w16cex:commentExtensible w16cex:durableId="2873C319" w16cex:dateUtc="2023-08-01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72C3E4" w16cid:durableId="2873B8CA"/>
  <w16cid:commentId w16cid:paraId="03001409" w16cid:durableId="2873BAAB"/>
  <w16cid:commentId w16cid:paraId="1256FC05" w16cid:durableId="2873BC80"/>
  <w16cid:commentId w16cid:paraId="5CA6DF7D" w16cid:durableId="2873BDFE"/>
  <w16cid:commentId w16cid:paraId="2E7268BB" w16cid:durableId="2873C0D5"/>
  <w16cid:commentId w16cid:paraId="38587DBE" w16cid:durableId="2873C15B"/>
  <w16cid:commentId w16cid:paraId="52A6900B" w16cid:durableId="2873C196"/>
  <w16cid:commentId w16cid:paraId="5F3977B9" w16cid:durableId="2873C31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53E33" w14:textId="77777777" w:rsidR="003F238F" w:rsidRDefault="003F238F" w:rsidP="0067363A">
      <w:r>
        <w:separator/>
      </w:r>
    </w:p>
    <w:p w14:paraId="09300FAF" w14:textId="77777777" w:rsidR="003F238F" w:rsidRDefault="003F238F"/>
  </w:endnote>
  <w:endnote w:type="continuationSeparator" w:id="0">
    <w:p w14:paraId="236BD62C" w14:textId="77777777" w:rsidR="003F238F" w:rsidRDefault="003F238F" w:rsidP="0067363A">
      <w:r>
        <w:continuationSeparator/>
      </w:r>
    </w:p>
    <w:p w14:paraId="7B04100D" w14:textId="77777777" w:rsidR="003F238F" w:rsidRDefault="003F2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Neue-Condensed">
    <w:panose1 w:val="00000000000000000000"/>
    <w:charset w:val="00"/>
    <w:family w:val="swiss"/>
    <w:notTrueType/>
    <w:pitch w:val="default"/>
    <w:sig w:usb0="00000003" w:usb1="00000000" w:usb2="00000000" w:usb3="00000000" w:csb0="00000001" w:csb1="00000000"/>
  </w:font>
  <w:font w:name="Arial Bold">
    <w:charset w:val="00"/>
    <w:family w:val="roman"/>
    <w:pitch w:val="default"/>
  </w:font>
  <w:font w:name="ヒラギノ角ゴ Pro W3">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WenQuanYi Zen Hei">
    <w:charset w:val="80"/>
    <w:family w:val="auto"/>
    <w:pitch w:val="variable"/>
  </w:font>
  <w:font w:name="Lohit Hindi">
    <w:charset w:val="80"/>
    <w:family w:val="auto"/>
    <w:pitch w:val="variable"/>
  </w:font>
  <w:font w:name="Myriad Pro">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font>
  <w:font w:name="Andale Sans UI">
    <w:charset w:val="00"/>
    <w:family w:val="auto"/>
    <w:pitch w:val="variable"/>
  </w:font>
  <w:font w:name="Helvetica Neue">
    <w:charset w:val="00"/>
    <w:family w:val="auto"/>
    <w:pitch w:val="variable"/>
    <w:sig w:usb0="E50002FF" w:usb1="500079DB" w:usb2="0000001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NimbusSanL-Bold">
    <w:altName w:val="MS Gothic"/>
    <w:panose1 w:val="00000000000000000000"/>
    <w:charset w:val="80"/>
    <w:family w:val="auto"/>
    <w:notTrueType/>
    <w:pitch w:val="default"/>
    <w:sig w:usb0="00000001" w:usb1="08070000" w:usb2="00000010" w:usb3="00000000" w:csb0="00020000" w:csb1="00000000"/>
  </w:font>
  <w:font w:name="NimbusSanL-Regu">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D4973" w14:textId="09D541F7" w:rsidR="00DA7C13" w:rsidRDefault="00DA7C13">
    <w:pPr>
      <w:pStyle w:val="Pta"/>
      <w:jc w:val="right"/>
    </w:pPr>
  </w:p>
  <w:p w14:paraId="19E32289" w14:textId="0378F3CA" w:rsidR="00DA7C13" w:rsidRDefault="00DA7C13">
    <w:pPr>
      <w:spacing w:line="200" w:lineRule="exact"/>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794215"/>
      <w:docPartObj>
        <w:docPartGallery w:val="Page Numbers (Bottom of Page)"/>
        <w:docPartUnique/>
      </w:docPartObj>
    </w:sdtPr>
    <w:sdtEndPr/>
    <w:sdtContent>
      <w:p w14:paraId="34DE4792" w14:textId="49963911" w:rsidR="00DA7C13" w:rsidRDefault="00DA7C13" w:rsidP="00DA4E9D">
        <w:pPr>
          <w:pStyle w:val="Pta"/>
          <w:jc w:val="center"/>
        </w:pPr>
        <w:r w:rsidRPr="00857D05">
          <w:rPr>
            <w:rFonts w:ascii="Century Gothic" w:hAnsi="Century Gothic"/>
            <w:sz w:val="16"/>
            <w:szCs w:val="16"/>
          </w:rPr>
          <w:fldChar w:fldCharType="begin"/>
        </w:r>
        <w:r w:rsidRPr="00857D05">
          <w:rPr>
            <w:rFonts w:ascii="Century Gothic" w:hAnsi="Century Gothic"/>
            <w:sz w:val="16"/>
            <w:szCs w:val="16"/>
          </w:rPr>
          <w:instrText>PAGE   \* MERGEFORMAT</w:instrText>
        </w:r>
        <w:r w:rsidRPr="00857D05">
          <w:rPr>
            <w:rFonts w:ascii="Century Gothic" w:hAnsi="Century Gothic"/>
            <w:sz w:val="16"/>
            <w:szCs w:val="16"/>
          </w:rPr>
          <w:fldChar w:fldCharType="separate"/>
        </w:r>
        <w:r w:rsidR="00FA3374">
          <w:rPr>
            <w:rFonts w:ascii="Century Gothic" w:hAnsi="Century Gothic"/>
            <w:noProof/>
            <w:sz w:val="16"/>
            <w:szCs w:val="16"/>
          </w:rPr>
          <w:t>2</w:t>
        </w:r>
        <w:r w:rsidRPr="00857D05">
          <w:rPr>
            <w:rFonts w:ascii="Century Gothic" w:hAnsi="Century Gothic"/>
            <w:sz w:val="16"/>
            <w:szCs w:val="16"/>
          </w:rPr>
          <w:fldChar w:fldCharType="end"/>
        </w:r>
      </w:p>
    </w:sdtContent>
  </w:sdt>
  <w:p w14:paraId="4E6C84D4" w14:textId="77777777" w:rsidR="00DA7C13" w:rsidRDefault="00DA7C13">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8ACD9" w14:textId="77777777" w:rsidR="003F238F" w:rsidRDefault="003F238F" w:rsidP="0067363A">
      <w:r>
        <w:separator/>
      </w:r>
    </w:p>
    <w:p w14:paraId="1ACBF054" w14:textId="77777777" w:rsidR="003F238F" w:rsidRDefault="003F238F"/>
  </w:footnote>
  <w:footnote w:type="continuationSeparator" w:id="0">
    <w:p w14:paraId="6025C452" w14:textId="77777777" w:rsidR="003F238F" w:rsidRDefault="003F238F" w:rsidP="0067363A">
      <w:r>
        <w:continuationSeparator/>
      </w:r>
    </w:p>
    <w:p w14:paraId="23E96B90" w14:textId="77777777" w:rsidR="003F238F" w:rsidRDefault="003F238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330D4" w14:textId="1B6DADA4" w:rsidR="00DA7C13" w:rsidRPr="006522BB" w:rsidRDefault="00DA7C13" w:rsidP="00CC5E50">
    <w:pPr>
      <w:autoSpaceDE w:val="0"/>
      <w:autoSpaceDN w:val="0"/>
      <w:adjustRightInd w:val="0"/>
      <w:spacing w:line="240" w:lineRule="auto"/>
      <w:jc w:val="left"/>
      <w:rPr>
        <w:rFonts w:asciiTheme="minorHAnsi" w:hAnsiTheme="minorHAnsi"/>
        <w:color w:val="365F91" w:themeColor="accent1" w:themeShade="BF"/>
        <w:sz w:val="16"/>
        <w:szCs w:val="16"/>
      </w:rPr>
    </w:pPr>
    <w:r w:rsidRPr="006522BB">
      <w:rPr>
        <w:rFonts w:asciiTheme="minorHAnsi" w:hAnsiTheme="minorHAnsi"/>
        <w:i/>
        <w:noProof/>
        <w:color w:val="365F91" w:themeColor="accent1" w:themeShade="BF"/>
        <w:sz w:val="16"/>
        <w:szCs w:val="16"/>
      </w:rPr>
      <mc:AlternateContent>
        <mc:Choice Requires="wps">
          <w:drawing>
            <wp:anchor distT="0" distB="0" distL="114300" distR="114300" simplePos="0" relativeHeight="251657216" behindDoc="0" locked="0" layoutInCell="1" allowOverlap="1" wp14:anchorId="6CC4E87D" wp14:editId="5917FB72">
              <wp:simplePos x="0" y="0"/>
              <wp:positionH relativeFrom="column">
                <wp:posOffset>-32385</wp:posOffset>
              </wp:positionH>
              <wp:positionV relativeFrom="paragraph">
                <wp:posOffset>154940</wp:posOffset>
              </wp:positionV>
              <wp:extent cx="5467350" cy="0"/>
              <wp:effectExtent l="0" t="0" r="19050" b="19050"/>
              <wp:wrapNone/>
              <wp:docPr id="7" name="Rovná spojnica 7"/>
              <wp:cNvGraphicFramePr/>
              <a:graphic xmlns:a="http://schemas.openxmlformats.org/drawingml/2006/main">
                <a:graphicData uri="http://schemas.microsoft.com/office/word/2010/wordprocessingShape">
                  <wps:wsp>
                    <wps:cNvCnPr/>
                    <wps:spPr>
                      <a:xfrm>
                        <a:off x="0" y="0"/>
                        <a:ext cx="5467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19EF7A" id="Rovná spojnica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2.2pt" to="427.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" strokecolor="#4579b8 [3044]"/>
          </w:pict>
        </mc:Fallback>
      </mc:AlternateContent>
    </w:r>
    <w:r>
      <w:rPr>
        <w:rFonts w:asciiTheme="minorHAnsi" w:hAnsiTheme="minorHAnsi"/>
        <w:i/>
        <w:color w:val="365F91" w:themeColor="accent1" w:themeShade="BF"/>
        <w:sz w:val="16"/>
        <w:szCs w:val="16"/>
      </w:rPr>
      <w:t>Štúdia realizovateľnosti nového Pavilónu Urgentnej medicíny v Žiline</w:t>
    </w:r>
  </w:p>
  <w:p w14:paraId="63B95902" w14:textId="77777777" w:rsidR="00DA7C13" w:rsidRDefault="00DA7C1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D4455F0"/>
    <w:lvl w:ilvl="0">
      <w:start w:val="1"/>
      <w:numFmt w:val="bullet"/>
      <w:pStyle w:val="Odrky"/>
      <w:lvlText w:val=""/>
      <w:lvlJc w:val="left"/>
      <w:pPr>
        <w:tabs>
          <w:tab w:val="num" w:pos="360"/>
        </w:tabs>
        <w:ind w:left="360" w:hanging="360"/>
      </w:pPr>
      <w:rPr>
        <w:rFonts w:ascii="Symbol" w:hAnsi="Symbol" w:hint="default"/>
      </w:rPr>
    </w:lvl>
  </w:abstractNum>
  <w:abstractNum w:abstractNumId="1" w15:restartNumberingAfterBreak="0">
    <w:nsid w:val="010C69A1"/>
    <w:multiLevelType w:val="multilevel"/>
    <w:tmpl w:val="A9E42580"/>
    <w:lvl w:ilvl="0">
      <w:start w:val="1"/>
      <w:numFmt w:val="decimal"/>
      <w:pStyle w:val="Nadpis1bezcisl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1B335D"/>
    <w:multiLevelType w:val="hybridMultilevel"/>
    <w:tmpl w:val="7646F804"/>
    <w:styleLink w:val="ImportedStyle7"/>
    <w:lvl w:ilvl="0" w:tplc="6C927A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A14494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BB2F0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78980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91CF12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AA484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D2CB8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0C4F0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3A0F1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BB0A9D"/>
    <w:multiLevelType w:val="hybridMultilevel"/>
    <w:tmpl w:val="9310395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9E512A"/>
    <w:multiLevelType w:val="hybridMultilevel"/>
    <w:tmpl w:val="FAB81B1A"/>
    <w:styleLink w:val="ImportedStyle4"/>
    <w:lvl w:ilvl="0" w:tplc="1214F8A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7ACE90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37025E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96C7D4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CF67428">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F2EDC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092032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8A098E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921F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AC5B3E"/>
    <w:multiLevelType w:val="hybridMultilevel"/>
    <w:tmpl w:val="4A586E60"/>
    <w:lvl w:ilvl="0" w:tplc="EE6ADE12">
      <w:start w:val="1"/>
      <w:numFmt w:val="decimal"/>
      <w:pStyle w:val="ObrazokJanovcik"/>
      <w:lvlText w:val="Obrázok 1.%1 "/>
      <w:lvlJc w:val="left"/>
      <w:pPr>
        <w:ind w:left="1637" w:hanging="360"/>
      </w:pPr>
      <w:rPr>
        <w:rFonts w:hint="default"/>
        <w:b w:val="0"/>
        <w:i/>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D5D6C9B"/>
    <w:multiLevelType w:val="hybridMultilevel"/>
    <w:tmpl w:val="7224343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340AFE"/>
    <w:multiLevelType w:val="hybridMultilevel"/>
    <w:tmpl w:val="E8B618F4"/>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ED403E3"/>
    <w:multiLevelType w:val="hybridMultilevel"/>
    <w:tmpl w:val="A738C0C0"/>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FCD57DA"/>
    <w:multiLevelType w:val="hybridMultilevel"/>
    <w:tmpl w:val="3A60D3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A82E1F"/>
    <w:multiLevelType w:val="hybridMultilevel"/>
    <w:tmpl w:val="53FA14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26C6F10"/>
    <w:multiLevelType w:val="hybridMultilevel"/>
    <w:tmpl w:val="F4808A1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566CBD"/>
    <w:multiLevelType w:val="hybridMultilevel"/>
    <w:tmpl w:val="59BE3804"/>
    <w:lvl w:ilvl="0" w:tplc="4D5E97D0">
      <w:start w:val="1"/>
      <w:numFmt w:val="decimal"/>
      <w:lvlText w:val="%1."/>
      <w:lvlJc w:val="left"/>
      <w:pPr>
        <w:tabs>
          <w:tab w:val="num" w:pos="720"/>
        </w:tabs>
        <w:ind w:left="720" w:hanging="360"/>
      </w:pPr>
      <w:rPr>
        <w:rFonts w:hint="default"/>
      </w:rPr>
    </w:lvl>
    <w:lvl w:ilvl="1" w:tplc="AAFE504A">
      <w:start w:val="1"/>
      <w:numFmt w:val="decimal"/>
      <w:isLgl/>
      <w:lvlText w:val="%2.%2"/>
      <w:lvlJc w:val="left"/>
      <w:pPr>
        <w:tabs>
          <w:tab w:val="num" w:pos="720"/>
        </w:tabs>
        <w:ind w:left="720" w:hanging="450"/>
      </w:pPr>
      <w:rPr>
        <w:rFonts w:hint="default"/>
      </w:rPr>
    </w:lvl>
    <w:lvl w:ilvl="2" w:tplc="95B02462">
      <w:numFmt w:val="none"/>
      <w:lvlText w:val=""/>
      <w:lvlJc w:val="left"/>
      <w:pPr>
        <w:tabs>
          <w:tab w:val="num" w:pos="360"/>
        </w:tabs>
      </w:pPr>
    </w:lvl>
    <w:lvl w:ilvl="3" w:tplc="3D24F922">
      <w:numFmt w:val="none"/>
      <w:pStyle w:val="nadpis4"/>
      <w:lvlText w:val=""/>
      <w:lvlJc w:val="left"/>
      <w:pPr>
        <w:tabs>
          <w:tab w:val="num" w:pos="360"/>
        </w:tabs>
      </w:pPr>
    </w:lvl>
    <w:lvl w:ilvl="4" w:tplc="2D521708">
      <w:numFmt w:val="none"/>
      <w:lvlText w:val=""/>
      <w:lvlJc w:val="left"/>
      <w:pPr>
        <w:tabs>
          <w:tab w:val="num" w:pos="360"/>
        </w:tabs>
      </w:pPr>
    </w:lvl>
    <w:lvl w:ilvl="5" w:tplc="FDBE1E2A">
      <w:numFmt w:val="none"/>
      <w:lvlText w:val=""/>
      <w:lvlJc w:val="left"/>
      <w:pPr>
        <w:tabs>
          <w:tab w:val="num" w:pos="360"/>
        </w:tabs>
      </w:pPr>
    </w:lvl>
    <w:lvl w:ilvl="6" w:tplc="BD0E6DD8">
      <w:numFmt w:val="none"/>
      <w:lvlText w:val=""/>
      <w:lvlJc w:val="left"/>
      <w:pPr>
        <w:tabs>
          <w:tab w:val="num" w:pos="360"/>
        </w:tabs>
      </w:pPr>
    </w:lvl>
    <w:lvl w:ilvl="7" w:tplc="68E8F548">
      <w:numFmt w:val="none"/>
      <w:lvlText w:val=""/>
      <w:lvlJc w:val="left"/>
      <w:pPr>
        <w:tabs>
          <w:tab w:val="num" w:pos="360"/>
        </w:tabs>
      </w:pPr>
    </w:lvl>
    <w:lvl w:ilvl="8" w:tplc="76E47718">
      <w:numFmt w:val="none"/>
      <w:lvlText w:val=""/>
      <w:lvlJc w:val="left"/>
      <w:pPr>
        <w:tabs>
          <w:tab w:val="num" w:pos="360"/>
        </w:tabs>
      </w:pPr>
    </w:lvl>
  </w:abstractNum>
  <w:abstractNum w:abstractNumId="13" w15:restartNumberingAfterBreak="0">
    <w:nsid w:val="14453C3B"/>
    <w:multiLevelType w:val="hybridMultilevel"/>
    <w:tmpl w:val="5874B48C"/>
    <w:lvl w:ilvl="0" w:tplc="94202D2C">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14C33156"/>
    <w:multiLevelType w:val="multilevel"/>
    <w:tmpl w:val="E18AF142"/>
    <w:styleLink w:val="Zoznam3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30"/>
        </w:tabs>
        <w:ind w:left="133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50"/>
        </w:tabs>
        <w:ind w:left="205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770"/>
        </w:tabs>
        <w:ind w:left="277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490"/>
        </w:tabs>
        <w:ind w:left="349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10"/>
        </w:tabs>
        <w:ind w:left="421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30"/>
        </w:tabs>
        <w:ind w:left="493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50"/>
        </w:tabs>
        <w:ind w:left="565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370"/>
        </w:tabs>
        <w:ind w:left="637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90D36EA"/>
    <w:multiLevelType w:val="hybridMultilevel"/>
    <w:tmpl w:val="97EEFD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96B5B5E"/>
    <w:multiLevelType w:val="multilevel"/>
    <w:tmpl w:val="9D264F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E477D4"/>
    <w:multiLevelType w:val="hybridMultilevel"/>
    <w:tmpl w:val="AF0AC896"/>
    <w:styleLink w:val="ImportedStyle11"/>
    <w:lvl w:ilvl="0" w:tplc="CA6625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A264B5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EEC50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22BB3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7D26BB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A3EC9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284D3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9B8815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738D7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A816FCE"/>
    <w:multiLevelType w:val="hybridMultilevel"/>
    <w:tmpl w:val="1256D4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9C1479"/>
    <w:multiLevelType w:val="hybridMultilevel"/>
    <w:tmpl w:val="F698DEFA"/>
    <w:lvl w:ilvl="0" w:tplc="310C01B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B137113"/>
    <w:multiLevelType w:val="hybridMultilevel"/>
    <w:tmpl w:val="81F40F94"/>
    <w:styleLink w:val="ImportedStyle10"/>
    <w:lvl w:ilvl="0" w:tplc="E9FE4CB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956222A">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D7EB466">
      <w:start w:val="1"/>
      <w:numFmt w:val="decimal"/>
      <w:lvlText w:val="%3."/>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F5A9A8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5485A66">
      <w:start w:val="1"/>
      <w:numFmt w:val="decimal"/>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AE4D180">
      <w:start w:val="1"/>
      <w:numFmt w:val="decimal"/>
      <w:lvlText w:val="%6."/>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A328BD9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1E4322">
      <w:start w:val="1"/>
      <w:numFmt w:val="decimal"/>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828F3A">
      <w:start w:val="1"/>
      <w:numFmt w:val="decimal"/>
      <w:lvlText w:val="%9."/>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B815EE9"/>
    <w:multiLevelType w:val="hybridMultilevel"/>
    <w:tmpl w:val="A1DACC64"/>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1BFE0793"/>
    <w:multiLevelType w:val="multilevel"/>
    <w:tmpl w:val="041B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D8A5B8C"/>
    <w:multiLevelType w:val="multilevel"/>
    <w:tmpl w:val="A6B0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533FF0"/>
    <w:multiLevelType w:val="hybridMultilevel"/>
    <w:tmpl w:val="1152F260"/>
    <w:styleLink w:val="ImportedStyle16"/>
    <w:lvl w:ilvl="0" w:tplc="0B3AE9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FE514C">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129B4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CA859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A2803C">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7E4B352">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01E777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9AF82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E8F55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5572FCC"/>
    <w:multiLevelType w:val="multilevel"/>
    <w:tmpl w:val="9D264F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6D630A"/>
    <w:multiLevelType w:val="hybridMultilevel"/>
    <w:tmpl w:val="6964A384"/>
    <w:lvl w:ilvl="0" w:tplc="041B000F">
      <w:start w:val="1"/>
      <w:numFmt w:val="decimal"/>
      <w:lvlText w:val="%1."/>
      <w:lvlJc w:val="left"/>
      <w:pPr>
        <w:ind w:left="720" w:hanging="360"/>
      </w:pPr>
      <w:rPr>
        <w:rFonts w:hint="default"/>
      </w:rPr>
    </w:lvl>
    <w:lvl w:ilvl="1" w:tplc="9026A8B0">
      <w:numFmt w:val="bullet"/>
      <w:lvlText w:val="•"/>
      <w:lvlJc w:val="left"/>
      <w:pPr>
        <w:ind w:left="1785" w:hanging="705"/>
      </w:pPr>
      <w:rPr>
        <w:rFonts w:ascii="Century Gothic" w:eastAsia="Times New Roman" w:hAnsi="Century Gothic"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6720A11"/>
    <w:multiLevelType w:val="multilevel"/>
    <w:tmpl w:val="9D264F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702252A"/>
    <w:multiLevelType w:val="multilevel"/>
    <w:tmpl w:val="9C329B9E"/>
    <w:styleLink w:val="ImportedStyle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6088" w:hanging="13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8C13E27"/>
    <w:multiLevelType w:val="hybridMultilevel"/>
    <w:tmpl w:val="353E0818"/>
    <w:lvl w:ilvl="0" w:tplc="69D6B26C">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D9854B2"/>
    <w:multiLevelType w:val="hybridMultilevel"/>
    <w:tmpl w:val="2C8C3CF2"/>
    <w:lvl w:ilvl="0" w:tplc="E864F268">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2E8F4FDD"/>
    <w:multiLevelType w:val="multilevel"/>
    <w:tmpl w:val="A3047F04"/>
    <w:styleLink w:val="ImportedStyle19"/>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F9E6AD7"/>
    <w:multiLevelType w:val="hybridMultilevel"/>
    <w:tmpl w:val="222A27B4"/>
    <w:styleLink w:val="ImportedStyle17"/>
    <w:lvl w:ilvl="0" w:tplc="82E8966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6F4A94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4A8B776">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C9B0D87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198FCF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BA890A4">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64954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7DC74D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9FE5C5E">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04C1535"/>
    <w:multiLevelType w:val="hybridMultilevel"/>
    <w:tmpl w:val="B37E914C"/>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0B018D7"/>
    <w:multiLevelType w:val="hybridMultilevel"/>
    <w:tmpl w:val="63B0D140"/>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32290150"/>
    <w:multiLevelType w:val="hybridMultilevel"/>
    <w:tmpl w:val="F25A1B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5D26613"/>
    <w:multiLevelType w:val="hybridMultilevel"/>
    <w:tmpl w:val="596017E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7B72085"/>
    <w:multiLevelType w:val="hybridMultilevel"/>
    <w:tmpl w:val="6570F682"/>
    <w:lvl w:ilvl="0" w:tplc="04050001">
      <w:start w:val="1"/>
      <w:numFmt w:val="bullet"/>
      <w:lvlText w:val=""/>
      <w:lvlJc w:val="left"/>
      <w:pPr>
        <w:tabs>
          <w:tab w:val="num" w:pos="720"/>
        </w:tabs>
        <w:ind w:left="720" w:hanging="360"/>
      </w:pPr>
      <w:rPr>
        <w:rFonts w:ascii="Symbol" w:hAnsi="Symbol" w:hint="default"/>
      </w:rPr>
    </w:lvl>
    <w:lvl w:ilvl="1" w:tplc="3B3CE71E">
      <w:start w:val="1"/>
      <w:numFmt w:val="bullet"/>
      <w:pStyle w:val="Styl1"/>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92B7833"/>
    <w:multiLevelType w:val="hybridMultilevel"/>
    <w:tmpl w:val="0D1AE4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9787729"/>
    <w:multiLevelType w:val="hybridMultilevel"/>
    <w:tmpl w:val="A03A82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7D416C"/>
    <w:multiLevelType w:val="hybridMultilevel"/>
    <w:tmpl w:val="489CE2C2"/>
    <w:lvl w:ilvl="0" w:tplc="041B000F">
      <w:start w:val="1"/>
      <w:numFmt w:val="decimal"/>
      <w:lvlText w:val="%1."/>
      <w:lvlJc w:val="left"/>
      <w:pPr>
        <w:ind w:left="720" w:hanging="360"/>
      </w:pPr>
      <w:rPr>
        <w:rFonts w:hint="default"/>
      </w:rPr>
    </w:lvl>
    <w:lvl w:ilvl="1" w:tplc="E21CF9E8">
      <w:start w:val="1"/>
      <w:numFmt w:val="lowerLetter"/>
      <w:lvlText w:val="%2)"/>
      <w:lvlJc w:val="left"/>
      <w:pPr>
        <w:ind w:left="1440" w:hanging="360"/>
      </w:pPr>
      <w:rPr>
        <w:rFonts w:ascii="Arial"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98C6F66"/>
    <w:multiLevelType w:val="hybridMultilevel"/>
    <w:tmpl w:val="C65895E2"/>
    <w:styleLink w:val="ImportedStyle13"/>
    <w:lvl w:ilvl="0" w:tplc="AC6C5F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CA24F9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9A5D2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BC4A8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637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34368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194EA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F063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02C98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3D553860"/>
    <w:multiLevelType w:val="multilevel"/>
    <w:tmpl w:val="095C8AD6"/>
    <w:styleLink w:val="Bullet1"/>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720"/>
        </w:tabs>
        <w:ind w:left="369" w:hanging="36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581"/>
        </w:tabs>
        <w:ind w:left="864"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3D790253"/>
    <w:multiLevelType w:val="hybridMultilevel"/>
    <w:tmpl w:val="A4B8D72E"/>
    <w:styleLink w:val="ImportedStyle5"/>
    <w:lvl w:ilvl="0" w:tplc="C2A6D28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14A4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3C681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AEA45A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06AC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04794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82CC11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8E8A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EA724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E6E4525"/>
    <w:multiLevelType w:val="hybridMultilevel"/>
    <w:tmpl w:val="58C4DC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F7832AE"/>
    <w:multiLevelType w:val="hybridMultilevel"/>
    <w:tmpl w:val="121E6806"/>
    <w:styleLink w:val="ImportedStyle8"/>
    <w:lvl w:ilvl="0" w:tplc="355444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58A26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F88AA0">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60004C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B6BF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BD43A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1503D7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EA5B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65E365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02B7819"/>
    <w:multiLevelType w:val="hybridMultilevel"/>
    <w:tmpl w:val="37F8A538"/>
    <w:styleLink w:val="ImportedStyle15"/>
    <w:lvl w:ilvl="0" w:tplc="CF44E8EE">
      <w:start w:val="1"/>
      <w:numFmt w:val="bullet"/>
      <w:lvlText w:val="o"/>
      <w:lvlJc w:val="left"/>
      <w:pPr>
        <w:ind w:left="113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5E80C24">
      <w:start w:val="1"/>
      <w:numFmt w:val="bullet"/>
      <w:lvlText w:val="o"/>
      <w:lvlJc w:val="left"/>
      <w:pPr>
        <w:ind w:left="185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7A23836">
      <w:start w:val="1"/>
      <w:numFmt w:val="bullet"/>
      <w:lvlText w:val="▪"/>
      <w:lvlJc w:val="left"/>
      <w:pPr>
        <w:ind w:left="257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23E78A4">
      <w:start w:val="1"/>
      <w:numFmt w:val="bullet"/>
      <w:lvlText w:val="•"/>
      <w:lvlJc w:val="left"/>
      <w:pPr>
        <w:ind w:left="329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20678B4">
      <w:start w:val="1"/>
      <w:numFmt w:val="bullet"/>
      <w:lvlText w:val="o"/>
      <w:lvlJc w:val="left"/>
      <w:pPr>
        <w:ind w:left="401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8383B6E">
      <w:start w:val="1"/>
      <w:numFmt w:val="bullet"/>
      <w:lvlText w:val="▪"/>
      <w:lvlJc w:val="left"/>
      <w:pPr>
        <w:ind w:left="473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116FC68">
      <w:start w:val="1"/>
      <w:numFmt w:val="bullet"/>
      <w:lvlText w:val="•"/>
      <w:lvlJc w:val="left"/>
      <w:pPr>
        <w:ind w:left="545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DA70B268">
      <w:start w:val="1"/>
      <w:numFmt w:val="bullet"/>
      <w:lvlText w:val="o"/>
      <w:lvlJc w:val="left"/>
      <w:pPr>
        <w:ind w:left="617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A42D9A">
      <w:start w:val="1"/>
      <w:numFmt w:val="bullet"/>
      <w:lvlText w:val="▪"/>
      <w:lvlJc w:val="left"/>
      <w:pPr>
        <w:ind w:left="689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42114840"/>
    <w:multiLevelType w:val="hybridMultilevel"/>
    <w:tmpl w:val="2C80B568"/>
    <w:lvl w:ilvl="0" w:tplc="16D4173E">
      <w:numFmt w:val="bullet"/>
      <w:lvlText w:val="-"/>
      <w:lvlJc w:val="left"/>
      <w:pPr>
        <w:ind w:left="720" w:hanging="360"/>
      </w:pPr>
      <w:rPr>
        <w:rFonts w:ascii="Liberation Serif" w:eastAsia="Times New Roman" w:hAnsi="Liberation Serif" w:cs="Liberation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2981627"/>
    <w:multiLevelType w:val="hybridMultilevel"/>
    <w:tmpl w:val="1708E4FE"/>
    <w:lvl w:ilvl="0" w:tplc="5BA4067C">
      <w:numFmt w:val="bullet"/>
      <w:lvlText w:val="-"/>
      <w:lvlJc w:val="left"/>
      <w:pPr>
        <w:ind w:left="720" w:hanging="360"/>
      </w:pPr>
      <w:rPr>
        <w:rFonts w:ascii="Century Gothic" w:eastAsia="Times New Roman" w:hAnsi="Century Gothic"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3DD2A1E"/>
    <w:multiLevelType w:val="hybridMultilevel"/>
    <w:tmpl w:val="FF7825E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3EC6FCD"/>
    <w:multiLevelType w:val="hybridMultilevel"/>
    <w:tmpl w:val="0130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55503F6"/>
    <w:multiLevelType w:val="multilevel"/>
    <w:tmpl w:val="912A91B0"/>
    <w:styleLink w:val="ImportedStyle18"/>
    <w:lvl w:ilvl="0">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44" w:hanging="38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74" w:hanging="71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74" w:hanging="71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34" w:hanging="107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34" w:hanging="107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794" w:hanging="143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794" w:hanging="143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69"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58E1AE4"/>
    <w:multiLevelType w:val="hybridMultilevel"/>
    <w:tmpl w:val="C4C4235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817102"/>
    <w:multiLevelType w:val="hybridMultilevel"/>
    <w:tmpl w:val="48403A5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83E4955"/>
    <w:multiLevelType w:val="hybridMultilevel"/>
    <w:tmpl w:val="F09C41E2"/>
    <w:styleLink w:val="ImportedStyle6"/>
    <w:lvl w:ilvl="0" w:tplc="0CBE36D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D9657F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47CEA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220CB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A3A41C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E4C262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A00E2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AE8D90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6986B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99F0C41"/>
    <w:multiLevelType w:val="hybridMultilevel"/>
    <w:tmpl w:val="669AA8FC"/>
    <w:lvl w:ilvl="0" w:tplc="D1043BAA">
      <w:start w:val="1"/>
      <w:numFmt w:val="decimal"/>
      <w:pStyle w:val="TabJanovcik"/>
      <w:lvlText w:val="Tab. %1."/>
      <w:lvlJc w:val="left"/>
      <w:pPr>
        <w:ind w:left="720" w:hanging="360"/>
      </w:pPr>
      <w:rPr>
        <w:rFonts w:hint="default"/>
      </w:rPr>
    </w:lvl>
    <w:lvl w:ilvl="1" w:tplc="E71EF96A" w:tentative="1">
      <w:start w:val="1"/>
      <w:numFmt w:val="lowerLetter"/>
      <w:lvlText w:val="%2."/>
      <w:lvlJc w:val="left"/>
      <w:pPr>
        <w:ind w:left="1440" w:hanging="360"/>
      </w:pPr>
    </w:lvl>
    <w:lvl w:ilvl="2" w:tplc="0CC07D2E" w:tentative="1">
      <w:start w:val="1"/>
      <w:numFmt w:val="lowerRoman"/>
      <w:lvlText w:val="%3."/>
      <w:lvlJc w:val="right"/>
      <w:pPr>
        <w:ind w:left="2160" w:hanging="180"/>
      </w:pPr>
    </w:lvl>
    <w:lvl w:ilvl="3" w:tplc="DDFE04A4" w:tentative="1">
      <w:start w:val="1"/>
      <w:numFmt w:val="decimal"/>
      <w:lvlText w:val="%4."/>
      <w:lvlJc w:val="left"/>
      <w:pPr>
        <w:ind w:left="2880" w:hanging="360"/>
      </w:pPr>
    </w:lvl>
    <w:lvl w:ilvl="4" w:tplc="4BF2E73C" w:tentative="1">
      <w:start w:val="1"/>
      <w:numFmt w:val="lowerLetter"/>
      <w:lvlText w:val="%5."/>
      <w:lvlJc w:val="left"/>
      <w:pPr>
        <w:ind w:left="3600" w:hanging="360"/>
      </w:pPr>
    </w:lvl>
    <w:lvl w:ilvl="5" w:tplc="6460288C" w:tentative="1">
      <w:start w:val="1"/>
      <w:numFmt w:val="lowerRoman"/>
      <w:lvlText w:val="%6."/>
      <w:lvlJc w:val="right"/>
      <w:pPr>
        <w:ind w:left="4320" w:hanging="180"/>
      </w:pPr>
    </w:lvl>
    <w:lvl w:ilvl="6" w:tplc="D572335C" w:tentative="1">
      <w:start w:val="1"/>
      <w:numFmt w:val="decimal"/>
      <w:lvlText w:val="%7."/>
      <w:lvlJc w:val="left"/>
      <w:pPr>
        <w:ind w:left="5040" w:hanging="360"/>
      </w:pPr>
    </w:lvl>
    <w:lvl w:ilvl="7" w:tplc="BE2E6848" w:tentative="1">
      <w:start w:val="1"/>
      <w:numFmt w:val="lowerLetter"/>
      <w:lvlText w:val="%8."/>
      <w:lvlJc w:val="left"/>
      <w:pPr>
        <w:ind w:left="5760" w:hanging="360"/>
      </w:pPr>
    </w:lvl>
    <w:lvl w:ilvl="8" w:tplc="0C7EA77A" w:tentative="1">
      <w:start w:val="1"/>
      <w:numFmt w:val="lowerRoman"/>
      <w:lvlText w:val="%9."/>
      <w:lvlJc w:val="right"/>
      <w:pPr>
        <w:ind w:left="6480" w:hanging="180"/>
      </w:pPr>
    </w:lvl>
  </w:abstractNum>
  <w:abstractNum w:abstractNumId="56" w15:restartNumberingAfterBreak="0">
    <w:nsid w:val="4CB75B44"/>
    <w:multiLevelType w:val="hybridMultilevel"/>
    <w:tmpl w:val="F99C5E9A"/>
    <w:lvl w:ilvl="0" w:tplc="041B0011">
      <w:start w:val="1"/>
      <w:numFmt w:val="decimal"/>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57" w15:restartNumberingAfterBreak="0">
    <w:nsid w:val="50AD4912"/>
    <w:multiLevelType w:val="hybridMultilevel"/>
    <w:tmpl w:val="E8B618F4"/>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525C654B"/>
    <w:multiLevelType w:val="hybridMultilevel"/>
    <w:tmpl w:val="D05E3FEA"/>
    <w:lvl w:ilvl="0" w:tplc="69D6B26C">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2DD3D16"/>
    <w:multiLevelType w:val="hybridMultilevel"/>
    <w:tmpl w:val="E42E5A26"/>
    <w:lvl w:ilvl="0" w:tplc="04050017">
      <w:start w:val="1"/>
      <w:numFmt w:val="decimal"/>
      <w:pStyle w:val="Odrkyslovanie"/>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533B553D"/>
    <w:multiLevelType w:val="hybridMultilevel"/>
    <w:tmpl w:val="87C06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5F600D1"/>
    <w:multiLevelType w:val="hybridMultilevel"/>
    <w:tmpl w:val="7BDAF6AC"/>
    <w:lvl w:ilvl="0" w:tplc="FB7A379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6C101CE"/>
    <w:multiLevelType w:val="hybridMultilevel"/>
    <w:tmpl w:val="E8B618F4"/>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3" w15:restartNumberingAfterBreak="0">
    <w:nsid w:val="57A63910"/>
    <w:multiLevelType w:val="hybridMultilevel"/>
    <w:tmpl w:val="B15E08B4"/>
    <w:styleLink w:val="ImportedStyle14"/>
    <w:lvl w:ilvl="0" w:tplc="443E8F4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BC2878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532C0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AE96B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AFEF6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E0CA5F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A41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446D1C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3586B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A414A18"/>
    <w:multiLevelType w:val="hybridMultilevel"/>
    <w:tmpl w:val="9150224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B5C1ADE"/>
    <w:multiLevelType w:val="hybridMultilevel"/>
    <w:tmpl w:val="CB3C30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B8C57A3"/>
    <w:multiLevelType w:val="hybridMultilevel"/>
    <w:tmpl w:val="AF3AEBE4"/>
    <w:lvl w:ilvl="0" w:tplc="06A678CC">
      <w:start w:val="1"/>
      <w:numFmt w:val="bullet"/>
      <w:pStyle w:val="odrky0"/>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C12728D"/>
    <w:multiLevelType w:val="hybridMultilevel"/>
    <w:tmpl w:val="DD20A2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D2D5895"/>
    <w:multiLevelType w:val="hybridMultilevel"/>
    <w:tmpl w:val="1EA2936C"/>
    <w:styleLink w:val="Bullet"/>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F84969"/>
    <w:multiLevelType w:val="singleLevel"/>
    <w:tmpl w:val="1E12021A"/>
    <w:name w:val="List Number 2"/>
    <w:lvl w:ilvl="0">
      <w:start w:val="1"/>
      <w:numFmt w:val="bullet"/>
      <w:pStyle w:val="Zoznamsodrkami"/>
      <w:lvlText w:val=""/>
      <w:lvlJc w:val="left"/>
      <w:pPr>
        <w:tabs>
          <w:tab w:val="num" w:pos="283"/>
        </w:tabs>
        <w:ind w:left="283" w:hanging="283"/>
      </w:pPr>
      <w:rPr>
        <w:rFonts w:ascii="Symbol" w:hAnsi="Symbol" w:hint="default"/>
      </w:rPr>
    </w:lvl>
  </w:abstractNum>
  <w:abstractNum w:abstractNumId="70" w15:restartNumberingAfterBreak="0">
    <w:nsid w:val="6214644F"/>
    <w:multiLevelType w:val="multilevel"/>
    <w:tmpl w:val="EF5AE89C"/>
    <w:styleLink w:val="Zoznam4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330"/>
        </w:tabs>
        <w:ind w:left="133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050"/>
        </w:tabs>
        <w:ind w:left="205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770"/>
        </w:tabs>
        <w:ind w:left="277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490"/>
        </w:tabs>
        <w:ind w:left="349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210"/>
        </w:tabs>
        <w:ind w:left="421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930"/>
        </w:tabs>
        <w:ind w:left="493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650"/>
        </w:tabs>
        <w:ind w:left="565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370"/>
        </w:tabs>
        <w:ind w:left="6370" w:hanging="250"/>
      </w:pPr>
      <w:rPr>
        <w:rFonts w:ascii="Arial" w:eastAsia="Arial" w:hAnsi="Arial" w:cs="Arial"/>
        <w:caps w:val="0"/>
        <w:smallCaps w:val="0"/>
        <w:strike w:val="0"/>
        <w:dstrike w:val="0"/>
        <w:color w:val="000000"/>
        <w:spacing w:val="0"/>
        <w:kern w:val="0"/>
        <w:position w:val="0"/>
        <w:sz w:val="20"/>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627F72AC"/>
    <w:multiLevelType w:val="hybridMultilevel"/>
    <w:tmpl w:val="EAB4B058"/>
    <w:styleLink w:val="ImportedStyle12"/>
    <w:lvl w:ilvl="0" w:tplc="979CCA3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26E7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09AE304">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A72CF5F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0232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70C52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E0075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98519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5488D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70F6870"/>
    <w:multiLevelType w:val="hybridMultilevel"/>
    <w:tmpl w:val="99E0A110"/>
    <w:lvl w:ilvl="0" w:tplc="EF680AB8">
      <w:start w:val="2"/>
      <w:numFmt w:val="bullet"/>
      <w:lvlText w:val="-"/>
      <w:lvlJc w:val="left"/>
      <w:pPr>
        <w:ind w:left="720" w:hanging="360"/>
      </w:pPr>
      <w:rPr>
        <w:rFonts w:ascii="Liberation Serif" w:eastAsia="NSimSun" w:hAnsi="Liberation Serif" w:cs="Liberation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9105174"/>
    <w:multiLevelType w:val="hybridMultilevel"/>
    <w:tmpl w:val="20CE029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A2D17BA"/>
    <w:multiLevelType w:val="hybridMultilevel"/>
    <w:tmpl w:val="2DEADAF6"/>
    <w:lvl w:ilvl="0" w:tplc="D278F9C0">
      <w:start w:val="1"/>
      <w:numFmt w:val="decimal"/>
      <w:pStyle w:val="Odrkyliteratra"/>
      <w:lvlText w:val="[%1]"/>
      <w:lvlJc w:val="left"/>
      <w:pPr>
        <w:tabs>
          <w:tab w:val="num" w:pos="567"/>
        </w:tabs>
        <w:ind w:left="567" w:hanging="56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6D680F59"/>
    <w:multiLevelType w:val="hybridMultilevel"/>
    <w:tmpl w:val="C4C8A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EFE4902"/>
    <w:multiLevelType w:val="hybridMultilevel"/>
    <w:tmpl w:val="190E7B1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0512A6B"/>
    <w:multiLevelType w:val="hybridMultilevel"/>
    <w:tmpl w:val="0F1604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5BC04C7"/>
    <w:multiLevelType w:val="multilevel"/>
    <w:tmpl w:val="64E2BFB4"/>
    <w:lvl w:ilvl="0">
      <w:start w:val="1"/>
      <w:numFmt w:val="decimal"/>
      <w:pStyle w:val="Nadpis1"/>
      <w:lvlText w:val="%1"/>
      <w:lvlJc w:val="left"/>
      <w:pPr>
        <w:tabs>
          <w:tab w:val="num" w:pos="567"/>
        </w:tabs>
        <w:ind w:left="567" w:hanging="567"/>
      </w:pPr>
      <w:rPr>
        <w:rFonts w:hint="default"/>
      </w:rPr>
    </w:lvl>
    <w:lvl w:ilvl="1">
      <w:start w:val="1"/>
      <w:numFmt w:val="decimal"/>
      <w:pStyle w:val="Nadpis11"/>
      <w:isLgl/>
      <w:lvlText w:val="%1.%2"/>
      <w:lvlJc w:val="left"/>
      <w:pPr>
        <w:tabs>
          <w:tab w:val="num" w:pos="567"/>
        </w:tabs>
        <w:ind w:left="567" w:hanging="567"/>
      </w:pPr>
      <w:rPr>
        <w:rFonts w:hint="default"/>
      </w:rPr>
    </w:lvl>
    <w:lvl w:ilvl="2">
      <w:start w:val="1"/>
      <w:numFmt w:val="decimal"/>
      <w:pStyle w:val="Nadpis111"/>
      <w:isLgl/>
      <w:lvlText w:val="%1.%2.%3"/>
      <w:lvlJc w:val="left"/>
      <w:pPr>
        <w:tabs>
          <w:tab w:val="num" w:pos="567"/>
        </w:tabs>
        <w:ind w:left="567" w:hanging="567"/>
      </w:pPr>
      <w:rPr>
        <w:rFonts w:hint="default"/>
      </w:rPr>
    </w:lvl>
    <w:lvl w:ilvl="3">
      <w:start w:val="1"/>
      <w:numFmt w:val="decimal"/>
      <w:pStyle w:val="Nadpis1111"/>
      <w:isLgl/>
      <w:lvlText w:val="%1.%2.%3.%4"/>
      <w:lvlJc w:val="left"/>
      <w:pPr>
        <w:ind w:left="6522" w:hanging="567"/>
      </w:pPr>
      <w:rPr>
        <w:rFonts w:hint="default"/>
      </w:rPr>
    </w:lvl>
    <w:lvl w:ilvl="4">
      <w:start w:val="1"/>
      <w:numFmt w:val="decimal"/>
      <w:pStyle w:val="Nadpis11111"/>
      <w:isLgl/>
      <w:lvlText w:val="%1.%2.%3.%4.%5."/>
      <w:lvlJc w:val="left"/>
      <w:pPr>
        <w:tabs>
          <w:tab w:val="num" w:pos="567"/>
        </w:tabs>
        <w:ind w:left="567" w:hanging="567"/>
      </w:pPr>
      <w:rPr>
        <w:rFonts w:hint="default"/>
      </w:rPr>
    </w:lvl>
    <w:lvl w:ilvl="5">
      <w:start w:val="1"/>
      <w:numFmt w:val="decimal"/>
      <w:isLgl/>
      <w:lvlText w:val="%1.%2.%3.%4.%5.%6"/>
      <w:lvlJc w:val="left"/>
      <w:pPr>
        <w:tabs>
          <w:tab w:val="num" w:pos="567"/>
        </w:tabs>
        <w:ind w:left="567" w:hanging="567"/>
      </w:pPr>
      <w:rPr>
        <w:rFonts w:hint="default"/>
      </w:rPr>
    </w:lvl>
    <w:lvl w:ilvl="6">
      <w:start w:val="1"/>
      <w:numFmt w:val="decimal"/>
      <w:isLgl/>
      <w:lvlText w:val="%1.%2.%3.%4.%5.%6.%7"/>
      <w:lvlJc w:val="left"/>
      <w:pPr>
        <w:tabs>
          <w:tab w:val="num" w:pos="567"/>
        </w:tabs>
        <w:ind w:left="567" w:hanging="567"/>
      </w:pPr>
      <w:rPr>
        <w:rFonts w:hint="default"/>
      </w:rPr>
    </w:lvl>
    <w:lvl w:ilvl="7">
      <w:start w:val="1"/>
      <w:numFmt w:val="decimal"/>
      <w:isLgl/>
      <w:lvlText w:val="%1.%2.%3.%4.%5.%6.%7.%8"/>
      <w:lvlJc w:val="left"/>
      <w:pPr>
        <w:tabs>
          <w:tab w:val="num" w:pos="567"/>
        </w:tabs>
        <w:ind w:left="567" w:hanging="567"/>
      </w:pPr>
      <w:rPr>
        <w:rFonts w:hint="default"/>
      </w:rPr>
    </w:lvl>
    <w:lvl w:ilvl="8">
      <w:start w:val="1"/>
      <w:numFmt w:val="decimal"/>
      <w:isLgl/>
      <w:lvlText w:val="%1.%2.%3.%4.%5.%6.%7.%8.%9"/>
      <w:lvlJc w:val="left"/>
      <w:pPr>
        <w:tabs>
          <w:tab w:val="num" w:pos="567"/>
        </w:tabs>
        <w:ind w:left="567" w:hanging="567"/>
      </w:pPr>
      <w:rPr>
        <w:rFonts w:hint="default"/>
      </w:rPr>
    </w:lvl>
  </w:abstractNum>
  <w:abstractNum w:abstractNumId="79" w15:restartNumberingAfterBreak="0">
    <w:nsid w:val="77856C33"/>
    <w:multiLevelType w:val="hybridMultilevel"/>
    <w:tmpl w:val="47249C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8"/>
  </w:num>
  <w:num w:numId="2">
    <w:abstractNumId w:val="74"/>
  </w:num>
  <w:num w:numId="3">
    <w:abstractNumId w:val="42"/>
  </w:num>
  <w:num w:numId="4">
    <w:abstractNumId w:val="0"/>
  </w:num>
  <w:num w:numId="5">
    <w:abstractNumId w:val="59"/>
  </w:num>
  <w:num w:numId="6">
    <w:abstractNumId w:val="37"/>
  </w:num>
  <w:num w:numId="7">
    <w:abstractNumId w:val="66"/>
  </w:num>
  <w:num w:numId="8">
    <w:abstractNumId w:val="69"/>
  </w:num>
  <w:num w:numId="9">
    <w:abstractNumId w:val="12"/>
  </w:num>
  <w:num w:numId="10">
    <w:abstractNumId w:val="55"/>
  </w:num>
  <w:num w:numId="11">
    <w:abstractNumId w:val="5"/>
  </w:num>
  <w:num w:numId="12">
    <w:abstractNumId w:val="68"/>
  </w:num>
  <w:num w:numId="13">
    <w:abstractNumId w:val="1"/>
  </w:num>
  <w:num w:numId="14">
    <w:abstractNumId w:val="14"/>
  </w:num>
  <w:num w:numId="15">
    <w:abstractNumId w:val="70"/>
  </w:num>
  <w:num w:numId="16">
    <w:abstractNumId w:val="35"/>
  </w:num>
  <w:num w:numId="17">
    <w:abstractNumId w:val="40"/>
  </w:num>
  <w:num w:numId="18">
    <w:abstractNumId w:val="3"/>
  </w:num>
  <w:num w:numId="19">
    <w:abstractNumId w:val="76"/>
  </w:num>
  <w:num w:numId="20">
    <w:abstractNumId w:val="52"/>
  </w:num>
  <w:num w:numId="21">
    <w:abstractNumId w:val="53"/>
  </w:num>
  <w:num w:numId="22">
    <w:abstractNumId w:val="54"/>
  </w:num>
  <w:num w:numId="23">
    <w:abstractNumId w:val="2"/>
  </w:num>
  <w:num w:numId="24">
    <w:abstractNumId w:val="20"/>
  </w:num>
  <w:num w:numId="25">
    <w:abstractNumId w:val="17"/>
  </w:num>
  <w:num w:numId="26">
    <w:abstractNumId w:val="63"/>
  </w:num>
  <w:num w:numId="27">
    <w:abstractNumId w:val="46"/>
  </w:num>
  <w:num w:numId="28">
    <w:abstractNumId w:val="28"/>
  </w:num>
  <w:num w:numId="29">
    <w:abstractNumId w:val="4"/>
  </w:num>
  <w:num w:numId="30">
    <w:abstractNumId w:val="43"/>
  </w:num>
  <w:num w:numId="31">
    <w:abstractNumId w:val="45"/>
  </w:num>
  <w:num w:numId="32">
    <w:abstractNumId w:val="71"/>
  </w:num>
  <w:num w:numId="33">
    <w:abstractNumId w:val="41"/>
  </w:num>
  <w:num w:numId="34">
    <w:abstractNumId w:val="24"/>
  </w:num>
  <w:num w:numId="35">
    <w:abstractNumId w:val="32"/>
  </w:num>
  <w:num w:numId="36">
    <w:abstractNumId w:val="51"/>
  </w:num>
  <w:num w:numId="37">
    <w:abstractNumId w:val="31"/>
  </w:num>
  <w:num w:numId="38">
    <w:abstractNumId w:val="10"/>
  </w:num>
  <w:num w:numId="39">
    <w:abstractNumId w:val="77"/>
  </w:num>
  <w:num w:numId="40">
    <w:abstractNumId w:val="38"/>
  </w:num>
  <w:num w:numId="41">
    <w:abstractNumId w:val="75"/>
  </w:num>
  <w:num w:numId="42">
    <w:abstractNumId w:val="25"/>
  </w:num>
  <w:num w:numId="43">
    <w:abstractNumId w:val="27"/>
  </w:num>
  <w:num w:numId="44">
    <w:abstractNumId w:val="16"/>
  </w:num>
  <w:num w:numId="45">
    <w:abstractNumId w:val="22"/>
  </w:num>
  <w:num w:numId="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num>
  <w:num w:numId="48">
    <w:abstractNumId w:val="30"/>
  </w:num>
  <w:num w:numId="49">
    <w:abstractNumId w:val="13"/>
  </w:num>
  <w:num w:numId="50">
    <w:abstractNumId w:val="50"/>
  </w:num>
  <w:num w:numId="51">
    <w:abstractNumId w:val="26"/>
  </w:num>
  <w:num w:numId="52">
    <w:abstractNumId w:val="23"/>
  </w:num>
  <w:num w:numId="53">
    <w:abstractNumId w:val="9"/>
  </w:num>
  <w:num w:numId="54">
    <w:abstractNumId w:val="18"/>
  </w:num>
  <w:num w:numId="55">
    <w:abstractNumId w:val="65"/>
  </w:num>
  <w:num w:numId="56">
    <w:abstractNumId w:val="67"/>
  </w:num>
  <w:num w:numId="57">
    <w:abstractNumId w:val="11"/>
  </w:num>
  <w:num w:numId="58">
    <w:abstractNumId w:val="6"/>
  </w:num>
  <w:num w:numId="59">
    <w:abstractNumId w:val="73"/>
  </w:num>
  <w:num w:numId="60">
    <w:abstractNumId w:val="39"/>
  </w:num>
  <w:num w:numId="61">
    <w:abstractNumId w:val="21"/>
  </w:num>
  <w:num w:numId="62">
    <w:abstractNumId w:val="15"/>
  </w:num>
  <w:num w:numId="63">
    <w:abstractNumId w:val="57"/>
  </w:num>
  <w:num w:numId="64">
    <w:abstractNumId w:val="62"/>
  </w:num>
  <w:num w:numId="65">
    <w:abstractNumId w:val="7"/>
  </w:num>
  <w:num w:numId="66">
    <w:abstractNumId w:val="72"/>
  </w:num>
  <w:num w:numId="67">
    <w:abstractNumId w:val="47"/>
  </w:num>
  <w:num w:numId="68">
    <w:abstractNumId w:val="49"/>
  </w:num>
  <w:num w:numId="69">
    <w:abstractNumId w:val="44"/>
  </w:num>
  <w:num w:numId="70">
    <w:abstractNumId w:val="64"/>
  </w:num>
  <w:num w:numId="71">
    <w:abstractNumId w:val="36"/>
  </w:num>
  <w:num w:numId="72">
    <w:abstractNumId w:val="48"/>
  </w:num>
  <w:num w:numId="73">
    <w:abstractNumId w:val="19"/>
  </w:num>
  <w:num w:numId="74">
    <w:abstractNumId w:val="61"/>
  </w:num>
  <w:num w:numId="75">
    <w:abstractNumId w:val="79"/>
  </w:num>
  <w:num w:numId="76">
    <w:abstractNumId w:val="58"/>
  </w:num>
  <w:num w:numId="77">
    <w:abstractNumId w:val="29"/>
  </w:num>
  <w:num w:numId="78">
    <w:abstractNumId w:val="33"/>
  </w:num>
  <w:num w:numId="79">
    <w:abstractNumId w:val="34"/>
  </w:num>
  <w:num w:numId="80">
    <w:abstractNumId w:val="8"/>
  </w:num>
  <w:num w:numId="81">
    <w:abstractNumId w:val="5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B7A"/>
    <w:rsid w:val="0000048C"/>
    <w:rsid w:val="00000E00"/>
    <w:rsid w:val="000010BA"/>
    <w:rsid w:val="00001283"/>
    <w:rsid w:val="000012F5"/>
    <w:rsid w:val="0000170B"/>
    <w:rsid w:val="00001D65"/>
    <w:rsid w:val="000022C8"/>
    <w:rsid w:val="00002D69"/>
    <w:rsid w:val="000030FB"/>
    <w:rsid w:val="0000411F"/>
    <w:rsid w:val="0000436D"/>
    <w:rsid w:val="00004A69"/>
    <w:rsid w:val="00005ABE"/>
    <w:rsid w:val="000067B6"/>
    <w:rsid w:val="00007DBA"/>
    <w:rsid w:val="00010839"/>
    <w:rsid w:val="0001086C"/>
    <w:rsid w:val="00010C3E"/>
    <w:rsid w:val="00011C5D"/>
    <w:rsid w:val="00012867"/>
    <w:rsid w:val="000130F6"/>
    <w:rsid w:val="00013AB8"/>
    <w:rsid w:val="000147B6"/>
    <w:rsid w:val="00014A5D"/>
    <w:rsid w:val="00014FF3"/>
    <w:rsid w:val="00015821"/>
    <w:rsid w:val="00015E53"/>
    <w:rsid w:val="00017804"/>
    <w:rsid w:val="00017EAF"/>
    <w:rsid w:val="0002057E"/>
    <w:rsid w:val="00020DF4"/>
    <w:rsid w:val="00022890"/>
    <w:rsid w:val="00024370"/>
    <w:rsid w:val="00024CEF"/>
    <w:rsid w:val="000253B2"/>
    <w:rsid w:val="0002549E"/>
    <w:rsid w:val="000254BB"/>
    <w:rsid w:val="000254C5"/>
    <w:rsid w:val="00025C2F"/>
    <w:rsid w:val="00026227"/>
    <w:rsid w:val="0002748F"/>
    <w:rsid w:val="00027863"/>
    <w:rsid w:val="0003089F"/>
    <w:rsid w:val="00031821"/>
    <w:rsid w:val="00032D3B"/>
    <w:rsid w:val="00032D8F"/>
    <w:rsid w:val="000331EC"/>
    <w:rsid w:val="00033881"/>
    <w:rsid w:val="00033980"/>
    <w:rsid w:val="000346F1"/>
    <w:rsid w:val="00035B42"/>
    <w:rsid w:val="00035C38"/>
    <w:rsid w:val="00035DCF"/>
    <w:rsid w:val="00036B15"/>
    <w:rsid w:val="00036F8D"/>
    <w:rsid w:val="00037400"/>
    <w:rsid w:val="00037637"/>
    <w:rsid w:val="000378DA"/>
    <w:rsid w:val="000379DB"/>
    <w:rsid w:val="00037D86"/>
    <w:rsid w:val="000407E5"/>
    <w:rsid w:val="000412AF"/>
    <w:rsid w:val="0004285E"/>
    <w:rsid w:val="00044D7B"/>
    <w:rsid w:val="000466F0"/>
    <w:rsid w:val="0005071A"/>
    <w:rsid w:val="0005127E"/>
    <w:rsid w:val="00051370"/>
    <w:rsid w:val="00051D19"/>
    <w:rsid w:val="000520D5"/>
    <w:rsid w:val="000531F4"/>
    <w:rsid w:val="00053392"/>
    <w:rsid w:val="00053EC3"/>
    <w:rsid w:val="00054864"/>
    <w:rsid w:val="00054CBD"/>
    <w:rsid w:val="00054E3C"/>
    <w:rsid w:val="000553E9"/>
    <w:rsid w:val="00055E68"/>
    <w:rsid w:val="00055FB0"/>
    <w:rsid w:val="00056B66"/>
    <w:rsid w:val="000572C5"/>
    <w:rsid w:val="00061F90"/>
    <w:rsid w:val="0006263E"/>
    <w:rsid w:val="00062DC5"/>
    <w:rsid w:val="000636F2"/>
    <w:rsid w:val="00063842"/>
    <w:rsid w:val="00063B4E"/>
    <w:rsid w:val="00064CCB"/>
    <w:rsid w:val="0006629E"/>
    <w:rsid w:val="0006638E"/>
    <w:rsid w:val="0007143F"/>
    <w:rsid w:val="00072258"/>
    <w:rsid w:val="00072B36"/>
    <w:rsid w:val="00073407"/>
    <w:rsid w:val="000746CF"/>
    <w:rsid w:val="00075C2F"/>
    <w:rsid w:val="00077188"/>
    <w:rsid w:val="00077ECE"/>
    <w:rsid w:val="00080C41"/>
    <w:rsid w:val="000814A8"/>
    <w:rsid w:val="00081544"/>
    <w:rsid w:val="00081DEA"/>
    <w:rsid w:val="0008206B"/>
    <w:rsid w:val="00082A60"/>
    <w:rsid w:val="00082DA4"/>
    <w:rsid w:val="00083804"/>
    <w:rsid w:val="0008550B"/>
    <w:rsid w:val="00085B1D"/>
    <w:rsid w:val="0008700C"/>
    <w:rsid w:val="0008783D"/>
    <w:rsid w:val="00091274"/>
    <w:rsid w:val="00091571"/>
    <w:rsid w:val="000919F7"/>
    <w:rsid w:val="00091D82"/>
    <w:rsid w:val="00091D97"/>
    <w:rsid w:val="000924D6"/>
    <w:rsid w:val="00094CE5"/>
    <w:rsid w:val="000954F8"/>
    <w:rsid w:val="00095C43"/>
    <w:rsid w:val="00097A35"/>
    <w:rsid w:val="00097D73"/>
    <w:rsid w:val="000A03D4"/>
    <w:rsid w:val="000A047B"/>
    <w:rsid w:val="000A0537"/>
    <w:rsid w:val="000A109B"/>
    <w:rsid w:val="000A1794"/>
    <w:rsid w:val="000A2A2E"/>
    <w:rsid w:val="000A4662"/>
    <w:rsid w:val="000A4BF9"/>
    <w:rsid w:val="000A5646"/>
    <w:rsid w:val="000A5857"/>
    <w:rsid w:val="000A5EDE"/>
    <w:rsid w:val="000A63EC"/>
    <w:rsid w:val="000A6BB9"/>
    <w:rsid w:val="000A76C5"/>
    <w:rsid w:val="000A7B37"/>
    <w:rsid w:val="000B0387"/>
    <w:rsid w:val="000B264A"/>
    <w:rsid w:val="000B26FB"/>
    <w:rsid w:val="000B272C"/>
    <w:rsid w:val="000B6A90"/>
    <w:rsid w:val="000B6EEC"/>
    <w:rsid w:val="000B7452"/>
    <w:rsid w:val="000C091A"/>
    <w:rsid w:val="000C14AA"/>
    <w:rsid w:val="000C1728"/>
    <w:rsid w:val="000C27F8"/>
    <w:rsid w:val="000C2CE3"/>
    <w:rsid w:val="000C48C6"/>
    <w:rsid w:val="000C5236"/>
    <w:rsid w:val="000C5324"/>
    <w:rsid w:val="000C77B2"/>
    <w:rsid w:val="000D0D5B"/>
    <w:rsid w:val="000D10D0"/>
    <w:rsid w:val="000D1929"/>
    <w:rsid w:val="000D1969"/>
    <w:rsid w:val="000D1B9D"/>
    <w:rsid w:val="000D33CC"/>
    <w:rsid w:val="000D3668"/>
    <w:rsid w:val="000D37A1"/>
    <w:rsid w:val="000D4087"/>
    <w:rsid w:val="000D43B4"/>
    <w:rsid w:val="000D4D3D"/>
    <w:rsid w:val="000D4F27"/>
    <w:rsid w:val="000D6058"/>
    <w:rsid w:val="000D7D0D"/>
    <w:rsid w:val="000D7D25"/>
    <w:rsid w:val="000E0335"/>
    <w:rsid w:val="000E08E0"/>
    <w:rsid w:val="000E0A32"/>
    <w:rsid w:val="000E1519"/>
    <w:rsid w:val="000E1A9B"/>
    <w:rsid w:val="000E1AAB"/>
    <w:rsid w:val="000E1D85"/>
    <w:rsid w:val="000E2AE5"/>
    <w:rsid w:val="000E2CDE"/>
    <w:rsid w:val="000E3782"/>
    <w:rsid w:val="000E3A54"/>
    <w:rsid w:val="000E44C0"/>
    <w:rsid w:val="000E4F94"/>
    <w:rsid w:val="000E5C4E"/>
    <w:rsid w:val="000E5D10"/>
    <w:rsid w:val="000E6690"/>
    <w:rsid w:val="000E7059"/>
    <w:rsid w:val="000E7515"/>
    <w:rsid w:val="000E79D7"/>
    <w:rsid w:val="000F06F0"/>
    <w:rsid w:val="000F0866"/>
    <w:rsid w:val="000F0C94"/>
    <w:rsid w:val="000F17BA"/>
    <w:rsid w:val="000F1942"/>
    <w:rsid w:val="000F1FFC"/>
    <w:rsid w:val="000F22E5"/>
    <w:rsid w:val="000F3423"/>
    <w:rsid w:val="000F3873"/>
    <w:rsid w:val="000F3A0C"/>
    <w:rsid w:val="000F3DC9"/>
    <w:rsid w:val="000F622A"/>
    <w:rsid w:val="000F628F"/>
    <w:rsid w:val="000F6551"/>
    <w:rsid w:val="000F6A95"/>
    <w:rsid w:val="000F7506"/>
    <w:rsid w:val="000F758B"/>
    <w:rsid w:val="000F79C4"/>
    <w:rsid w:val="000F7B1A"/>
    <w:rsid w:val="000F7BD1"/>
    <w:rsid w:val="00100358"/>
    <w:rsid w:val="00100B74"/>
    <w:rsid w:val="001013E7"/>
    <w:rsid w:val="0010178B"/>
    <w:rsid w:val="00102436"/>
    <w:rsid w:val="001025AF"/>
    <w:rsid w:val="00102A6F"/>
    <w:rsid w:val="001032BE"/>
    <w:rsid w:val="00104606"/>
    <w:rsid w:val="00104B66"/>
    <w:rsid w:val="00104DCA"/>
    <w:rsid w:val="00105401"/>
    <w:rsid w:val="00105F87"/>
    <w:rsid w:val="0010619A"/>
    <w:rsid w:val="00106B5F"/>
    <w:rsid w:val="00106DD0"/>
    <w:rsid w:val="00107872"/>
    <w:rsid w:val="00107A67"/>
    <w:rsid w:val="001103D6"/>
    <w:rsid w:val="00112B41"/>
    <w:rsid w:val="001134BA"/>
    <w:rsid w:val="00114148"/>
    <w:rsid w:val="00115528"/>
    <w:rsid w:val="0011584A"/>
    <w:rsid w:val="00115C2E"/>
    <w:rsid w:val="00115DC5"/>
    <w:rsid w:val="0011647F"/>
    <w:rsid w:val="00116720"/>
    <w:rsid w:val="001175C2"/>
    <w:rsid w:val="00117958"/>
    <w:rsid w:val="00117CEE"/>
    <w:rsid w:val="00120EBA"/>
    <w:rsid w:val="00121547"/>
    <w:rsid w:val="00121A73"/>
    <w:rsid w:val="00122769"/>
    <w:rsid w:val="00122B03"/>
    <w:rsid w:val="00122DFE"/>
    <w:rsid w:val="001233EC"/>
    <w:rsid w:val="00123488"/>
    <w:rsid w:val="001245C7"/>
    <w:rsid w:val="00124ABE"/>
    <w:rsid w:val="00125349"/>
    <w:rsid w:val="00125551"/>
    <w:rsid w:val="00125F2E"/>
    <w:rsid w:val="0012604D"/>
    <w:rsid w:val="0012627C"/>
    <w:rsid w:val="00126735"/>
    <w:rsid w:val="00126BBD"/>
    <w:rsid w:val="001272A2"/>
    <w:rsid w:val="00127601"/>
    <w:rsid w:val="00127A68"/>
    <w:rsid w:val="00127BA7"/>
    <w:rsid w:val="00127E25"/>
    <w:rsid w:val="00130825"/>
    <w:rsid w:val="00130E36"/>
    <w:rsid w:val="00130F0C"/>
    <w:rsid w:val="0013167A"/>
    <w:rsid w:val="00132A37"/>
    <w:rsid w:val="00132A85"/>
    <w:rsid w:val="00133A63"/>
    <w:rsid w:val="001343FA"/>
    <w:rsid w:val="0013455D"/>
    <w:rsid w:val="001355C7"/>
    <w:rsid w:val="00136659"/>
    <w:rsid w:val="00136A03"/>
    <w:rsid w:val="00141C9A"/>
    <w:rsid w:val="00143638"/>
    <w:rsid w:val="001448ED"/>
    <w:rsid w:val="00146B3B"/>
    <w:rsid w:val="00146D3F"/>
    <w:rsid w:val="00146FD8"/>
    <w:rsid w:val="00147C0B"/>
    <w:rsid w:val="00150771"/>
    <w:rsid w:val="00151001"/>
    <w:rsid w:val="0015103F"/>
    <w:rsid w:val="001512EF"/>
    <w:rsid w:val="001516B5"/>
    <w:rsid w:val="00151B20"/>
    <w:rsid w:val="00151EC1"/>
    <w:rsid w:val="00154891"/>
    <w:rsid w:val="0015493E"/>
    <w:rsid w:val="00154989"/>
    <w:rsid w:val="001549FD"/>
    <w:rsid w:val="0016010B"/>
    <w:rsid w:val="00160C47"/>
    <w:rsid w:val="00160DA7"/>
    <w:rsid w:val="0016210F"/>
    <w:rsid w:val="00165201"/>
    <w:rsid w:val="00165A28"/>
    <w:rsid w:val="00166483"/>
    <w:rsid w:val="00166ABE"/>
    <w:rsid w:val="00166ADC"/>
    <w:rsid w:val="00166E09"/>
    <w:rsid w:val="00166F8C"/>
    <w:rsid w:val="00167CAC"/>
    <w:rsid w:val="001702DD"/>
    <w:rsid w:val="00170454"/>
    <w:rsid w:val="00170A98"/>
    <w:rsid w:val="001713AD"/>
    <w:rsid w:val="00173053"/>
    <w:rsid w:val="0017314D"/>
    <w:rsid w:val="00173554"/>
    <w:rsid w:val="00175B9C"/>
    <w:rsid w:val="00176B77"/>
    <w:rsid w:val="00177457"/>
    <w:rsid w:val="001777C9"/>
    <w:rsid w:val="0018150D"/>
    <w:rsid w:val="00181B21"/>
    <w:rsid w:val="00181B69"/>
    <w:rsid w:val="00181CD2"/>
    <w:rsid w:val="001829BF"/>
    <w:rsid w:val="00182C16"/>
    <w:rsid w:val="00183888"/>
    <w:rsid w:val="00183917"/>
    <w:rsid w:val="00183936"/>
    <w:rsid w:val="00183B01"/>
    <w:rsid w:val="00186A31"/>
    <w:rsid w:val="00186E12"/>
    <w:rsid w:val="00187A11"/>
    <w:rsid w:val="00190101"/>
    <w:rsid w:val="00190257"/>
    <w:rsid w:val="001902C1"/>
    <w:rsid w:val="00190376"/>
    <w:rsid w:val="001908A0"/>
    <w:rsid w:val="001908F4"/>
    <w:rsid w:val="00190E10"/>
    <w:rsid w:val="00192132"/>
    <w:rsid w:val="0019232C"/>
    <w:rsid w:val="00193D79"/>
    <w:rsid w:val="00195C94"/>
    <w:rsid w:val="0019659B"/>
    <w:rsid w:val="00197EA0"/>
    <w:rsid w:val="001A04C5"/>
    <w:rsid w:val="001A4DCB"/>
    <w:rsid w:val="001A5D55"/>
    <w:rsid w:val="001A640A"/>
    <w:rsid w:val="001A67C8"/>
    <w:rsid w:val="001B079E"/>
    <w:rsid w:val="001B15A2"/>
    <w:rsid w:val="001B18EE"/>
    <w:rsid w:val="001B210F"/>
    <w:rsid w:val="001B3AF2"/>
    <w:rsid w:val="001B457D"/>
    <w:rsid w:val="001B5066"/>
    <w:rsid w:val="001B5AF3"/>
    <w:rsid w:val="001B7885"/>
    <w:rsid w:val="001C00A5"/>
    <w:rsid w:val="001C1D80"/>
    <w:rsid w:val="001C23FD"/>
    <w:rsid w:val="001C3696"/>
    <w:rsid w:val="001C3F35"/>
    <w:rsid w:val="001C4816"/>
    <w:rsid w:val="001C5535"/>
    <w:rsid w:val="001C56F0"/>
    <w:rsid w:val="001C59F6"/>
    <w:rsid w:val="001C5B52"/>
    <w:rsid w:val="001C6F0A"/>
    <w:rsid w:val="001C76C1"/>
    <w:rsid w:val="001C7BE3"/>
    <w:rsid w:val="001D07CB"/>
    <w:rsid w:val="001D0C46"/>
    <w:rsid w:val="001D0CD7"/>
    <w:rsid w:val="001D1976"/>
    <w:rsid w:val="001D4642"/>
    <w:rsid w:val="001D5F59"/>
    <w:rsid w:val="001D720E"/>
    <w:rsid w:val="001D777B"/>
    <w:rsid w:val="001E15BE"/>
    <w:rsid w:val="001E198A"/>
    <w:rsid w:val="001E2079"/>
    <w:rsid w:val="001E3048"/>
    <w:rsid w:val="001E3E27"/>
    <w:rsid w:val="001E3FC6"/>
    <w:rsid w:val="001E50DB"/>
    <w:rsid w:val="001E56A2"/>
    <w:rsid w:val="001E5BCF"/>
    <w:rsid w:val="001E6E53"/>
    <w:rsid w:val="001E714D"/>
    <w:rsid w:val="001F1433"/>
    <w:rsid w:val="001F1BFF"/>
    <w:rsid w:val="001F25C1"/>
    <w:rsid w:val="001F2A34"/>
    <w:rsid w:val="001F2C57"/>
    <w:rsid w:val="001F310E"/>
    <w:rsid w:val="001F3227"/>
    <w:rsid w:val="001F3305"/>
    <w:rsid w:val="001F48D7"/>
    <w:rsid w:val="001F4B80"/>
    <w:rsid w:val="001F4F99"/>
    <w:rsid w:val="001F5493"/>
    <w:rsid w:val="001F54D4"/>
    <w:rsid w:val="001F5C94"/>
    <w:rsid w:val="001F6FB6"/>
    <w:rsid w:val="001F78FD"/>
    <w:rsid w:val="002002BA"/>
    <w:rsid w:val="0020045B"/>
    <w:rsid w:val="002018DC"/>
    <w:rsid w:val="002031AE"/>
    <w:rsid w:val="00203309"/>
    <w:rsid w:val="00203BE1"/>
    <w:rsid w:val="002042F8"/>
    <w:rsid w:val="00204799"/>
    <w:rsid w:val="00204C1B"/>
    <w:rsid w:val="00205BFF"/>
    <w:rsid w:val="00205C75"/>
    <w:rsid w:val="00206394"/>
    <w:rsid w:val="00206A0D"/>
    <w:rsid w:val="002102C9"/>
    <w:rsid w:val="00210B3B"/>
    <w:rsid w:val="00210CC2"/>
    <w:rsid w:val="00210E0D"/>
    <w:rsid w:val="00212733"/>
    <w:rsid w:val="002131FA"/>
    <w:rsid w:val="00213847"/>
    <w:rsid w:val="00213B39"/>
    <w:rsid w:val="002142E5"/>
    <w:rsid w:val="00214B52"/>
    <w:rsid w:val="00215C13"/>
    <w:rsid w:val="002161A1"/>
    <w:rsid w:val="002176A5"/>
    <w:rsid w:val="00217C50"/>
    <w:rsid w:val="00217E28"/>
    <w:rsid w:val="00220218"/>
    <w:rsid w:val="00220CFA"/>
    <w:rsid w:val="00221EF5"/>
    <w:rsid w:val="0022239B"/>
    <w:rsid w:val="00222C4B"/>
    <w:rsid w:val="0022307B"/>
    <w:rsid w:val="00223248"/>
    <w:rsid w:val="002235E6"/>
    <w:rsid w:val="00224D33"/>
    <w:rsid w:val="00225E94"/>
    <w:rsid w:val="00226920"/>
    <w:rsid w:val="00226C5B"/>
    <w:rsid w:val="00226F65"/>
    <w:rsid w:val="002275C2"/>
    <w:rsid w:val="0022791E"/>
    <w:rsid w:val="002303DC"/>
    <w:rsid w:val="00230F61"/>
    <w:rsid w:val="0023180A"/>
    <w:rsid w:val="00232428"/>
    <w:rsid w:val="00232F20"/>
    <w:rsid w:val="00233305"/>
    <w:rsid w:val="00233707"/>
    <w:rsid w:val="002340C8"/>
    <w:rsid w:val="00234CA5"/>
    <w:rsid w:val="00236834"/>
    <w:rsid w:val="00237211"/>
    <w:rsid w:val="002422E7"/>
    <w:rsid w:val="002432A9"/>
    <w:rsid w:val="00243FD4"/>
    <w:rsid w:val="002442DC"/>
    <w:rsid w:val="0024496D"/>
    <w:rsid w:val="00244DC4"/>
    <w:rsid w:val="00245163"/>
    <w:rsid w:val="0024557B"/>
    <w:rsid w:val="002457CC"/>
    <w:rsid w:val="00245866"/>
    <w:rsid w:val="002458B9"/>
    <w:rsid w:val="00246D2C"/>
    <w:rsid w:val="002473C8"/>
    <w:rsid w:val="002519B1"/>
    <w:rsid w:val="00251E36"/>
    <w:rsid w:val="00253CFB"/>
    <w:rsid w:val="00253E00"/>
    <w:rsid w:val="00254672"/>
    <w:rsid w:val="00254E0C"/>
    <w:rsid w:val="002564C6"/>
    <w:rsid w:val="0025651A"/>
    <w:rsid w:val="00257A07"/>
    <w:rsid w:val="00257D02"/>
    <w:rsid w:val="00260657"/>
    <w:rsid w:val="00260E35"/>
    <w:rsid w:val="002614AA"/>
    <w:rsid w:val="00261AE7"/>
    <w:rsid w:val="00261BC4"/>
    <w:rsid w:val="00261C65"/>
    <w:rsid w:val="00262AA8"/>
    <w:rsid w:val="00264B18"/>
    <w:rsid w:val="00265203"/>
    <w:rsid w:val="002667F2"/>
    <w:rsid w:val="002679C1"/>
    <w:rsid w:val="00267EEB"/>
    <w:rsid w:val="0027051C"/>
    <w:rsid w:val="002709CC"/>
    <w:rsid w:val="00271963"/>
    <w:rsid w:val="00271CED"/>
    <w:rsid w:val="00272FDA"/>
    <w:rsid w:val="0027338F"/>
    <w:rsid w:val="002739B9"/>
    <w:rsid w:val="00273B0D"/>
    <w:rsid w:val="002750F2"/>
    <w:rsid w:val="00275E09"/>
    <w:rsid w:val="0027680C"/>
    <w:rsid w:val="00276F00"/>
    <w:rsid w:val="00276F8E"/>
    <w:rsid w:val="002812A4"/>
    <w:rsid w:val="0028229A"/>
    <w:rsid w:val="002826DC"/>
    <w:rsid w:val="00283E93"/>
    <w:rsid w:val="00283FAB"/>
    <w:rsid w:val="00285471"/>
    <w:rsid w:val="00286A4F"/>
    <w:rsid w:val="00287BA2"/>
    <w:rsid w:val="00290BFD"/>
    <w:rsid w:val="00290ED6"/>
    <w:rsid w:val="00290F2B"/>
    <w:rsid w:val="00290F9F"/>
    <w:rsid w:val="00291BF3"/>
    <w:rsid w:val="00292472"/>
    <w:rsid w:val="00293D92"/>
    <w:rsid w:val="00294252"/>
    <w:rsid w:val="00294384"/>
    <w:rsid w:val="00294559"/>
    <w:rsid w:val="00294953"/>
    <w:rsid w:val="002953BF"/>
    <w:rsid w:val="00295674"/>
    <w:rsid w:val="00295D34"/>
    <w:rsid w:val="002962A4"/>
    <w:rsid w:val="002968D3"/>
    <w:rsid w:val="00296C35"/>
    <w:rsid w:val="00296D6D"/>
    <w:rsid w:val="00297743"/>
    <w:rsid w:val="002A0225"/>
    <w:rsid w:val="002A0278"/>
    <w:rsid w:val="002A0C95"/>
    <w:rsid w:val="002A0F5A"/>
    <w:rsid w:val="002A1405"/>
    <w:rsid w:val="002A1A6F"/>
    <w:rsid w:val="002A1AA7"/>
    <w:rsid w:val="002A1BCB"/>
    <w:rsid w:val="002A20F2"/>
    <w:rsid w:val="002A2271"/>
    <w:rsid w:val="002A2F62"/>
    <w:rsid w:val="002A31F1"/>
    <w:rsid w:val="002A3AFC"/>
    <w:rsid w:val="002A5677"/>
    <w:rsid w:val="002A5925"/>
    <w:rsid w:val="002A5F23"/>
    <w:rsid w:val="002A5F8C"/>
    <w:rsid w:val="002A6A9F"/>
    <w:rsid w:val="002A7AC7"/>
    <w:rsid w:val="002A7BF2"/>
    <w:rsid w:val="002A7EC5"/>
    <w:rsid w:val="002B0F68"/>
    <w:rsid w:val="002B100E"/>
    <w:rsid w:val="002B20D9"/>
    <w:rsid w:val="002B22C8"/>
    <w:rsid w:val="002B3080"/>
    <w:rsid w:val="002B3879"/>
    <w:rsid w:val="002B48E0"/>
    <w:rsid w:val="002B4E7D"/>
    <w:rsid w:val="002B5B82"/>
    <w:rsid w:val="002B6975"/>
    <w:rsid w:val="002B6FDC"/>
    <w:rsid w:val="002C0556"/>
    <w:rsid w:val="002C14F1"/>
    <w:rsid w:val="002C1527"/>
    <w:rsid w:val="002C16E5"/>
    <w:rsid w:val="002C2B32"/>
    <w:rsid w:val="002C3922"/>
    <w:rsid w:val="002C3DFD"/>
    <w:rsid w:val="002C45B8"/>
    <w:rsid w:val="002C4700"/>
    <w:rsid w:val="002C6EFA"/>
    <w:rsid w:val="002D10F5"/>
    <w:rsid w:val="002D2B63"/>
    <w:rsid w:val="002D3117"/>
    <w:rsid w:val="002D39C7"/>
    <w:rsid w:val="002D41D8"/>
    <w:rsid w:val="002D6166"/>
    <w:rsid w:val="002D6980"/>
    <w:rsid w:val="002D775B"/>
    <w:rsid w:val="002E1D2C"/>
    <w:rsid w:val="002E2EC5"/>
    <w:rsid w:val="002E4418"/>
    <w:rsid w:val="002E5A59"/>
    <w:rsid w:val="002E5B9A"/>
    <w:rsid w:val="002E6DBE"/>
    <w:rsid w:val="002E744E"/>
    <w:rsid w:val="002E75DB"/>
    <w:rsid w:val="002F04B8"/>
    <w:rsid w:val="002F0B86"/>
    <w:rsid w:val="002F1AAC"/>
    <w:rsid w:val="002F2FB8"/>
    <w:rsid w:val="002F2FE0"/>
    <w:rsid w:val="002F51CE"/>
    <w:rsid w:val="002F5221"/>
    <w:rsid w:val="002F54BF"/>
    <w:rsid w:val="002F5645"/>
    <w:rsid w:val="002F7E32"/>
    <w:rsid w:val="0030161F"/>
    <w:rsid w:val="00301EBE"/>
    <w:rsid w:val="00302040"/>
    <w:rsid w:val="00302F5E"/>
    <w:rsid w:val="003036CC"/>
    <w:rsid w:val="00303EEA"/>
    <w:rsid w:val="003050F1"/>
    <w:rsid w:val="003071E5"/>
    <w:rsid w:val="003079F7"/>
    <w:rsid w:val="00310494"/>
    <w:rsid w:val="00310B08"/>
    <w:rsid w:val="003110C2"/>
    <w:rsid w:val="00312A43"/>
    <w:rsid w:val="00314334"/>
    <w:rsid w:val="00315EFB"/>
    <w:rsid w:val="00317CD2"/>
    <w:rsid w:val="00320BF8"/>
    <w:rsid w:val="0032110F"/>
    <w:rsid w:val="00322F7B"/>
    <w:rsid w:val="00322FF1"/>
    <w:rsid w:val="003256E1"/>
    <w:rsid w:val="0032655A"/>
    <w:rsid w:val="00326BE0"/>
    <w:rsid w:val="00326E28"/>
    <w:rsid w:val="00327A22"/>
    <w:rsid w:val="0033120A"/>
    <w:rsid w:val="003336D8"/>
    <w:rsid w:val="00333A0E"/>
    <w:rsid w:val="003341BD"/>
    <w:rsid w:val="003350F6"/>
    <w:rsid w:val="00336B7E"/>
    <w:rsid w:val="00336D72"/>
    <w:rsid w:val="003406C8"/>
    <w:rsid w:val="00340706"/>
    <w:rsid w:val="00341151"/>
    <w:rsid w:val="003420C6"/>
    <w:rsid w:val="00342B31"/>
    <w:rsid w:val="00342D86"/>
    <w:rsid w:val="0034492E"/>
    <w:rsid w:val="00345372"/>
    <w:rsid w:val="00347700"/>
    <w:rsid w:val="00347764"/>
    <w:rsid w:val="003479A8"/>
    <w:rsid w:val="00347B48"/>
    <w:rsid w:val="00350D7B"/>
    <w:rsid w:val="00350FF0"/>
    <w:rsid w:val="00351337"/>
    <w:rsid w:val="003519B7"/>
    <w:rsid w:val="003521E7"/>
    <w:rsid w:val="0035369B"/>
    <w:rsid w:val="00353F3B"/>
    <w:rsid w:val="00354F5C"/>
    <w:rsid w:val="0035706D"/>
    <w:rsid w:val="003571DF"/>
    <w:rsid w:val="00357A37"/>
    <w:rsid w:val="00357FDE"/>
    <w:rsid w:val="00361E9C"/>
    <w:rsid w:val="00363CD2"/>
    <w:rsid w:val="00365B49"/>
    <w:rsid w:val="00365C91"/>
    <w:rsid w:val="00366FA1"/>
    <w:rsid w:val="00367108"/>
    <w:rsid w:val="0037072A"/>
    <w:rsid w:val="00370D28"/>
    <w:rsid w:val="00371570"/>
    <w:rsid w:val="003724C0"/>
    <w:rsid w:val="003725F0"/>
    <w:rsid w:val="00372690"/>
    <w:rsid w:val="003734E3"/>
    <w:rsid w:val="00373678"/>
    <w:rsid w:val="00375427"/>
    <w:rsid w:val="003758C0"/>
    <w:rsid w:val="00375CED"/>
    <w:rsid w:val="00376004"/>
    <w:rsid w:val="0037748D"/>
    <w:rsid w:val="00377663"/>
    <w:rsid w:val="00377B61"/>
    <w:rsid w:val="00381111"/>
    <w:rsid w:val="00381551"/>
    <w:rsid w:val="00382B98"/>
    <w:rsid w:val="00382D40"/>
    <w:rsid w:val="00384BE3"/>
    <w:rsid w:val="003858FA"/>
    <w:rsid w:val="0038706B"/>
    <w:rsid w:val="0039123A"/>
    <w:rsid w:val="00391D34"/>
    <w:rsid w:val="00392641"/>
    <w:rsid w:val="003926CC"/>
    <w:rsid w:val="00392EAC"/>
    <w:rsid w:val="00394D12"/>
    <w:rsid w:val="003955BF"/>
    <w:rsid w:val="00396579"/>
    <w:rsid w:val="0039692B"/>
    <w:rsid w:val="003A056E"/>
    <w:rsid w:val="003A0E6D"/>
    <w:rsid w:val="003A2171"/>
    <w:rsid w:val="003A26EF"/>
    <w:rsid w:val="003A5EB0"/>
    <w:rsid w:val="003A656C"/>
    <w:rsid w:val="003A6DE5"/>
    <w:rsid w:val="003A6FF1"/>
    <w:rsid w:val="003B20F8"/>
    <w:rsid w:val="003B39E1"/>
    <w:rsid w:val="003B3E6D"/>
    <w:rsid w:val="003B4D2D"/>
    <w:rsid w:val="003B57DD"/>
    <w:rsid w:val="003B5A45"/>
    <w:rsid w:val="003B6FCF"/>
    <w:rsid w:val="003B7383"/>
    <w:rsid w:val="003B7D6B"/>
    <w:rsid w:val="003C1888"/>
    <w:rsid w:val="003C1E89"/>
    <w:rsid w:val="003C2221"/>
    <w:rsid w:val="003C2B71"/>
    <w:rsid w:val="003C3ED6"/>
    <w:rsid w:val="003C4074"/>
    <w:rsid w:val="003C47C4"/>
    <w:rsid w:val="003C519F"/>
    <w:rsid w:val="003C53DB"/>
    <w:rsid w:val="003C6DC3"/>
    <w:rsid w:val="003C7295"/>
    <w:rsid w:val="003C7BD8"/>
    <w:rsid w:val="003D00E5"/>
    <w:rsid w:val="003D0FDB"/>
    <w:rsid w:val="003D1B90"/>
    <w:rsid w:val="003D2486"/>
    <w:rsid w:val="003D2802"/>
    <w:rsid w:val="003D2B4B"/>
    <w:rsid w:val="003D33D5"/>
    <w:rsid w:val="003D3413"/>
    <w:rsid w:val="003D523C"/>
    <w:rsid w:val="003D5DCC"/>
    <w:rsid w:val="003D67B4"/>
    <w:rsid w:val="003D74C4"/>
    <w:rsid w:val="003E18C3"/>
    <w:rsid w:val="003E1B3F"/>
    <w:rsid w:val="003E1D02"/>
    <w:rsid w:val="003E1D55"/>
    <w:rsid w:val="003E2750"/>
    <w:rsid w:val="003E2A9F"/>
    <w:rsid w:val="003E3A38"/>
    <w:rsid w:val="003E3B01"/>
    <w:rsid w:val="003E480E"/>
    <w:rsid w:val="003E4C8C"/>
    <w:rsid w:val="003E518F"/>
    <w:rsid w:val="003F238F"/>
    <w:rsid w:val="003F2A30"/>
    <w:rsid w:val="003F2D68"/>
    <w:rsid w:val="003F3E6F"/>
    <w:rsid w:val="003F4C6B"/>
    <w:rsid w:val="003F5879"/>
    <w:rsid w:val="003F5A66"/>
    <w:rsid w:val="003F614C"/>
    <w:rsid w:val="003F6F71"/>
    <w:rsid w:val="003F786A"/>
    <w:rsid w:val="00400B65"/>
    <w:rsid w:val="004015FB"/>
    <w:rsid w:val="00402CF4"/>
    <w:rsid w:val="00402E1F"/>
    <w:rsid w:val="0040308F"/>
    <w:rsid w:val="00403953"/>
    <w:rsid w:val="0040476A"/>
    <w:rsid w:val="00404A6E"/>
    <w:rsid w:val="00404A81"/>
    <w:rsid w:val="00405209"/>
    <w:rsid w:val="004054E4"/>
    <w:rsid w:val="004056EE"/>
    <w:rsid w:val="0041030A"/>
    <w:rsid w:val="0041088C"/>
    <w:rsid w:val="00410BE3"/>
    <w:rsid w:val="00410E4E"/>
    <w:rsid w:val="004119AC"/>
    <w:rsid w:val="004128A0"/>
    <w:rsid w:val="00412E37"/>
    <w:rsid w:val="00413556"/>
    <w:rsid w:val="0041396F"/>
    <w:rsid w:val="0041409A"/>
    <w:rsid w:val="0041533F"/>
    <w:rsid w:val="00415564"/>
    <w:rsid w:val="00415738"/>
    <w:rsid w:val="00416B1C"/>
    <w:rsid w:val="00416DCD"/>
    <w:rsid w:val="0042025C"/>
    <w:rsid w:val="004213CD"/>
    <w:rsid w:val="004221BB"/>
    <w:rsid w:val="0042286F"/>
    <w:rsid w:val="00426969"/>
    <w:rsid w:val="00426A05"/>
    <w:rsid w:val="00430E5F"/>
    <w:rsid w:val="00431141"/>
    <w:rsid w:val="004324F8"/>
    <w:rsid w:val="00434323"/>
    <w:rsid w:val="004344B9"/>
    <w:rsid w:val="00434F13"/>
    <w:rsid w:val="00436DBD"/>
    <w:rsid w:val="004406AB"/>
    <w:rsid w:val="004426A5"/>
    <w:rsid w:val="00443021"/>
    <w:rsid w:val="0044594E"/>
    <w:rsid w:val="00445D39"/>
    <w:rsid w:val="00446BDD"/>
    <w:rsid w:val="00446ECE"/>
    <w:rsid w:val="004505D4"/>
    <w:rsid w:val="00450A3A"/>
    <w:rsid w:val="00450EEE"/>
    <w:rsid w:val="00451B71"/>
    <w:rsid w:val="00451C09"/>
    <w:rsid w:val="00452563"/>
    <w:rsid w:val="00452F88"/>
    <w:rsid w:val="00453FAB"/>
    <w:rsid w:val="004550FE"/>
    <w:rsid w:val="00456196"/>
    <w:rsid w:val="004561D1"/>
    <w:rsid w:val="0045692C"/>
    <w:rsid w:val="00456E2B"/>
    <w:rsid w:val="00461B8C"/>
    <w:rsid w:val="00462767"/>
    <w:rsid w:val="00463210"/>
    <w:rsid w:val="004646D5"/>
    <w:rsid w:val="00464AEB"/>
    <w:rsid w:val="004657EA"/>
    <w:rsid w:val="00466382"/>
    <w:rsid w:val="00466523"/>
    <w:rsid w:val="00467312"/>
    <w:rsid w:val="004676C6"/>
    <w:rsid w:val="00470BE2"/>
    <w:rsid w:val="004713ED"/>
    <w:rsid w:val="00471852"/>
    <w:rsid w:val="004727A4"/>
    <w:rsid w:val="004735A1"/>
    <w:rsid w:val="0047368F"/>
    <w:rsid w:val="00473AA4"/>
    <w:rsid w:val="00473E45"/>
    <w:rsid w:val="0047484A"/>
    <w:rsid w:val="0047546F"/>
    <w:rsid w:val="00475E06"/>
    <w:rsid w:val="00476622"/>
    <w:rsid w:val="00477448"/>
    <w:rsid w:val="00477D61"/>
    <w:rsid w:val="00480CA4"/>
    <w:rsid w:val="00482067"/>
    <w:rsid w:val="004821F1"/>
    <w:rsid w:val="00482AA7"/>
    <w:rsid w:val="00482C71"/>
    <w:rsid w:val="004834E3"/>
    <w:rsid w:val="00483885"/>
    <w:rsid w:val="0048425D"/>
    <w:rsid w:val="00484746"/>
    <w:rsid w:val="0048497D"/>
    <w:rsid w:val="00484D35"/>
    <w:rsid w:val="00486984"/>
    <w:rsid w:val="00486BCD"/>
    <w:rsid w:val="0048719D"/>
    <w:rsid w:val="00487CAB"/>
    <w:rsid w:val="00491440"/>
    <w:rsid w:val="00493C55"/>
    <w:rsid w:val="00494596"/>
    <w:rsid w:val="00494A93"/>
    <w:rsid w:val="00495095"/>
    <w:rsid w:val="00495A1B"/>
    <w:rsid w:val="00496875"/>
    <w:rsid w:val="004A0CBC"/>
    <w:rsid w:val="004A1942"/>
    <w:rsid w:val="004A1C7D"/>
    <w:rsid w:val="004A1DC3"/>
    <w:rsid w:val="004A21A4"/>
    <w:rsid w:val="004A54A4"/>
    <w:rsid w:val="004A54E6"/>
    <w:rsid w:val="004A6B68"/>
    <w:rsid w:val="004A7222"/>
    <w:rsid w:val="004A7946"/>
    <w:rsid w:val="004A7D64"/>
    <w:rsid w:val="004B15F1"/>
    <w:rsid w:val="004B255C"/>
    <w:rsid w:val="004B2790"/>
    <w:rsid w:val="004B2A1A"/>
    <w:rsid w:val="004B2E71"/>
    <w:rsid w:val="004B2F1B"/>
    <w:rsid w:val="004B491D"/>
    <w:rsid w:val="004B4F21"/>
    <w:rsid w:val="004B535D"/>
    <w:rsid w:val="004B5EC4"/>
    <w:rsid w:val="004B6833"/>
    <w:rsid w:val="004B726E"/>
    <w:rsid w:val="004B7D2E"/>
    <w:rsid w:val="004C0F98"/>
    <w:rsid w:val="004C1624"/>
    <w:rsid w:val="004C18DB"/>
    <w:rsid w:val="004C1C2A"/>
    <w:rsid w:val="004C2C5B"/>
    <w:rsid w:val="004C41B2"/>
    <w:rsid w:val="004C4A3A"/>
    <w:rsid w:val="004C5E80"/>
    <w:rsid w:val="004C69E8"/>
    <w:rsid w:val="004C78FA"/>
    <w:rsid w:val="004C7A9F"/>
    <w:rsid w:val="004D123F"/>
    <w:rsid w:val="004D199C"/>
    <w:rsid w:val="004D1CF3"/>
    <w:rsid w:val="004D1FA4"/>
    <w:rsid w:val="004D6337"/>
    <w:rsid w:val="004D6EFA"/>
    <w:rsid w:val="004D703B"/>
    <w:rsid w:val="004E0243"/>
    <w:rsid w:val="004E092F"/>
    <w:rsid w:val="004E231E"/>
    <w:rsid w:val="004E3D23"/>
    <w:rsid w:val="004E43BF"/>
    <w:rsid w:val="004E4780"/>
    <w:rsid w:val="004E4916"/>
    <w:rsid w:val="004E5916"/>
    <w:rsid w:val="004E66A8"/>
    <w:rsid w:val="004E6C38"/>
    <w:rsid w:val="004F0325"/>
    <w:rsid w:val="004F0449"/>
    <w:rsid w:val="004F101A"/>
    <w:rsid w:val="004F165A"/>
    <w:rsid w:val="004F17D8"/>
    <w:rsid w:val="004F29EB"/>
    <w:rsid w:val="004F3EAB"/>
    <w:rsid w:val="004F4692"/>
    <w:rsid w:val="004F5A69"/>
    <w:rsid w:val="004F5E08"/>
    <w:rsid w:val="004F5E19"/>
    <w:rsid w:val="004F6198"/>
    <w:rsid w:val="004F757F"/>
    <w:rsid w:val="0050018B"/>
    <w:rsid w:val="00500A4D"/>
    <w:rsid w:val="005012FA"/>
    <w:rsid w:val="00501BC4"/>
    <w:rsid w:val="005022BE"/>
    <w:rsid w:val="00503192"/>
    <w:rsid w:val="005034EB"/>
    <w:rsid w:val="0050576A"/>
    <w:rsid w:val="0050590A"/>
    <w:rsid w:val="00506099"/>
    <w:rsid w:val="00506671"/>
    <w:rsid w:val="00506B43"/>
    <w:rsid w:val="00507148"/>
    <w:rsid w:val="0050763E"/>
    <w:rsid w:val="005077FA"/>
    <w:rsid w:val="00510A22"/>
    <w:rsid w:val="00511032"/>
    <w:rsid w:val="0051129C"/>
    <w:rsid w:val="00511EF1"/>
    <w:rsid w:val="0051455D"/>
    <w:rsid w:val="00515412"/>
    <w:rsid w:val="00516EB9"/>
    <w:rsid w:val="00521B24"/>
    <w:rsid w:val="00521CBD"/>
    <w:rsid w:val="00522420"/>
    <w:rsid w:val="00522F05"/>
    <w:rsid w:val="0052502A"/>
    <w:rsid w:val="00525892"/>
    <w:rsid w:val="00526F00"/>
    <w:rsid w:val="00527885"/>
    <w:rsid w:val="00527C3B"/>
    <w:rsid w:val="005301A0"/>
    <w:rsid w:val="005312D2"/>
    <w:rsid w:val="00531B9C"/>
    <w:rsid w:val="00532209"/>
    <w:rsid w:val="0053249D"/>
    <w:rsid w:val="005336B0"/>
    <w:rsid w:val="005336C5"/>
    <w:rsid w:val="0053371D"/>
    <w:rsid w:val="00533C02"/>
    <w:rsid w:val="00533EC4"/>
    <w:rsid w:val="0053493D"/>
    <w:rsid w:val="005355CC"/>
    <w:rsid w:val="0053721C"/>
    <w:rsid w:val="005374FD"/>
    <w:rsid w:val="00537544"/>
    <w:rsid w:val="00537EA4"/>
    <w:rsid w:val="005401F7"/>
    <w:rsid w:val="005404EF"/>
    <w:rsid w:val="0054063E"/>
    <w:rsid w:val="00540850"/>
    <w:rsid w:val="005413B5"/>
    <w:rsid w:val="00541918"/>
    <w:rsid w:val="00543037"/>
    <w:rsid w:val="00545CE4"/>
    <w:rsid w:val="00547C7F"/>
    <w:rsid w:val="00552FEC"/>
    <w:rsid w:val="00553AA8"/>
    <w:rsid w:val="00553C24"/>
    <w:rsid w:val="00554317"/>
    <w:rsid w:val="00554E74"/>
    <w:rsid w:val="00556FED"/>
    <w:rsid w:val="005577AD"/>
    <w:rsid w:val="005578CF"/>
    <w:rsid w:val="00557926"/>
    <w:rsid w:val="00560B40"/>
    <w:rsid w:val="00560D77"/>
    <w:rsid w:val="00560FB2"/>
    <w:rsid w:val="0056177E"/>
    <w:rsid w:val="00561BEF"/>
    <w:rsid w:val="00561FE0"/>
    <w:rsid w:val="00562055"/>
    <w:rsid w:val="00562E8D"/>
    <w:rsid w:val="00562EFE"/>
    <w:rsid w:val="00563C8F"/>
    <w:rsid w:val="005653B1"/>
    <w:rsid w:val="0056557E"/>
    <w:rsid w:val="005665BA"/>
    <w:rsid w:val="00566DBE"/>
    <w:rsid w:val="00570244"/>
    <w:rsid w:val="005718C5"/>
    <w:rsid w:val="00573F4C"/>
    <w:rsid w:val="00575230"/>
    <w:rsid w:val="005754FC"/>
    <w:rsid w:val="005759EE"/>
    <w:rsid w:val="00576612"/>
    <w:rsid w:val="00576898"/>
    <w:rsid w:val="00576AE2"/>
    <w:rsid w:val="00577ACE"/>
    <w:rsid w:val="00580E15"/>
    <w:rsid w:val="00581122"/>
    <w:rsid w:val="005815F5"/>
    <w:rsid w:val="005817AA"/>
    <w:rsid w:val="0058234B"/>
    <w:rsid w:val="00582A9F"/>
    <w:rsid w:val="00582CA6"/>
    <w:rsid w:val="005843FA"/>
    <w:rsid w:val="00586947"/>
    <w:rsid w:val="00586D0C"/>
    <w:rsid w:val="00586DC9"/>
    <w:rsid w:val="005903B7"/>
    <w:rsid w:val="00591FEA"/>
    <w:rsid w:val="00592939"/>
    <w:rsid w:val="00592965"/>
    <w:rsid w:val="00592989"/>
    <w:rsid w:val="00592E1D"/>
    <w:rsid w:val="00592F9E"/>
    <w:rsid w:val="005935B1"/>
    <w:rsid w:val="00593A89"/>
    <w:rsid w:val="00593E27"/>
    <w:rsid w:val="00594195"/>
    <w:rsid w:val="0059445C"/>
    <w:rsid w:val="00594BAD"/>
    <w:rsid w:val="00595470"/>
    <w:rsid w:val="005956C8"/>
    <w:rsid w:val="005958EE"/>
    <w:rsid w:val="00595C1C"/>
    <w:rsid w:val="005966A8"/>
    <w:rsid w:val="00597D5F"/>
    <w:rsid w:val="005A01AD"/>
    <w:rsid w:val="005A044D"/>
    <w:rsid w:val="005A0CFB"/>
    <w:rsid w:val="005A0DE9"/>
    <w:rsid w:val="005A1AB4"/>
    <w:rsid w:val="005A1D82"/>
    <w:rsid w:val="005A25B1"/>
    <w:rsid w:val="005A26EF"/>
    <w:rsid w:val="005A2CC5"/>
    <w:rsid w:val="005A38FF"/>
    <w:rsid w:val="005A5BEE"/>
    <w:rsid w:val="005A6673"/>
    <w:rsid w:val="005A6BE8"/>
    <w:rsid w:val="005A6DD3"/>
    <w:rsid w:val="005A6FC7"/>
    <w:rsid w:val="005A6FFD"/>
    <w:rsid w:val="005A74B8"/>
    <w:rsid w:val="005A7A5D"/>
    <w:rsid w:val="005B0BD2"/>
    <w:rsid w:val="005B159D"/>
    <w:rsid w:val="005B1717"/>
    <w:rsid w:val="005B177C"/>
    <w:rsid w:val="005B2238"/>
    <w:rsid w:val="005B27E0"/>
    <w:rsid w:val="005B34E7"/>
    <w:rsid w:val="005B35C0"/>
    <w:rsid w:val="005B58B5"/>
    <w:rsid w:val="005B5A7C"/>
    <w:rsid w:val="005B5B09"/>
    <w:rsid w:val="005B687D"/>
    <w:rsid w:val="005C137C"/>
    <w:rsid w:val="005C15FC"/>
    <w:rsid w:val="005C1D51"/>
    <w:rsid w:val="005C1E42"/>
    <w:rsid w:val="005C2A12"/>
    <w:rsid w:val="005C3589"/>
    <w:rsid w:val="005C5D00"/>
    <w:rsid w:val="005C664F"/>
    <w:rsid w:val="005C6658"/>
    <w:rsid w:val="005C7188"/>
    <w:rsid w:val="005C724E"/>
    <w:rsid w:val="005D06EA"/>
    <w:rsid w:val="005D27B3"/>
    <w:rsid w:val="005D3015"/>
    <w:rsid w:val="005D309F"/>
    <w:rsid w:val="005D35B9"/>
    <w:rsid w:val="005D3ECA"/>
    <w:rsid w:val="005D4756"/>
    <w:rsid w:val="005D502C"/>
    <w:rsid w:val="005D5AEE"/>
    <w:rsid w:val="005D5DF1"/>
    <w:rsid w:val="005D6A5A"/>
    <w:rsid w:val="005D76B7"/>
    <w:rsid w:val="005E047F"/>
    <w:rsid w:val="005E0EA0"/>
    <w:rsid w:val="005E0ED5"/>
    <w:rsid w:val="005E10AD"/>
    <w:rsid w:val="005E14FA"/>
    <w:rsid w:val="005E1686"/>
    <w:rsid w:val="005E1ED4"/>
    <w:rsid w:val="005E38BF"/>
    <w:rsid w:val="005E38ED"/>
    <w:rsid w:val="005E4DF3"/>
    <w:rsid w:val="005E506B"/>
    <w:rsid w:val="005E50CD"/>
    <w:rsid w:val="005E5D3D"/>
    <w:rsid w:val="005E64EE"/>
    <w:rsid w:val="005F122B"/>
    <w:rsid w:val="005F15B4"/>
    <w:rsid w:val="005F1A89"/>
    <w:rsid w:val="005F1AB0"/>
    <w:rsid w:val="005F36B8"/>
    <w:rsid w:val="005F4578"/>
    <w:rsid w:val="005F62FC"/>
    <w:rsid w:val="005F7761"/>
    <w:rsid w:val="00600052"/>
    <w:rsid w:val="00600199"/>
    <w:rsid w:val="00601FC3"/>
    <w:rsid w:val="0060258D"/>
    <w:rsid w:val="00602A3D"/>
    <w:rsid w:val="006030ED"/>
    <w:rsid w:val="00603B1D"/>
    <w:rsid w:val="00605598"/>
    <w:rsid w:val="00605940"/>
    <w:rsid w:val="00605A8D"/>
    <w:rsid w:val="00605CA5"/>
    <w:rsid w:val="00605F0F"/>
    <w:rsid w:val="0060612D"/>
    <w:rsid w:val="00606BE2"/>
    <w:rsid w:val="006073D2"/>
    <w:rsid w:val="00607444"/>
    <w:rsid w:val="00610094"/>
    <w:rsid w:val="00610835"/>
    <w:rsid w:val="006109A3"/>
    <w:rsid w:val="00610B67"/>
    <w:rsid w:val="00610BEB"/>
    <w:rsid w:val="00610C10"/>
    <w:rsid w:val="006122B9"/>
    <w:rsid w:val="00613833"/>
    <w:rsid w:val="006143A8"/>
    <w:rsid w:val="00614AFD"/>
    <w:rsid w:val="006164E5"/>
    <w:rsid w:val="006177AF"/>
    <w:rsid w:val="00620837"/>
    <w:rsid w:val="00620850"/>
    <w:rsid w:val="006229F9"/>
    <w:rsid w:val="00622A8B"/>
    <w:rsid w:val="006241EC"/>
    <w:rsid w:val="00624F70"/>
    <w:rsid w:val="006250A1"/>
    <w:rsid w:val="00625840"/>
    <w:rsid w:val="00627828"/>
    <w:rsid w:val="00630102"/>
    <w:rsid w:val="00630FF6"/>
    <w:rsid w:val="006316F3"/>
    <w:rsid w:val="00632D9F"/>
    <w:rsid w:val="00633091"/>
    <w:rsid w:val="006331B2"/>
    <w:rsid w:val="0063428C"/>
    <w:rsid w:val="006349D2"/>
    <w:rsid w:val="00634FD5"/>
    <w:rsid w:val="006350FD"/>
    <w:rsid w:val="00635175"/>
    <w:rsid w:val="00641132"/>
    <w:rsid w:val="006411CC"/>
    <w:rsid w:val="00641A61"/>
    <w:rsid w:val="00644792"/>
    <w:rsid w:val="00645303"/>
    <w:rsid w:val="00645BAF"/>
    <w:rsid w:val="00645D19"/>
    <w:rsid w:val="00645F91"/>
    <w:rsid w:val="00646DBC"/>
    <w:rsid w:val="00646DF3"/>
    <w:rsid w:val="00647B0E"/>
    <w:rsid w:val="006503E1"/>
    <w:rsid w:val="00650D3F"/>
    <w:rsid w:val="0065157B"/>
    <w:rsid w:val="006522BB"/>
    <w:rsid w:val="006548DF"/>
    <w:rsid w:val="0065532F"/>
    <w:rsid w:val="00655A81"/>
    <w:rsid w:val="00656FE3"/>
    <w:rsid w:val="00660AEA"/>
    <w:rsid w:val="00663F43"/>
    <w:rsid w:val="006642FA"/>
    <w:rsid w:val="00665A47"/>
    <w:rsid w:val="00670ADF"/>
    <w:rsid w:val="00671A99"/>
    <w:rsid w:val="00671D2A"/>
    <w:rsid w:val="00671EA4"/>
    <w:rsid w:val="00672BCE"/>
    <w:rsid w:val="0067363A"/>
    <w:rsid w:val="00673EBF"/>
    <w:rsid w:val="00674301"/>
    <w:rsid w:val="0067454C"/>
    <w:rsid w:val="00674D26"/>
    <w:rsid w:val="006752BA"/>
    <w:rsid w:val="006770A9"/>
    <w:rsid w:val="006776A1"/>
    <w:rsid w:val="00677D8F"/>
    <w:rsid w:val="006808E5"/>
    <w:rsid w:val="00680DAF"/>
    <w:rsid w:val="00681336"/>
    <w:rsid w:val="006813FB"/>
    <w:rsid w:val="0068141A"/>
    <w:rsid w:val="0068259E"/>
    <w:rsid w:val="006833DA"/>
    <w:rsid w:val="006851A4"/>
    <w:rsid w:val="00686C15"/>
    <w:rsid w:val="00686EE9"/>
    <w:rsid w:val="006876CD"/>
    <w:rsid w:val="00692EB3"/>
    <w:rsid w:val="006933E7"/>
    <w:rsid w:val="006936C5"/>
    <w:rsid w:val="00694288"/>
    <w:rsid w:val="00694D2D"/>
    <w:rsid w:val="006956DE"/>
    <w:rsid w:val="006958BF"/>
    <w:rsid w:val="0069592F"/>
    <w:rsid w:val="00695DC1"/>
    <w:rsid w:val="00696397"/>
    <w:rsid w:val="00696590"/>
    <w:rsid w:val="006A0FD6"/>
    <w:rsid w:val="006A1508"/>
    <w:rsid w:val="006A1C32"/>
    <w:rsid w:val="006A287F"/>
    <w:rsid w:val="006A3520"/>
    <w:rsid w:val="006A419F"/>
    <w:rsid w:val="006A43FD"/>
    <w:rsid w:val="006A4D28"/>
    <w:rsid w:val="006A7967"/>
    <w:rsid w:val="006A7B86"/>
    <w:rsid w:val="006A7DDD"/>
    <w:rsid w:val="006A7E02"/>
    <w:rsid w:val="006A7E1B"/>
    <w:rsid w:val="006B0846"/>
    <w:rsid w:val="006B0A6B"/>
    <w:rsid w:val="006B1C49"/>
    <w:rsid w:val="006B2281"/>
    <w:rsid w:val="006B2DE3"/>
    <w:rsid w:val="006B2F12"/>
    <w:rsid w:val="006B51EA"/>
    <w:rsid w:val="006B5CD9"/>
    <w:rsid w:val="006B60EC"/>
    <w:rsid w:val="006B6576"/>
    <w:rsid w:val="006B6DC4"/>
    <w:rsid w:val="006B6DE1"/>
    <w:rsid w:val="006B7737"/>
    <w:rsid w:val="006B7750"/>
    <w:rsid w:val="006C05EF"/>
    <w:rsid w:val="006C0F60"/>
    <w:rsid w:val="006C14E1"/>
    <w:rsid w:val="006C1D6A"/>
    <w:rsid w:val="006C3182"/>
    <w:rsid w:val="006C3733"/>
    <w:rsid w:val="006C3F5E"/>
    <w:rsid w:val="006C646E"/>
    <w:rsid w:val="006C7509"/>
    <w:rsid w:val="006C7B73"/>
    <w:rsid w:val="006D00D3"/>
    <w:rsid w:val="006D03D4"/>
    <w:rsid w:val="006D051C"/>
    <w:rsid w:val="006D10FB"/>
    <w:rsid w:val="006D1185"/>
    <w:rsid w:val="006D1263"/>
    <w:rsid w:val="006D242B"/>
    <w:rsid w:val="006D249E"/>
    <w:rsid w:val="006D2DAA"/>
    <w:rsid w:val="006D36F4"/>
    <w:rsid w:val="006D3898"/>
    <w:rsid w:val="006D3E2B"/>
    <w:rsid w:val="006D51F4"/>
    <w:rsid w:val="006D6F4C"/>
    <w:rsid w:val="006E1321"/>
    <w:rsid w:val="006E2696"/>
    <w:rsid w:val="006E405C"/>
    <w:rsid w:val="006E4D05"/>
    <w:rsid w:val="006E51A0"/>
    <w:rsid w:val="006E5A10"/>
    <w:rsid w:val="006E5ED8"/>
    <w:rsid w:val="006E7242"/>
    <w:rsid w:val="006E7CAB"/>
    <w:rsid w:val="006E7E36"/>
    <w:rsid w:val="006F0173"/>
    <w:rsid w:val="006F01E8"/>
    <w:rsid w:val="006F06C2"/>
    <w:rsid w:val="006F3186"/>
    <w:rsid w:val="006F352F"/>
    <w:rsid w:val="006F3910"/>
    <w:rsid w:val="006F3C56"/>
    <w:rsid w:val="006F4C42"/>
    <w:rsid w:val="006F5837"/>
    <w:rsid w:val="006F648D"/>
    <w:rsid w:val="006F6F8D"/>
    <w:rsid w:val="006F75E8"/>
    <w:rsid w:val="006F7639"/>
    <w:rsid w:val="006F79C1"/>
    <w:rsid w:val="006F7A1E"/>
    <w:rsid w:val="006F7DC0"/>
    <w:rsid w:val="007002B6"/>
    <w:rsid w:val="00700FD0"/>
    <w:rsid w:val="00701047"/>
    <w:rsid w:val="007012E2"/>
    <w:rsid w:val="00701627"/>
    <w:rsid w:val="00701C42"/>
    <w:rsid w:val="0070256F"/>
    <w:rsid w:val="007025A3"/>
    <w:rsid w:val="0070263D"/>
    <w:rsid w:val="0070341B"/>
    <w:rsid w:val="00704FCC"/>
    <w:rsid w:val="00705537"/>
    <w:rsid w:val="0070576A"/>
    <w:rsid w:val="00706DC2"/>
    <w:rsid w:val="00707A89"/>
    <w:rsid w:val="0071023B"/>
    <w:rsid w:val="007105AF"/>
    <w:rsid w:val="007127D5"/>
    <w:rsid w:val="00712E0C"/>
    <w:rsid w:val="00712F85"/>
    <w:rsid w:val="0071362B"/>
    <w:rsid w:val="00714B9C"/>
    <w:rsid w:val="00717CC8"/>
    <w:rsid w:val="007204CC"/>
    <w:rsid w:val="00722847"/>
    <w:rsid w:val="007229CE"/>
    <w:rsid w:val="00723329"/>
    <w:rsid w:val="00723953"/>
    <w:rsid w:val="00724522"/>
    <w:rsid w:val="00724973"/>
    <w:rsid w:val="00724B7A"/>
    <w:rsid w:val="00725315"/>
    <w:rsid w:val="00725A99"/>
    <w:rsid w:val="00725D21"/>
    <w:rsid w:val="00726239"/>
    <w:rsid w:val="00726343"/>
    <w:rsid w:val="0072689D"/>
    <w:rsid w:val="00727FF3"/>
    <w:rsid w:val="00731756"/>
    <w:rsid w:val="00732096"/>
    <w:rsid w:val="007322A3"/>
    <w:rsid w:val="0073295C"/>
    <w:rsid w:val="00732AD6"/>
    <w:rsid w:val="00733B88"/>
    <w:rsid w:val="00733EBF"/>
    <w:rsid w:val="0073532C"/>
    <w:rsid w:val="00735C9C"/>
    <w:rsid w:val="00736F06"/>
    <w:rsid w:val="00736FE2"/>
    <w:rsid w:val="00737150"/>
    <w:rsid w:val="007405B1"/>
    <w:rsid w:val="007414BC"/>
    <w:rsid w:val="00741646"/>
    <w:rsid w:val="0074295E"/>
    <w:rsid w:val="007433DD"/>
    <w:rsid w:val="00743D3E"/>
    <w:rsid w:val="0074460B"/>
    <w:rsid w:val="00744C76"/>
    <w:rsid w:val="0074607A"/>
    <w:rsid w:val="00746C5B"/>
    <w:rsid w:val="00750013"/>
    <w:rsid w:val="00751704"/>
    <w:rsid w:val="00752F51"/>
    <w:rsid w:val="00753218"/>
    <w:rsid w:val="00753D03"/>
    <w:rsid w:val="007548D0"/>
    <w:rsid w:val="0076023F"/>
    <w:rsid w:val="00761134"/>
    <w:rsid w:val="0076148E"/>
    <w:rsid w:val="0076152A"/>
    <w:rsid w:val="00761991"/>
    <w:rsid w:val="0076347D"/>
    <w:rsid w:val="00763D16"/>
    <w:rsid w:val="007649BF"/>
    <w:rsid w:val="007649D7"/>
    <w:rsid w:val="00767162"/>
    <w:rsid w:val="00767A9C"/>
    <w:rsid w:val="00767DCE"/>
    <w:rsid w:val="00770617"/>
    <w:rsid w:val="00770C8C"/>
    <w:rsid w:val="00771875"/>
    <w:rsid w:val="0077268E"/>
    <w:rsid w:val="00772717"/>
    <w:rsid w:val="00772D53"/>
    <w:rsid w:val="00773441"/>
    <w:rsid w:val="00773AF4"/>
    <w:rsid w:val="007746FF"/>
    <w:rsid w:val="00774760"/>
    <w:rsid w:val="007748A6"/>
    <w:rsid w:val="0077502A"/>
    <w:rsid w:val="007756C0"/>
    <w:rsid w:val="00776427"/>
    <w:rsid w:val="00777CD5"/>
    <w:rsid w:val="00777D56"/>
    <w:rsid w:val="00781716"/>
    <w:rsid w:val="0078180F"/>
    <w:rsid w:val="00781BE0"/>
    <w:rsid w:val="007822BA"/>
    <w:rsid w:val="00782EC7"/>
    <w:rsid w:val="0078311C"/>
    <w:rsid w:val="007834D7"/>
    <w:rsid w:val="00783F9D"/>
    <w:rsid w:val="00784384"/>
    <w:rsid w:val="00785ACA"/>
    <w:rsid w:val="00785EB6"/>
    <w:rsid w:val="00786A20"/>
    <w:rsid w:val="0078729B"/>
    <w:rsid w:val="00787A0E"/>
    <w:rsid w:val="00787FC9"/>
    <w:rsid w:val="00790B06"/>
    <w:rsid w:val="007911A7"/>
    <w:rsid w:val="007916CC"/>
    <w:rsid w:val="00794966"/>
    <w:rsid w:val="00794BFC"/>
    <w:rsid w:val="007958CE"/>
    <w:rsid w:val="00795B10"/>
    <w:rsid w:val="00795BE9"/>
    <w:rsid w:val="0079605C"/>
    <w:rsid w:val="00796613"/>
    <w:rsid w:val="0079758E"/>
    <w:rsid w:val="007A0123"/>
    <w:rsid w:val="007A133F"/>
    <w:rsid w:val="007A2766"/>
    <w:rsid w:val="007A2D1A"/>
    <w:rsid w:val="007A3367"/>
    <w:rsid w:val="007A4518"/>
    <w:rsid w:val="007A6973"/>
    <w:rsid w:val="007A6FF4"/>
    <w:rsid w:val="007A73C7"/>
    <w:rsid w:val="007A7685"/>
    <w:rsid w:val="007A7A70"/>
    <w:rsid w:val="007B0152"/>
    <w:rsid w:val="007B0C26"/>
    <w:rsid w:val="007B16E4"/>
    <w:rsid w:val="007B24E7"/>
    <w:rsid w:val="007B2CCE"/>
    <w:rsid w:val="007B379D"/>
    <w:rsid w:val="007B37B8"/>
    <w:rsid w:val="007B3C63"/>
    <w:rsid w:val="007B4DE6"/>
    <w:rsid w:val="007B5BDB"/>
    <w:rsid w:val="007B6482"/>
    <w:rsid w:val="007B7154"/>
    <w:rsid w:val="007C1107"/>
    <w:rsid w:val="007C25F5"/>
    <w:rsid w:val="007C3118"/>
    <w:rsid w:val="007C3B51"/>
    <w:rsid w:val="007C3CBC"/>
    <w:rsid w:val="007C468F"/>
    <w:rsid w:val="007C4D0C"/>
    <w:rsid w:val="007C6CD2"/>
    <w:rsid w:val="007D0636"/>
    <w:rsid w:val="007D0D13"/>
    <w:rsid w:val="007D15AB"/>
    <w:rsid w:val="007D27C7"/>
    <w:rsid w:val="007D3DBE"/>
    <w:rsid w:val="007D3ED6"/>
    <w:rsid w:val="007D465D"/>
    <w:rsid w:val="007D4D5A"/>
    <w:rsid w:val="007D5810"/>
    <w:rsid w:val="007D5D9A"/>
    <w:rsid w:val="007D64EB"/>
    <w:rsid w:val="007D6A44"/>
    <w:rsid w:val="007D6E88"/>
    <w:rsid w:val="007D7660"/>
    <w:rsid w:val="007D7F5B"/>
    <w:rsid w:val="007E0185"/>
    <w:rsid w:val="007E18E4"/>
    <w:rsid w:val="007E2969"/>
    <w:rsid w:val="007E417E"/>
    <w:rsid w:val="007E55BF"/>
    <w:rsid w:val="007E622A"/>
    <w:rsid w:val="007E738E"/>
    <w:rsid w:val="007E7F12"/>
    <w:rsid w:val="007F0283"/>
    <w:rsid w:val="007F043F"/>
    <w:rsid w:val="007F1DE4"/>
    <w:rsid w:val="007F215A"/>
    <w:rsid w:val="007F3EEC"/>
    <w:rsid w:val="007F5EAB"/>
    <w:rsid w:val="007F62D5"/>
    <w:rsid w:val="007F681B"/>
    <w:rsid w:val="00800592"/>
    <w:rsid w:val="00800F46"/>
    <w:rsid w:val="00802C04"/>
    <w:rsid w:val="008032F0"/>
    <w:rsid w:val="0080330F"/>
    <w:rsid w:val="00803F70"/>
    <w:rsid w:val="008048F5"/>
    <w:rsid w:val="00806A07"/>
    <w:rsid w:val="00810B1B"/>
    <w:rsid w:val="00810FB3"/>
    <w:rsid w:val="00812F1F"/>
    <w:rsid w:val="0081319E"/>
    <w:rsid w:val="008135B6"/>
    <w:rsid w:val="00813D43"/>
    <w:rsid w:val="0081569A"/>
    <w:rsid w:val="00816620"/>
    <w:rsid w:val="00816D02"/>
    <w:rsid w:val="008171A0"/>
    <w:rsid w:val="00820E72"/>
    <w:rsid w:val="008221B9"/>
    <w:rsid w:val="00823374"/>
    <w:rsid w:val="00824017"/>
    <w:rsid w:val="0082418B"/>
    <w:rsid w:val="008252F1"/>
    <w:rsid w:val="0082597B"/>
    <w:rsid w:val="00826B7D"/>
    <w:rsid w:val="00826D03"/>
    <w:rsid w:val="00827603"/>
    <w:rsid w:val="0082792C"/>
    <w:rsid w:val="00830673"/>
    <w:rsid w:val="00831356"/>
    <w:rsid w:val="0083179E"/>
    <w:rsid w:val="008332C5"/>
    <w:rsid w:val="008337B1"/>
    <w:rsid w:val="0083548B"/>
    <w:rsid w:val="00835586"/>
    <w:rsid w:val="00835A39"/>
    <w:rsid w:val="00835C77"/>
    <w:rsid w:val="00836D24"/>
    <w:rsid w:val="0084083C"/>
    <w:rsid w:val="008408B9"/>
    <w:rsid w:val="00841056"/>
    <w:rsid w:val="00841DDF"/>
    <w:rsid w:val="00841F6A"/>
    <w:rsid w:val="00843791"/>
    <w:rsid w:val="008438B6"/>
    <w:rsid w:val="00844827"/>
    <w:rsid w:val="00847608"/>
    <w:rsid w:val="008477CF"/>
    <w:rsid w:val="00850270"/>
    <w:rsid w:val="00851415"/>
    <w:rsid w:val="00852988"/>
    <w:rsid w:val="008531E2"/>
    <w:rsid w:val="008534EA"/>
    <w:rsid w:val="0085427A"/>
    <w:rsid w:val="0085531C"/>
    <w:rsid w:val="00855D71"/>
    <w:rsid w:val="00856149"/>
    <w:rsid w:val="00856A2D"/>
    <w:rsid w:val="0085764B"/>
    <w:rsid w:val="00857942"/>
    <w:rsid w:val="00857C10"/>
    <w:rsid w:val="00857D05"/>
    <w:rsid w:val="0086209B"/>
    <w:rsid w:val="008621DF"/>
    <w:rsid w:val="00862527"/>
    <w:rsid w:val="00862681"/>
    <w:rsid w:val="008629A4"/>
    <w:rsid w:val="00863AF7"/>
    <w:rsid w:val="0086420C"/>
    <w:rsid w:val="0086489A"/>
    <w:rsid w:val="008656B7"/>
    <w:rsid w:val="0086627F"/>
    <w:rsid w:val="00866D36"/>
    <w:rsid w:val="00866F03"/>
    <w:rsid w:val="00866F07"/>
    <w:rsid w:val="00867C37"/>
    <w:rsid w:val="0087049F"/>
    <w:rsid w:val="0087120D"/>
    <w:rsid w:val="008713F7"/>
    <w:rsid w:val="00871796"/>
    <w:rsid w:val="00873D5F"/>
    <w:rsid w:val="0087439D"/>
    <w:rsid w:val="008748EA"/>
    <w:rsid w:val="0087527D"/>
    <w:rsid w:val="00876455"/>
    <w:rsid w:val="00877525"/>
    <w:rsid w:val="00877B11"/>
    <w:rsid w:val="00877B41"/>
    <w:rsid w:val="00881E82"/>
    <w:rsid w:val="00882D5A"/>
    <w:rsid w:val="00884E36"/>
    <w:rsid w:val="00885FAC"/>
    <w:rsid w:val="0088685A"/>
    <w:rsid w:val="008906C1"/>
    <w:rsid w:val="008923B1"/>
    <w:rsid w:val="00892B2D"/>
    <w:rsid w:val="00894A1B"/>
    <w:rsid w:val="0089597F"/>
    <w:rsid w:val="00895EEE"/>
    <w:rsid w:val="00896467"/>
    <w:rsid w:val="00896882"/>
    <w:rsid w:val="008970E1"/>
    <w:rsid w:val="008A0DE6"/>
    <w:rsid w:val="008A168A"/>
    <w:rsid w:val="008A2F8F"/>
    <w:rsid w:val="008A5398"/>
    <w:rsid w:val="008A5A8A"/>
    <w:rsid w:val="008A6103"/>
    <w:rsid w:val="008A64BB"/>
    <w:rsid w:val="008A66AE"/>
    <w:rsid w:val="008A73D3"/>
    <w:rsid w:val="008A7A72"/>
    <w:rsid w:val="008A7E44"/>
    <w:rsid w:val="008B1371"/>
    <w:rsid w:val="008B1D3B"/>
    <w:rsid w:val="008B3AC7"/>
    <w:rsid w:val="008B40EF"/>
    <w:rsid w:val="008B4A46"/>
    <w:rsid w:val="008B5289"/>
    <w:rsid w:val="008B56F0"/>
    <w:rsid w:val="008B5BAF"/>
    <w:rsid w:val="008B6430"/>
    <w:rsid w:val="008B76FC"/>
    <w:rsid w:val="008B771C"/>
    <w:rsid w:val="008B7A54"/>
    <w:rsid w:val="008C1122"/>
    <w:rsid w:val="008C268B"/>
    <w:rsid w:val="008C38F9"/>
    <w:rsid w:val="008C39D2"/>
    <w:rsid w:val="008C3C6F"/>
    <w:rsid w:val="008C3CAF"/>
    <w:rsid w:val="008C4E2F"/>
    <w:rsid w:val="008C5F9B"/>
    <w:rsid w:val="008C6CFC"/>
    <w:rsid w:val="008C6F94"/>
    <w:rsid w:val="008D0757"/>
    <w:rsid w:val="008D15E5"/>
    <w:rsid w:val="008D1F1B"/>
    <w:rsid w:val="008D244F"/>
    <w:rsid w:val="008D3439"/>
    <w:rsid w:val="008D413B"/>
    <w:rsid w:val="008D418A"/>
    <w:rsid w:val="008D4252"/>
    <w:rsid w:val="008D4331"/>
    <w:rsid w:val="008D516D"/>
    <w:rsid w:val="008D54CD"/>
    <w:rsid w:val="008D5501"/>
    <w:rsid w:val="008D628D"/>
    <w:rsid w:val="008D637A"/>
    <w:rsid w:val="008D672D"/>
    <w:rsid w:val="008E01AD"/>
    <w:rsid w:val="008E10D3"/>
    <w:rsid w:val="008E13EA"/>
    <w:rsid w:val="008E1599"/>
    <w:rsid w:val="008E33D8"/>
    <w:rsid w:val="008E394D"/>
    <w:rsid w:val="008E50C5"/>
    <w:rsid w:val="008E736B"/>
    <w:rsid w:val="008E7D10"/>
    <w:rsid w:val="008F047B"/>
    <w:rsid w:val="008F0566"/>
    <w:rsid w:val="008F18F8"/>
    <w:rsid w:val="008F1B21"/>
    <w:rsid w:val="008F1C1E"/>
    <w:rsid w:val="008F298E"/>
    <w:rsid w:val="008F2DF3"/>
    <w:rsid w:val="008F3D74"/>
    <w:rsid w:val="008F3DFD"/>
    <w:rsid w:val="008F44EF"/>
    <w:rsid w:val="008F4744"/>
    <w:rsid w:val="008F554A"/>
    <w:rsid w:val="008F5651"/>
    <w:rsid w:val="008F6C3C"/>
    <w:rsid w:val="008F70E4"/>
    <w:rsid w:val="008F7F10"/>
    <w:rsid w:val="0090007B"/>
    <w:rsid w:val="009010C0"/>
    <w:rsid w:val="009015A1"/>
    <w:rsid w:val="0090331B"/>
    <w:rsid w:val="00903EEF"/>
    <w:rsid w:val="009047EA"/>
    <w:rsid w:val="00904824"/>
    <w:rsid w:val="00905477"/>
    <w:rsid w:val="0090587A"/>
    <w:rsid w:val="00905918"/>
    <w:rsid w:val="00905B4B"/>
    <w:rsid w:val="00906409"/>
    <w:rsid w:val="00906753"/>
    <w:rsid w:val="0090685B"/>
    <w:rsid w:val="0090786A"/>
    <w:rsid w:val="00907BE7"/>
    <w:rsid w:val="00907DDA"/>
    <w:rsid w:val="009101F1"/>
    <w:rsid w:val="009109DB"/>
    <w:rsid w:val="00911DE3"/>
    <w:rsid w:val="0091339E"/>
    <w:rsid w:val="00914BDF"/>
    <w:rsid w:val="00915184"/>
    <w:rsid w:val="00915A6C"/>
    <w:rsid w:val="00916227"/>
    <w:rsid w:val="00916418"/>
    <w:rsid w:val="00916DF7"/>
    <w:rsid w:val="0091716A"/>
    <w:rsid w:val="00917BB7"/>
    <w:rsid w:val="00920671"/>
    <w:rsid w:val="0092215C"/>
    <w:rsid w:val="0092235F"/>
    <w:rsid w:val="00922698"/>
    <w:rsid w:val="00922AD3"/>
    <w:rsid w:val="009236E9"/>
    <w:rsid w:val="009236FA"/>
    <w:rsid w:val="00923F61"/>
    <w:rsid w:val="009249FB"/>
    <w:rsid w:val="00924B90"/>
    <w:rsid w:val="00924C89"/>
    <w:rsid w:val="009259F2"/>
    <w:rsid w:val="00925BA0"/>
    <w:rsid w:val="00925C10"/>
    <w:rsid w:val="00926134"/>
    <w:rsid w:val="00926228"/>
    <w:rsid w:val="00926671"/>
    <w:rsid w:val="00927CE8"/>
    <w:rsid w:val="009307C8"/>
    <w:rsid w:val="00931DE2"/>
    <w:rsid w:val="009333E7"/>
    <w:rsid w:val="00933AFD"/>
    <w:rsid w:val="009341DF"/>
    <w:rsid w:val="0093438B"/>
    <w:rsid w:val="00935AD0"/>
    <w:rsid w:val="00936294"/>
    <w:rsid w:val="009368FE"/>
    <w:rsid w:val="00936E18"/>
    <w:rsid w:val="00937843"/>
    <w:rsid w:val="009379A9"/>
    <w:rsid w:val="00940CE1"/>
    <w:rsid w:val="00941965"/>
    <w:rsid w:val="00941A29"/>
    <w:rsid w:val="00942A97"/>
    <w:rsid w:val="00943091"/>
    <w:rsid w:val="00943E84"/>
    <w:rsid w:val="00943F77"/>
    <w:rsid w:val="00944AF2"/>
    <w:rsid w:val="00945258"/>
    <w:rsid w:val="00945AFF"/>
    <w:rsid w:val="00946304"/>
    <w:rsid w:val="009464C3"/>
    <w:rsid w:val="00946B3B"/>
    <w:rsid w:val="00947662"/>
    <w:rsid w:val="00950713"/>
    <w:rsid w:val="0095122C"/>
    <w:rsid w:val="00951D4F"/>
    <w:rsid w:val="0095235B"/>
    <w:rsid w:val="009545AE"/>
    <w:rsid w:val="00954A5D"/>
    <w:rsid w:val="0095577E"/>
    <w:rsid w:val="0095590D"/>
    <w:rsid w:val="009565CF"/>
    <w:rsid w:val="00956A0E"/>
    <w:rsid w:val="0095730B"/>
    <w:rsid w:val="00957A85"/>
    <w:rsid w:val="00960120"/>
    <w:rsid w:val="00960F0B"/>
    <w:rsid w:val="00962A88"/>
    <w:rsid w:val="00962BEC"/>
    <w:rsid w:val="00963B56"/>
    <w:rsid w:val="00964B03"/>
    <w:rsid w:val="009664F0"/>
    <w:rsid w:val="00967F5B"/>
    <w:rsid w:val="0097025B"/>
    <w:rsid w:val="00970495"/>
    <w:rsid w:val="009706AE"/>
    <w:rsid w:val="009713BF"/>
    <w:rsid w:val="00971DAA"/>
    <w:rsid w:val="00971E58"/>
    <w:rsid w:val="00971FF6"/>
    <w:rsid w:val="009721CC"/>
    <w:rsid w:val="00972386"/>
    <w:rsid w:val="00972EEC"/>
    <w:rsid w:val="0097304F"/>
    <w:rsid w:val="00974CFE"/>
    <w:rsid w:val="00977C5D"/>
    <w:rsid w:val="0098021F"/>
    <w:rsid w:val="009812F1"/>
    <w:rsid w:val="00981D3C"/>
    <w:rsid w:val="0098248D"/>
    <w:rsid w:val="00983E52"/>
    <w:rsid w:val="00984201"/>
    <w:rsid w:val="00984A2A"/>
    <w:rsid w:val="009852B7"/>
    <w:rsid w:val="009852FF"/>
    <w:rsid w:val="009861A3"/>
    <w:rsid w:val="00986861"/>
    <w:rsid w:val="00986F7E"/>
    <w:rsid w:val="00987231"/>
    <w:rsid w:val="009907EA"/>
    <w:rsid w:val="00991103"/>
    <w:rsid w:val="00991428"/>
    <w:rsid w:val="00991714"/>
    <w:rsid w:val="009928F7"/>
    <w:rsid w:val="00992E5C"/>
    <w:rsid w:val="00993712"/>
    <w:rsid w:val="00994A2F"/>
    <w:rsid w:val="00994ABB"/>
    <w:rsid w:val="0099666D"/>
    <w:rsid w:val="00996DDC"/>
    <w:rsid w:val="00996F04"/>
    <w:rsid w:val="00997924"/>
    <w:rsid w:val="009A00ED"/>
    <w:rsid w:val="009A0DFA"/>
    <w:rsid w:val="009A19A4"/>
    <w:rsid w:val="009A1A26"/>
    <w:rsid w:val="009A1F9B"/>
    <w:rsid w:val="009A2590"/>
    <w:rsid w:val="009A2B23"/>
    <w:rsid w:val="009A4303"/>
    <w:rsid w:val="009A475E"/>
    <w:rsid w:val="009A4BE0"/>
    <w:rsid w:val="009A60C8"/>
    <w:rsid w:val="009A6C9D"/>
    <w:rsid w:val="009B0A3C"/>
    <w:rsid w:val="009B0B79"/>
    <w:rsid w:val="009B1092"/>
    <w:rsid w:val="009B30D9"/>
    <w:rsid w:val="009B428A"/>
    <w:rsid w:val="009B5120"/>
    <w:rsid w:val="009B5445"/>
    <w:rsid w:val="009B62B0"/>
    <w:rsid w:val="009B660D"/>
    <w:rsid w:val="009B684A"/>
    <w:rsid w:val="009B6A13"/>
    <w:rsid w:val="009B6B86"/>
    <w:rsid w:val="009B7033"/>
    <w:rsid w:val="009B7AB5"/>
    <w:rsid w:val="009C041D"/>
    <w:rsid w:val="009C0BBE"/>
    <w:rsid w:val="009C227E"/>
    <w:rsid w:val="009C2C39"/>
    <w:rsid w:val="009C43E6"/>
    <w:rsid w:val="009C44E2"/>
    <w:rsid w:val="009C523D"/>
    <w:rsid w:val="009C63AD"/>
    <w:rsid w:val="009C6C0F"/>
    <w:rsid w:val="009C7526"/>
    <w:rsid w:val="009D05C5"/>
    <w:rsid w:val="009D0871"/>
    <w:rsid w:val="009D1286"/>
    <w:rsid w:val="009D211F"/>
    <w:rsid w:val="009D21FE"/>
    <w:rsid w:val="009D2C11"/>
    <w:rsid w:val="009D2F5B"/>
    <w:rsid w:val="009D4EA9"/>
    <w:rsid w:val="009D6421"/>
    <w:rsid w:val="009D70E9"/>
    <w:rsid w:val="009E02FF"/>
    <w:rsid w:val="009E0B4F"/>
    <w:rsid w:val="009E227A"/>
    <w:rsid w:val="009E2327"/>
    <w:rsid w:val="009E2914"/>
    <w:rsid w:val="009E2A01"/>
    <w:rsid w:val="009E2C8B"/>
    <w:rsid w:val="009E303E"/>
    <w:rsid w:val="009E3DA3"/>
    <w:rsid w:val="009E4380"/>
    <w:rsid w:val="009E5644"/>
    <w:rsid w:val="009E5699"/>
    <w:rsid w:val="009E6FC8"/>
    <w:rsid w:val="009E7D2A"/>
    <w:rsid w:val="009F1C35"/>
    <w:rsid w:val="009F251E"/>
    <w:rsid w:val="009F2CE7"/>
    <w:rsid w:val="009F35BD"/>
    <w:rsid w:val="009F4181"/>
    <w:rsid w:val="009F5BC4"/>
    <w:rsid w:val="009F5CE6"/>
    <w:rsid w:val="009F5FCC"/>
    <w:rsid w:val="009F5FDB"/>
    <w:rsid w:val="009F6329"/>
    <w:rsid w:val="009F7DD1"/>
    <w:rsid w:val="009F7F87"/>
    <w:rsid w:val="00A00B1B"/>
    <w:rsid w:val="00A021D6"/>
    <w:rsid w:val="00A02316"/>
    <w:rsid w:val="00A02FB9"/>
    <w:rsid w:val="00A034A8"/>
    <w:rsid w:val="00A0376F"/>
    <w:rsid w:val="00A04ACB"/>
    <w:rsid w:val="00A05569"/>
    <w:rsid w:val="00A057B8"/>
    <w:rsid w:val="00A05F06"/>
    <w:rsid w:val="00A061F1"/>
    <w:rsid w:val="00A0638C"/>
    <w:rsid w:val="00A06C80"/>
    <w:rsid w:val="00A0768C"/>
    <w:rsid w:val="00A10FB3"/>
    <w:rsid w:val="00A11102"/>
    <w:rsid w:val="00A11CEF"/>
    <w:rsid w:val="00A11F91"/>
    <w:rsid w:val="00A1205C"/>
    <w:rsid w:val="00A120A4"/>
    <w:rsid w:val="00A12892"/>
    <w:rsid w:val="00A14224"/>
    <w:rsid w:val="00A145E6"/>
    <w:rsid w:val="00A15E0E"/>
    <w:rsid w:val="00A16E56"/>
    <w:rsid w:val="00A17E97"/>
    <w:rsid w:val="00A17FD5"/>
    <w:rsid w:val="00A20C39"/>
    <w:rsid w:val="00A2270B"/>
    <w:rsid w:val="00A22826"/>
    <w:rsid w:val="00A2391E"/>
    <w:rsid w:val="00A23EAC"/>
    <w:rsid w:val="00A25512"/>
    <w:rsid w:val="00A25FEA"/>
    <w:rsid w:val="00A26731"/>
    <w:rsid w:val="00A27582"/>
    <w:rsid w:val="00A27EA2"/>
    <w:rsid w:val="00A30B42"/>
    <w:rsid w:val="00A30E67"/>
    <w:rsid w:val="00A31D7D"/>
    <w:rsid w:val="00A323AF"/>
    <w:rsid w:val="00A32BEB"/>
    <w:rsid w:val="00A330C5"/>
    <w:rsid w:val="00A338B9"/>
    <w:rsid w:val="00A34172"/>
    <w:rsid w:val="00A348FA"/>
    <w:rsid w:val="00A34A14"/>
    <w:rsid w:val="00A34D99"/>
    <w:rsid w:val="00A363E1"/>
    <w:rsid w:val="00A36B3D"/>
    <w:rsid w:val="00A37883"/>
    <w:rsid w:val="00A37A00"/>
    <w:rsid w:val="00A37F39"/>
    <w:rsid w:val="00A40824"/>
    <w:rsid w:val="00A40F23"/>
    <w:rsid w:val="00A42905"/>
    <w:rsid w:val="00A429F3"/>
    <w:rsid w:val="00A42D78"/>
    <w:rsid w:val="00A43A11"/>
    <w:rsid w:val="00A43F92"/>
    <w:rsid w:val="00A44882"/>
    <w:rsid w:val="00A45339"/>
    <w:rsid w:val="00A454C5"/>
    <w:rsid w:val="00A454F7"/>
    <w:rsid w:val="00A4573F"/>
    <w:rsid w:val="00A45961"/>
    <w:rsid w:val="00A4626C"/>
    <w:rsid w:val="00A46BD6"/>
    <w:rsid w:val="00A50CE0"/>
    <w:rsid w:val="00A5154C"/>
    <w:rsid w:val="00A51989"/>
    <w:rsid w:val="00A521D6"/>
    <w:rsid w:val="00A52230"/>
    <w:rsid w:val="00A52FA5"/>
    <w:rsid w:val="00A547FA"/>
    <w:rsid w:val="00A548FA"/>
    <w:rsid w:val="00A56FD8"/>
    <w:rsid w:val="00A57489"/>
    <w:rsid w:val="00A60098"/>
    <w:rsid w:val="00A6089E"/>
    <w:rsid w:val="00A6113B"/>
    <w:rsid w:val="00A61BFB"/>
    <w:rsid w:val="00A62A12"/>
    <w:rsid w:val="00A62CD9"/>
    <w:rsid w:val="00A63966"/>
    <w:rsid w:val="00A63DF8"/>
    <w:rsid w:val="00A65681"/>
    <w:rsid w:val="00A656FB"/>
    <w:rsid w:val="00A664BB"/>
    <w:rsid w:val="00A7055D"/>
    <w:rsid w:val="00A71D01"/>
    <w:rsid w:val="00A72190"/>
    <w:rsid w:val="00A72535"/>
    <w:rsid w:val="00A727F5"/>
    <w:rsid w:val="00A72A6D"/>
    <w:rsid w:val="00A73C2C"/>
    <w:rsid w:val="00A7493E"/>
    <w:rsid w:val="00A74D70"/>
    <w:rsid w:val="00A763CE"/>
    <w:rsid w:val="00A76D1F"/>
    <w:rsid w:val="00A8141D"/>
    <w:rsid w:val="00A8183C"/>
    <w:rsid w:val="00A818E1"/>
    <w:rsid w:val="00A81F2E"/>
    <w:rsid w:val="00A82196"/>
    <w:rsid w:val="00A83373"/>
    <w:rsid w:val="00A835A2"/>
    <w:rsid w:val="00A83F21"/>
    <w:rsid w:val="00A85600"/>
    <w:rsid w:val="00A857EA"/>
    <w:rsid w:val="00A8586A"/>
    <w:rsid w:val="00A861D9"/>
    <w:rsid w:val="00A862B9"/>
    <w:rsid w:val="00A86920"/>
    <w:rsid w:val="00A877EC"/>
    <w:rsid w:val="00A87C05"/>
    <w:rsid w:val="00A9020B"/>
    <w:rsid w:val="00A90484"/>
    <w:rsid w:val="00A90CAA"/>
    <w:rsid w:val="00A912BF"/>
    <w:rsid w:val="00A91DFC"/>
    <w:rsid w:val="00A93D8E"/>
    <w:rsid w:val="00A94B26"/>
    <w:rsid w:val="00A97946"/>
    <w:rsid w:val="00AA0DFF"/>
    <w:rsid w:val="00AA4801"/>
    <w:rsid w:val="00AA49C9"/>
    <w:rsid w:val="00AA5191"/>
    <w:rsid w:val="00AA7935"/>
    <w:rsid w:val="00AB0567"/>
    <w:rsid w:val="00AB068B"/>
    <w:rsid w:val="00AB0860"/>
    <w:rsid w:val="00AB133E"/>
    <w:rsid w:val="00AB2192"/>
    <w:rsid w:val="00AB3E05"/>
    <w:rsid w:val="00AB4B87"/>
    <w:rsid w:val="00AB506C"/>
    <w:rsid w:val="00AB5906"/>
    <w:rsid w:val="00AB62C7"/>
    <w:rsid w:val="00AB6E0E"/>
    <w:rsid w:val="00AB775B"/>
    <w:rsid w:val="00AC0EE0"/>
    <w:rsid w:val="00AC2AA0"/>
    <w:rsid w:val="00AC2FA4"/>
    <w:rsid w:val="00AC3317"/>
    <w:rsid w:val="00AC34E0"/>
    <w:rsid w:val="00AC4267"/>
    <w:rsid w:val="00AC43E3"/>
    <w:rsid w:val="00AC49AA"/>
    <w:rsid w:val="00AC54CF"/>
    <w:rsid w:val="00AC5659"/>
    <w:rsid w:val="00AC63B2"/>
    <w:rsid w:val="00AC6574"/>
    <w:rsid w:val="00AC6DF7"/>
    <w:rsid w:val="00AC704C"/>
    <w:rsid w:val="00AD0345"/>
    <w:rsid w:val="00AD0DF0"/>
    <w:rsid w:val="00AD3362"/>
    <w:rsid w:val="00AD42F2"/>
    <w:rsid w:val="00AD4447"/>
    <w:rsid w:val="00AD5DB9"/>
    <w:rsid w:val="00AD60F4"/>
    <w:rsid w:val="00AD7FB9"/>
    <w:rsid w:val="00AE1144"/>
    <w:rsid w:val="00AE16E0"/>
    <w:rsid w:val="00AE1E97"/>
    <w:rsid w:val="00AE27E7"/>
    <w:rsid w:val="00AE38A7"/>
    <w:rsid w:val="00AE46C2"/>
    <w:rsid w:val="00AE488E"/>
    <w:rsid w:val="00AE622F"/>
    <w:rsid w:val="00AE6897"/>
    <w:rsid w:val="00AE69D0"/>
    <w:rsid w:val="00AF010A"/>
    <w:rsid w:val="00AF0EB2"/>
    <w:rsid w:val="00AF1BAB"/>
    <w:rsid w:val="00AF21CF"/>
    <w:rsid w:val="00AF33CF"/>
    <w:rsid w:val="00AF49F6"/>
    <w:rsid w:val="00AF67B8"/>
    <w:rsid w:val="00AF745D"/>
    <w:rsid w:val="00B00868"/>
    <w:rsid w:val="00B024EA"/>
    <w:rsid w:val="00B032C8"/>
    <w:rsid w:val="00B03D0A"/>
    <w:rsid w:val="00B03F8E"/>
    <w:rsid w:val="00B046C0"/>
    <w:rsid w:val="00B04DA1"/>
    <w:rsid w:val="00B060E4"/>
    <w:rsid w:val="00B06459"/>
    <w:rsid w:val="00B06A1C"/>
    <w:rsid w:val="00B1004D"/>
    <w:rsid w:val="00B10220"/>
    <w:rsid w:val="00B106CD"/>
    <w:rsid w:val="00B11276"/>
    <w:rsid w:val="00B118F0"/>
    <w:rsid w:val="00B11F27"/>
    <w:rsid w:val="00B12842"/>
    <w:rsid w:val="00B1338B"/>
    <w:rsid w:val="00B14762"/>
    <w:rsid w:val="00B14916"/>
    <w:rsid w:val="00B1492D"/>
    <w:rsid w:val="00B1597A"/>
    <w:rsid w:val="00B15BBC"/>
    <w:rsid w:val="00B160E0"/>
    <w:rsid w:val="00B163B8"/>
    <w:rsid w:val="00B1678E"/>
    <w:rsid w:val="00B17580"/>
    <w:rsid w:val="00B17CCB"/>
    <w:rsid w:val="00B210D4"/>
    <w:rsid w:val="00B227E6"/>
    <w:rsid w:val="00B23D30"/>
    <w:rsid w:val="00B245F8"/>
    <w:rsid w:val="00B252EE"/>
    <w:rsid w:val="00B25911"/>
    <w:rsid w:val="00B3163F"/>
    <w:rsid w:val="00B32D96"/>
    <w:rsid w:val="00B32EB4"/>
    <w:rsid w:val="00B33C06"/>
    <w:rsid w:val="00B34134"/>
    <w:rsid w:val="00B3569F"/>
    <w:rsid w:val="00B367BE"/>
    <w:rsid w:val="00B36C60"/>
    <w:rsid w:val="00B41182"/>
    <w:rsid w:val="00B41FF5"/>
    <w:rsid w:val="00B427A4"/>
    <w:rsid w:val="00B447EE"/>
    <w:rsid w:val="00B456F6"/>
    <w:rsid w:val="00B4579D"/>
    <w:rsid w:val="00B45ABE"/>
    <w:rsid w:val="00B46227"/>
    <w:rsid w:val="00B46658"/>
    <w:rsid w:val="00B50260"/>
    <w:rsid w:val="00B50296"/>
    <w:rsid w:val="00B509FC"/>
    <w:rsid w:val="00B52B5F"/>
    <w:rsid w:val="00B52DC8"/>
    <w:rsid w:val="00B5474A"/>
    <w:rsid w:val="00B54781"/>
    <w:rsid w:val="00B5484D"/>
    <w:rsid w:val="00B549AC"/>
    <w:rsid w:val="00B558C1"/>
    <w:rsid w:val="00B56117"/>
    <w:rsid w:val="00B5645A"/>
    <w:rsid w:val="00B56ADD"/>
    <w:rsid w:val="00B602C5"/>
    <w:rsid w:val="00B609E6"/>
    <w:rsid w:val="00B60E67"/>
    <w:rsid w:val="00B61594"/>
    <w:rsid w:val="00B615DD"/>
    <w:rsid w:val="00B620DE"/>
    <w:rsid w:val="00B63BFD"/>
    <w:rsid w:val="00B644EE"/>
    <w:rsid w:val="00B65DB3"/>
    <w:rsid w:val="00B667FC"/>
    <w:rsid w:val="00B67382"/>
    <w:rsid w:val="00B70514"/>
    <w:rsid w:val="00B71EBA"/>
    <w:rsid w:val="00B7222C"/>
    <w:rsid w:val="00B726BC"/>
    <w:rsid w:val="00B737C4"/>
    <w:rsid w:val="00B74A72"/>
    <w:rsid w:val="00B75731"/>
    <w:rsid w:val="00B76AB1"/>
    <w:rsid w:val="00B77983"/>
    <w:rsid w:val="00B8089B"/>
    <w:rsid w:val="00B80C9E"/>
    <w:rsid w:val="00B8124D"/>
    <w:rsid w:val="00B819E1"/>
    <w:rsid w:val="00B81BF4"/>
    <w:rsid w:val="00B8225B"/>
    <w:rsid w:val="00B82F25"/>
    <w:rsid w:val="00B835BF"/>
    <w:rsid w:val="00B83826"/>
    <w:rsid w:val="00B844AC"/>
    <w:rsid w:val="00B848C8"/>
    <w:rsid w:val="00B84913"/>
    <w:rsid w:val="00B84DD4"/>
    <w:rsid w:val="00B84E19"/>
    <w:rsid w:val="00B84F10"/>
    <w:rsid w:val="00B84FD5"/>
    <w:rsid w:val="00B871E3"/>
    <w:rsid w:val="00B87F3B"/>
    <w:rsid w:val="00B910F6"/>
    <w:rsid w:val="00B93418"/>
    <w:rsid w:val="00B9430F"/>
    <w:rsid w:val="00B94F93"/>
    <w:rsid w:val="00B955B3"/>
    <w:rsid w:val="00B9657E"/>
    <w:rsid w:val="00B967A8"/>
    <w:rsid w:val="00B9752B"/>
    <w:rsid w:val="00B975A9"/>
    <w:rsid w:val="00B979D1"/>
    <w:rsid w:val="00BA13EC"/>
    <w:rsid w:val="00BA21D8"/>
    <w:rsid w:val="00BA2377"/>
    <w:rsid w:val="00BA24E0"/>
    <w:rsid w:val="00BA405A"/>
    <w:rsid w:val="00BA4CAC"/>
    <w:rsid w:val="00BA4E65"/>
    <w:rsid w:val="00BA5787"/>
    <w:rsid w:val="00BA62CD"/>
    <w:rsid w:val="00BA70B7"/>
    <w:rsid w:val="00BA7C5C"/>
    <w:rsid w:val="00BB2667"/>
    <w:rsid w:val="00BB29A1"/>
    <w:rsid w:val="00BB493D"/>
    <w:rsid w:val="00BB511B"/>
    <w:rsid w:val="00BB5EE3"/>
    <w:rsid w:val="00BB6640"/>
    <w:rsid w:val="00BB692D"/>
    <w:rsid w:val="00BB6A66"/>
    <w:rsid w:val="00BB73DA"/>
    <w:rsid w:val="00BB7858"/>
    <w:rsid w:val="00BC023A"/>
    <w:rsid w:val="00BC0946"/>
    <w:rsid w:val="00BC0956"/>
    <w:rsid w:val="00BC09D0"/>
    <w:rsid w:val="00BC26B8"/>
    <w:rsid w:val="00BC282A"/>
    <w:rsid w:val="00BC2F2C"/>
    <w:rsid w:val="00BC3444"/>
    <w:rsid w:val="00BC4CAB"/>
    <w:rsid w:val="00BC5BCE"/>
    <w:rsid w:val="00BD0A68"/>
    <w:rsid w:val="00BD1D7F"/>
    <w:rsid w:val="00BD2284"/>
    <w:rsid w:val="00BD2C32"/>
    <w:rsid w:val="00BD2C3B"/>
    <w:rsid w:val="00BD2D0E"/>
    <w:rsid w:val="00BD3413"/>
    <w:rsid w:val="00BD353F"/>
    <w:rsid w:val="00BD39DE"/>
    <w:rsid w:val="00BD42D7"/>
    <w:rsid w:val="00BD4D36"/>
    <w:rsid w:val="00BD6133"/>
    <w:rsid w:val="00BD6255"/>
    <w:rsid w:val="00BD62BF"/>
    <w:rsid w:val="00BD6467"/>
    <w:rsid w:val="00BD67FB"/>
    <w:rsid w:val="00BD7DB4"/>
    <w:rsid w:val="00BE0154"/>
    <w:rsid w:val="00BE0658"/>
    <w:rsid w:val="00BE08D8"/>
    <w:rsid w:val="00BE115E"/>
    <w:rsid w:val="00BE193B"/>
    <w:rsid w:val="00BE2167"/>
    <w:rsid w:val="00BE245D"/>
    <w:rsid w:val="00BE2E24"/>
    <w:rsid w:val="00BE4476"/>
    <w:rsid w:val="00BE45E2"/>
    <w:rsid w:val="00BE5664"/>
    <w:rsid w:val="00BE620D"/>
    <w:rsid w:val="00BE631D"/>
    <w:rsid w:val="00BE64F2"/>
    <w:rsid w:val="00BE707C"/>
    <w:rsid w:val="00BF1CE6"/>
    <w:rsid w:val="00BF241E"/>
    <w:rsid w:val="00BF2BC1"/>
    <w:rsid w:val="00BF3039"/>
    <w:rsid w:val="00BF31F7"/>
    <w:rsid w:val="00BF326D"/>
    <w:rsid w:val="00BF3BA3"/>
    <w:rsid w:val="00BF3DB8"/>
    <w:rsid w:val="00BF5215"/>
    <w:rsid w:val="00BF7282"/>
    <w:rsid w:val="00BF7312"/>
    <w:rsid w:val="00C00991"/>
    <w:rsid w:val="00C00C62"/>
    <w:rsid w:val="00C02F0D"/>
    <w:rsid w:val="00C0335D"/>
    <w:rsid w:val="00C0436D"/>
    <w:rsid w:val="00C06C2D"/>
    <w:rsid w:val="00C0738B"/>
    <w:rsid w:val="00C07401"/>
    <w:rsid w:val="00C07E85"/>
    <w:rsid w:val="00C07F55"/>
    <w:rsid w:val="00C10FD6"/>
    <w:rsid w:val="00C11402"/>
    <w:rsid w:val="00C11F4E"/>
    <w:rsid w:val="00C12352"/>
    <w:rsid w:val="00C12D8E"/>
    <w:rsid w:val="00C13518"/>
    <w:rsid w:val="00C14194"/>
    <w:rsid w:val="00C15144"/>
    <w:rsid w:val="00C15F61"/>
    <w:rsid w:val="00C17D26"/>
    <w:rsid w:val="00C21A1D"/>
    <w:rsid w:val="00C24030"/>
    <w:rsid w:val="00C2418D"/>
    <w:rsid w:val="00C242B5"/>
    <w:rsid w:val="00C25F3B"/>
    <w:rsid w:val="00C270C1"/>
    <w:rsid w:val="00C30F41"/>
    <w:rsid w:val="00C31AAF"/>
    <w:rsid w:val="00C3231C"/>
    <w:rsid w:val="00C33CD2"/>
    <w:rsid w:val="00C34E67"/>
    <w:rsid w:val="00C351E1"/>
    <w:rsid w:val="00C36448"/>
    <w:rsid w:val="00C42D0C"/>
    <w:rsid w:val="00C4477C"/>
    <w:rsid w:val="00C44B9F"/>
    <w:rsid w:val="00C45901"/>
    <w:rsid w:val="00C45E82"/>
    <w:rsid w:val="00C4706C"/>
    <w:rsid w:val="00C5100C"/>
    <w:rsid w:val="00C53159"/>
    <w:rsid w:val="00C54CB9"/>
    <w:rsid w:val="00C560C4"/>
    <w:rsid w:val="00C5717A"/>
    <w:rsid w:val="00C5735D"/>
    <w:rsid w:val="00C6054B"/>
    <w:rsid w:val="00C60BB8"/>
    <w:rsid w:val="00C6213F"/>
    <w:rsid w:val="00C6218F"/>
    <w:rsid w:val="00C62358"/>
    <w:rsid w:val="00C639F5"/>
    <w:rsid w:val="00C63AF6"/>
    <w:rsid w:val="00C652DB"/>
    <w:rsid w:val="00C65DEB"/>
    <w:rsid w:val="00C66A25"/>
    <w:rsid w:val="00C67179"/>
    <w:rsid w:val="00C67E68"/>
    <w:rsid w:val="00C7037F"/>
    <w:rsid w:val="00C71E0A"/>
    <w:rsid w:val="00C72052"/>
    <w:rsid w:val="00C72254"/>
    <w:rsid w:val="00C732DF"/>
    <w:rsid w:val="00C74DAD"/>
    <w:rsid w:val="00C74ED1"/>
    <w:rsid w:val="00C750FF"/>
    <w:rsid w:val="00C77A4F"/>
    <w:rsid w:val="00C80314"/>
    <w:rsid w:val="00C8281D"/>
    <w:rsid w:val="00C82E9E"/>
    <w:rsid w:val="00C839CF"/>
    <w:rsid w:val="00C8429F"/>
    <w:rsid w:val="00C8452A"/>
    <w:rsid w:val="00C85AF9"/>
    <w:rsid w:val="00C85DD7"/>
    <w:rsid w:val="00C8739D"/>
    <w:rsid w:val="00C87B98"/>
    <w:rsid w:val="00C90326"/>
    <w:rsid w:val="00C90AF0"/>
    <w:rsid w:val="00C90AF7"/>
    <w:rsid w:val="00C91D9D"/>
    <w:rsid w:val="00C91F0F"/>
    <w:rsid w:val="00C924A7"/>
    <w:rsid w:val="00C92E07"/>
    <w:rsid w:val="00C9492A"/>
    <w:rsid w:val="00C952AC"/>
    <w:rsid w:val="00C95B29"/>
    <w:rsid w:val="00C96AE2"/>
    <w:rsid w:val="00C96D62"/>
    <w:rsid w:val="00C96D81"/>
    <w:rsid w:val="00C97187"/>
    <w:rsid w:val="00C973C5"/>
    <w:rsid w:val="00CA0FC1"/>
    <w:rsid w:val="00CA109A"/>
    <w:rsid w:val="00CA3D8A"/>
    <w:rsid w:val="00CA5E04"/>
    <w:rsid w:val="00CB018D"/>
    <w:rsid w:val="00CB0E67"/>
    <w:rsid w:val="00CB113D"/>
    <w:rsid w:val="00CB1697"/>
    <w:rsid w:val="00CB481D"/>
    <w:rsid w:val="00CB5C4B"/>
    <w:rsid w:val="00CB5DCD"/>
    <w:rsid w:val="00CB6656"/>
    <w:rsid w:val="00CB6A06"/>
    <w:rsid w:val="00CB6AF7"/>
    <w:rsid w:val="00CB7630"/>
    <w:rsid w:val="00CC01B2"/>
    <w:rsid w:val="00CC0D0C"/>
    <w:rsid w:val="00CC1044"/>
    <w:rsid w:val="00CC125C"/>
    <w:rsid w:val="00CC12AA"/>
    <w:rsid w:val="00CC1622"/>
    <w:rsid w:val="00CC1A16"/>
    <w:rsid w:val="00CC28FD"/>
    <w:rsid w:val="00CC410B"/>
    <w:rsid w:val="00CC5B6E"/>
    <w:rsid w:val="00CC5E50"/>
    <w:rsid w:val="00CC607C"/>
    <w:rsid w:val="00CC607E"/>
    <w:rsid w:val="00CC60C1"/>
    <w:rsid w:val="00CC6554"/>
    <w:rsid w:val="00CC7360"/>
    <w:rsid w:val="00CD0F29"/>
    <w:rsid w:val="00CD183A"/>
    <w:rsid w:val="00CD1E69"/>
    <w:rsid w:val="00CD26F9"/>
    <w:rsid w:val="00CD30E7"/>
    <w:rsid w:val="00CD31C5"/>
    <w:rsid w:val="00CD3902"/>
    <w:rsid w:val="00CD5C88"/>
    <w:rsid w:val="00CD68A7"/>
    <w:rsid w:val="00CD6986"/>
    <w:rsid w:val="00CD6EDB"/>
    <w:rsid w:val="00CE1164"/>
    <w:rsid w:val="00CE11B9"/>
    <w:rsid w:val="00CE1919"/>
    <w:rsid w:val="00CE1937"/>
    <w:rsid w:val="00CE372B"/>
    <w:rsid w:val="00CE4C11"/>
    <w:rsid w:val="00CE5CFE"/>
    <w:rsid w:val="00CE78EF"/>
    <w:rsid w:val="00CE7F91"/>
    <w:rsid w:val="00CF010B"/>
    <w:rsid w:val="00CF189D"/>
    <w:rsid w:val="00CF2852"/>
    <w:rsid w:val="00CF3426"/>
    <w:rsid w:val="00CF4686"/>
    <w:rsid w:val="00CF49FC"/>
    <w:rsid w:val="00CF5780"/>
    <w:rsid w:val="00CF613E"/>
    <w:rsid w:val="00CF61FC"/>
    <w:rsid w:val="00CF7224"/>
    <w:rsid w:val="00D00C32"/>
    <w:rsid w:val="00D040C5"/>
    <w:rsid w:val="00D048F2"/>
    <w:rsid w:val="00D054C0"/>
    <w:rsid w:val="00D0586A"/>
    <w:rsid w:val="00D07061"/>
    <w:rsid w:val="00D0784C"/>
    <w:rsid w:val="00D109DF"/>
    <w:rsid w:val="00D10F0D"/>
    <w:rsid w:val="00D120BB"/>
    <w:rsid w:val="00D14C21"/>
    <w:rsid w:val="00D14CE0"/>
    <w:rsid w:val="00D15BB2"/>
    <w:rsid w:val="00D1633D"/>
    <w:rsid w:val="00D16CCE"/>
    <w:rsid w:val="00D17073"/>
    <w:rsid w:val="00D2010D"/>
    <w:rsid w:val="00D21CF4"/>
    <w:rsid w:val="00D22583"/>
    <w:rsid w:val="00D22A10"/>
    <w:rsid w:val="00D22C89"/>
    <w:rsid w:val="00D2351F"/>
    <w:rsid w:val="00D24598"/>
    <w:rsid w:val="00D25691"/>
    <w:rsid w:val="00D2604A"/>
    <w:rsid w:val="00D27FB6"/>
    <w:rsid w:val="00D30623"/>
    <w:rsid w:val="00D32184"/>
    <w:rsid w:val="00D32BF6"/>
    <w:rsid w:val="00D32DE2"/>
    <w:rsid w:val="00D33B1C"/>
    <w:rsid w:val="00D357E3"/>
    <w:rsid w:val="00D35CDC"/>
    <w:rsid w:val="00D3662C"/>
    <w:rsid w:val="00D4006B"/>
    <w:rsid w:val="00D40E0E"/>
    <w:rsid w:val="00D41F3B"/>
    <w:rsid w:val="00D42D26"/>
    <w:rsid w:val="00D43498"/>
    <w:rsid w:val="00D43AE9"/>
    <w:rsid w:val="00D44D29"/>
    <w:rsid w:val="00D452D8"/>
    <w:rsid w:val="00D45981"/>
    <w:rsid w:val="00D45DD1"/>
    <w:rsid w:val="00D466A0"/>
    <w:rsid w:val="00D46D91"/>
    <w:rsid w:val="00D47AE5"/>
    <w:rsid w:val="00D50F9A"/>
    <w:rsid w:val="00D521FD"/>
    <w:rsid w:val="00D55D9D"/>
    <w:rsid w:val="00D572A8"/>
    <w:rsid w:val="00D605D6"/>
    <w:rsid w:val="00D60B2D"/>
    <w:rsid w:val="00D60FA4"/>
    <w:rsid w:val="00D6237D"/>
    <w:rsid w:val="00D63DE9"/>
    <w:rsid w:val="00D653B6"/>
    <w:rsid w:val="00D66CEF"/>
    <w:rsid w:val="00D67576"/>
    <w:rsid w:val="00D705AF"/>
    <w:rsid w:val="00D718FE"/>
    <w:rsid w:val="00D71E47"/>
    <w:rsid w:val="00D72085"/>
    <w:rsid w:val="00D72BC7"/>
    <w:rsid w:val="00D73645"/>
    <w:rsid w:val="00D7430C"/>
    <w:rsid w:val="00D75122"/>
    <w:rsid w:val="00D75547"/>
    <w:rsid w:val="00D75679"/>
    <w:rsid w:val="00D758BF"/>
    <w:rsid w:val="00D75DEA"/>
    <w:rsid w:val="00D76E58"/>
    <w:rsid w:val="00D77232"/>
    <w:rsid w:val="00D77320"/>
    <w:rsid w:val="00D81277"/>
    <w:rsid w:val="00D81560"/>
    <w:rsid w:val="00D81795"/>
    <w:rsid w:val="00D81A5E"/>
    <w:rsid w:val="00D8278D"/>
    <w:rsid w:val="00D8310F"/>
    <w:rsid w:val="00D83707"/>
    <w:rsid w:val="00D8473D"/>
    <w:rsid w:val="00D84E17"/>
    <w:rsid w:val="00D85D77"/>
    <w:rsid w:val="00D90758"/>
    <w:rsid w:val="00D90FC0"/>
    <w:rsid w:val="00D911A8"/>
    <w:rsid w:val="00D91CED"/>
    <w:rsid w:val="00D91DDC"/>
    <w:rsid w:val="00D92191"/>
    <w:rsid w:val="00D93F83"/>
    <w:rsid w:val="00D94673"/>
    <w:rsid w:val="00D9475F"/>
    <w:rsid w:val="00D94C92"/>
    <w:rsid w:val="00D957E0"/>
    <w:rsid w:val="00D97AA7"/>
    <w:rsid w:val="00D97BB0"/>
    <w:rsid w:val="00D97C27"/>
    <w:rsid w:val="00DA0B29"/>
    <w:rsid w:val="00DA1635"/>
    <w:rsid w:val="00DA24D6"/>
    <w:rsid w:val="00DA2AC6"/>
    <w:rsid w:val="00DA4E9D"/>
    <w:rsid w:val="00DA5483"/>
    <w:rsid w:val="00DA5A10"/>
    <w:rsid w:val="00DA6893"/>
    <w:rsid w:val="00DA6C15"/>
    <w:rsid w:val="00DA724C"/>
    <w:rsid w:val="00DA779D"/>
    <w:rsid w:val="00DA77D4"/>
    <w:rsid w:val="00DA7C13"/>
    <w:rsid w:val="00DA7DF3"/>
    <w:rsid w:val="00DB046E"/>
    <w:rsid w:val="00DB05BC"/>
    <w:rsid w:val="00DB0639"/>
    <w:rsid w:val="00DB06E2"/>
    <w:rsid w:val="00DB08CD"/>
    <w:rsid w:val="00DB2F17"/>
    <w:rsid w:val="00DB4AC0"/>
    <w:rsid w:val="00DB4DD7"/>
    <w:rsid w:val="00DB5940"/>
    <w:rsid w:val="00DB603B"/>
    <w:rsid w:val="00DB765B"/>
    <w:rsid w:val="00DB7C13"/>
    <w:rsid w:val="00DC07C5"/>
    <w:rsid w:val="00DC0946"/>
    <w:rsid w:val="00DC0FAC"/>
    <w:rsid w:val="00DC11AD"/>
    <w:rsid w:val="00DC18F9"/>
    <w:rsid w:val="00DC358F"/>
    <w:rsid w:val="00DC5379"/>
    <w:rsid w:val="00DC5404"/>
    <w:rsid w:val="00DC657D"/>
    <w:rsid w:val="00DC6E4A"/>
    <w:rsid w:val="00DC7076"/>
    <w:rsid w:val="00DC7B0B"/>
    <w:rsid w:val="00DC7BE3"/>
    <w:rsid w:val="00DD0002"/>
    <w:rsid w:val="00DD06E2"/>
    <w:rsid w:val="00DD15AB"/>
    <w:rsid w:val="00DD1ADD"/>
    <w:rsid w:val="00DD204D"/>
    <w:rsid w:val="00DD2200"/>
    <w:rsid w:val="00DD26BD"/>
    <w:rsid w:val="00DD423B"/>
    <w:rsid w:val="00DD4C49"/>
    <w:rsid w:val="00DD4CA0"/>
    <w:rsid w:val="00DD5104"/>
    <w:rsid w:val="00DD5927"/>
    <w:rsid w:val="00DD5B4D"/>
    <w:rsid w:val="00DD6421"/>
    <w:rsid w:val="00DD68AB"/>
    <w:rsid w:val="00DD72F0"/>
    <w:rsid w:val="00DD738C"/>
    <w:rsid w:val="00DE0BDE"/>
    <w:rsid w:val="00DE15FC"/>
    <w:rsid w:val="00DE1873"/>
    <w:rsid w:val="00DE19A1"/>
    <w:rsid w:val="00DE26A9"/>
    <w:rsid w:val="00DE2D37"/>
    <w:rsid w:val="00DE4419"/>
    <w:rsid w:val="00DE4959"/>
    <w:rsid w:val="00DE4A19"/>
    <w:rsid w:val="00DE562D"/>
    <w:rsid w:val="00DE5FA2"/>
    <w:rsid w:val="00DE6CF2"/>
    <w:rsid w:val="00DE6FEB"/>
    <w:rsid w:val="00DE720B"/>
    <w:rsid w:val="00DE7807"/>
    <w:rsid w:val="00DF0C2D"/>
    <w:rsid w:val="00DF19D7"/>
    <w:rsid w:val="00DF231B"/>
    <w:rsid w:val="00DF3983"/>
    <w:rsid w:val="00DF3C93"/>
    <w:rsid w:val="00DF4A6E"/>
    <w:rsid w:val="00DF4B1A"/>
    <w:rsid w:val="00DF4BF1"/>
    <w:rsid w:val="00DF5AA8"/>
    <w:rsid w:val="00DF6005"/>
    <w:rsid w:val="00E004F9"/>
    <w:rsid w:val="00E01582"/>
    <w:rsid w:val="00E018F1"/>
    <w:rsid w:val="00E01E73"/>
    <w:rsid w:val="00E037D9"/>
    <w:rsid w:val="00E03F61"/>
    <w:rsid w:val="00E03F96"/>
    <w:rsid w:val="00E041EF"/>
    <w:rsid w:val="00E0451E"/>
    <w:rsid w:val="00E04924"/>
    <w:rsid w:val="00E0527A"/>
    <w:rsid w:val="00E06F03"/>
    <w:rsid w:val="00E10F74"/>
    <w:rsid w:val="00E110A9"/>
    <w:rsid w:val="00E11BD3"/>
    <w:rsid w:val="00E124C6"/>
    <w:rsid w:val="00E14B62"/>
    <w:rsid w:val="00E14EB9"/>
    <w:rsid w:val="00E14FC2"/>
    <w:rsid w:val="00E15632"/>
    <w:rsid w:val="00E15AFA"/>
    <w:rsid w:val="00E1732A"/>
    <w:rsid w:val="00E20400"/>
    <w:rsid w:val="00E20886"/>
    <w:rsid w:val="00E211DD"/>
    <w:rsid w:val="00E2146A"/>
    <w:rsid w:val="00E214CB"/>
    <w:rsid w:val="00E233F0"/>
    <w:rsid w:val="00E2442F"/>
    <w:rsid w:val="00E24541"/>
    <w:rsid w:val="00E24552"/>
    <w:rsid w:val="00E24CD8"/>
    <w:rsid w:val="00E24F46"/>
    <w:rsid w:val="00E25AD9"/>
    <w:rsid w:val="00E2717E"/>
    <w:rsid w:val="00E27A94"/>
    <w:rsid w:val="00E32EB9"/>
    <w:rsid w:val="00E330E2"/>
    <w:rsid w:val="00E33F63"/>
    <w:rsid w:val="00E34CFC"/>
    <w:rsid w:val="00E34D12"/>
    <w:rsid w:val="00E36459"/>
    <w:rsid w:val="00E369F5"/>
    <w:rsid w:val="00E36E63"/>
    <w:rsid w:val="00E378E7"/>
    <w:rsid w:val="00E4060E"/>
    <w:rsid w:val="00E41243"/>
    <w:rsid w:val="00E417B9"/>
    <w:rsid w:val="00E41891"/>
    <w:rsid w:val="00E42924"/>
    <w:rsid w:val="00E42D42"/>
    <w:rsid w:val="00E43029"/>
    <w:rsid w:val="00E43879"/>
    <w:rsid w:val="00E44451"/>
    <w:rsid w:val="00E45B0F"/>
    <w:rsid w:val="00E46526"/>
    <w:rsid w:val="00E51176"/>
    <w:rsid w:val="00E51C9F"/>
    <w:rsid w:val="00E521A5"/>
    <w:rsid w:val="00E52860"/>
    <w:rsid w:val="00E53B4E"/>
    <w:rsid w:val="00E54C4D"/>
    <w:rsid w:val="00E54FBC"/>
    <w:rsid w:val="00E551CF"/>
    <w:rsid w:val="00E56346"/>
    <w:rsid w:val="00E5685E"/>
    <w:rsid w:val="00E57CCD"/>
    <w:rsid w:val="00E60A69"/>
    <w:rsid w:val="00E6153E"/>
    <w:rsid w:val="00E61E7E"/>
    <w:rsid w:val="00E61E87"/>
    <w:rsid w:val="00E624EA"/>
    <w:rsid w:val="00E62A7B"/>
    <w:rsid w:val="00E62C89"/>
    <w:rsid w:val="00E62E8E"/>
    <w:rsid w:val="00E64C22"/>
    <w:rsid w:val="00E64CC8"/>
    <w:rsid w:val="00E65E38"/>
    <w:rsid w:val="00E67B5F"/>
    <w:rsid w:val="00E70137"/>
    <w:rsid w:val="00E701B3"/>
    <w:rsid w:val="00E705F2"/>
    <w:rsid w:val="00E70939"/>
    <w:rsid w:val="00E70A72"/>
    <w:rsid w:val="00E70B7A"/>
    <w:rsid w:val="00E7127B"/>
    <w:rsid w:val="00E71F82"/>
    <w:rsid w:val="00E72EDE"/>
    <w:rsid w:val="00E73CF7"/>
    <w:rsid w:val="00E755FD"/>
    <w:rsid w:val="00E76F78"/>
    <w:rsid w:val="00E77784"/>
    <w:rsid w:val="00E77E18"/>
    <w:rsid w:val="00E80A41"/>
    <w:rsid w:val="00E82691"/>
    <w:rsid w:val="00E82BB2"/>
    <w:rsid w:val="00E84A77"/>
    <w:rsid w:val="00E85B74"/>
    <w:rsid w:val="00E85E42"/>
    <w:rsid w:val="00E8639C"/>
    <w:rsid w:val="00E8712E"/>
    <w:rsid w:val="00E911B8"/>
    <w:rsid w:val="00E919CE"/>
    <w:rsid w:val="00E9266F"/>
    <w:rsid w:val="00E92ABE"/>
    <w:rsid w:val="00E93DBD"/>
    <w:rsid w:val="00E93F2A"/>
    <w:rsid w:val="00E944A1"/>
    <w:rsid w:val="00E94687"/>
    <w:rsid w:val="00E96565"/>
    <w:rsid w:val="00E971E5"/>
    <w:rsid w:val="00EA177E"/>
    <w:rsid w:val="00EA21D8"/>
    <w:rsid w:val="00EA29DD"/>
    <w:rsid w:val="00EA482A"/>
    <w:rsid w:val="00EA4AA8"/>
    <w:rsid w:val="00EA4BC7"/>
    <w:rsid w:val="00EA562B"/>
    <w:rsid w:val="00EA5F69"/>
    <w:rsid w:val="00EA773F"/>
    <w:rsid w:val="00EB07CC"/>
    <w:rsid w:val="00EB0EA9"/>
    <w:rsid w:val="00EB129F"/>
    <w:rsid w:val="00EB1829"/>
    <w:rsid w:val="00EB245D"/>
    <w:rsid w:val="00EB2758"/>
    <w:rsid w:val="00EB2831"/>
    <w:rsid w:val="00EB3E98"/>
    <w:rsid w:val="00EB4039"/>
    <w:rsid w:val="00EB4B24"/>
    <w:rsid w:val="00EB4D0F"/>
    <w:rsid w:val="00EB6E57"/>
    <w:rsid w:val="00EB746A"/>
    <w:rsid w:val="00EB75F1"/>
    <w:rsid w:val="00EC022E"/>
    <w:rsid w:val="00EC0732"/>
    <w:rsid w:val="00EC0A64"/>
    <w:rsid w:val="00EC0B11"/>
    <w:rsid w:val="00EC1017"/>
    <w:rsid w:val="00EC14E8"/>
    <w:rsid w:val="00EC2370"/>
    <w:rsid w:val="00EC281E"/>
    <w:rsid w:val="00EC2DBC"/>
    <w:rsid w:val="00EC5E16"/>
    <w:rsid w:val="00ED05C5"/>
    <w:rsid w:val="00ED19F4"/>
    <w:rsid w:val="00ED31D9"/>
    <w:rsid w:val="00ED3757"/>
    <w:rsid w:val="00ED44DA"/>
    <w:rsid w:val="00ED52C7"/>
    <w:rsid w:val="00ED532B"/>
    <w:rsid w:val="00ED60EE"/>
    <w:rsid w:val="00ED6683"/>
    <w:rsid w:val="00ED77EA"/>
    <w:rsid w:val="00EE0681"/>
    <w:rsid w:val="00EE09B7"/>
    <w:rsid w:val="00EE18F8"/>
    <w:rsid w:val="00EE263C"/>
    <w:rsid w:val="00EE2FC9"/>
    <w:rsid w:val="00EE3225"/>
    <w:rsid w:val="00EE35C0"/>
    <w:rsid w:val="00EE3763"/>
    <w:rsid w:val="00EE3A4C"/>
    <w:rsid w:val="00EE410B"/>
    <w:rsid w:val="00EE44ED"/>
    <w:rsid w:val="00EE67DE"/>
    <w:rsid w:val="00EE71EA"/>
    <w:rsid w:val="00EF0029"/>
    <w:rsid w:val="00EF015A"/>
    <w:rsid w:val="00EF109F"/>
    <w:rsid w:val="00EF1C7B"/>
    <w:rsid w:val="00EF4169"/>
    <w:rsid w:val="00EF45DE"/>
    <w:rsid w:val="00EF53CC"/>
    <w:rsid w:val="00EF551B"/>
    <w:rsid w:val="00EF58AC"/>
    <w:rsid w:val="00EF5C83"/>
    <w:rsid w:val="00EF623D"/>
    <w:rsid w:val="00EF666C"/>
    <w:rsid w:val="00EF6BE1"/>
    <w:rsid w:val="00EF6DDA"/>
    <w:rsid w:val="00EF6FCD"/>
    <w:rsid w:val="00EF7DD1"/>
    <w:rsid w:val="00EF7DF4"/>
    <w:rsid w:val="00F00DE8"/>
    <w:rsid w:val="00F012D3"/>
    <w:rsid w:val="00F020D6"/>
    <w:rsid w:val="00F0412B"/>
    <w:rsid w:val="00F04289"/>
    <w:rsid w:val="00F0543C"/>
    <w:rsid w:val="00F058A1"/>
    <w:rsid w:val="00F05EDB"/>
    <w:rsid w:val="00F05F1C"/>
    <w:rsid w:val="00F05F84"/>
    <w:rsid w:val="00F1204F"/>
    <w:rsid w:val="00F128BE"/>
    <w:rsid w:val="00F12DD9"/>
    <w:rsid w:val="00F13275"/>
    <w:rsid w:val="00F1770A"/>
    <w:rsid w:val="00F20DE6"/>
    <w:rsid w:val="00F23DB7"/>
    <w:rsid w:val="00F245DD"/>
    <w:rsid w:val="00F27803"/>
    <w:rsid w:val="00F27ED1"/>
    <w:rsid w:val="00F3094D"/>
    <w:rsid w:val="00F30AB5"/>
    <w:rsid w:val="00F30D2D"/>
    <w:rsid w:val="00F31671"/>
    <w:rsid w:val="00F321CD"/>
    <w:rsid w:val="00F3325F"/>
    <w:rsid w:val="00F3331C"/>
    <w:rsid w:val="00F33D22"/>
    <w:rsid w:val="00F3470F"/>
    <w:rsid w:val="00F348CB"/>
    <w:rsid w:val="00F34DF9"/>
    <w:rsid w:val="00F37BCD"/>
    <w:rsid w:val="00F37C89"/>
    <w:rsid w:val="00F40389"/>
    <w:rsid w:val="00F40DB1"/>
    <w:rsid w:val="00F41314"/>
    <w:rsid w:val="00F4133A"/>
    <w:rsid w:val="00F416E1"/>
    <w:rsid w:val="00F4239E"/>
    <w:rsid w:val="00F42625"/>
    <w:rsid w:val="00F42ECB"/>
    <w:rsid w:val="00F43720"/>
    <w:rsid w:val="00F437EE"/>
    <w:rsid w:val="00F447E5"/>
    <w:rsid w:val="00F45935"/>
    <w:rsid w:val="00F45F06"/>
    <w:rsid w:val="00F46076"/>
    <w:rsid w:val="00F47B7B"/>
    <w:rsid w:val="00F50707"/>
    <w:rsid w:val="00F51153"/>
    <w:rsid w:val="00F5157D"/>
    <w:rsid w:val="00F5579D"/>
    <w:rsid w:val="00F55EB1"/>
    <w:rsid w:val="00F55FF0"/>
    <w:rsid w:val="00F56D2E"/>
    <w:rsid w:val="00F57245"/>
    <w:rsid w:val="00F57B16"/>
    <w:rsid w:val="00F614A5"/>
    <w:rsid w:val="00F61896"/>
    <w:rsid w:val="00F61ABC"/>
    <w:rsid w:val="00F61E75"/>
    <w:rsid w:val="00F62BC4"/>
    <w:rsid w:val="00F62ED5"/>
    <w:rsid w:val="00F6336E"/>
    <w:rsid w:val="00F6375C"/>
    <w:rsid w:val="00F638EB"/>
    <w:rsid w:val="00F6394C"/>
    <w:rsid w:val="00F64300"/>
    <w:rsid w:val="00F6460C"/>
    <w:rsid w:val="00F646AE"/>
    <w:rsid w:val="00F650DC"/>
    <w:rsid w:val="00F654A7"/>
    <w:rsid w:val="00F66AAF"/>
    <w:rsid w:val="00F6754B"/>
    <w:rsid w:val="00F72AFA"/>
    <w:rsid w:val="00F72C89"/>
    <w:rsid w:val="00F730A9"/>
    <w:rsid w:val="00F81489"/>
    <w:rsid w:val="00F81728"/>
    <w:rsid w:val="00F819F7"/>
    <w:rsid w:val="00F82D38"/>
    <w:rsid w:val="00F84558"/>
    <w:rsid w:val="00F851DF"/>
    <w:rsid w:val="00F85825"/>
    <w:rsid w:val="00F909EF"/>
    <w:rsid w:val="00F930FB"/>
    <w:rsid w:val="00F93BB5"/>
    <w:rsid w:val="00F946CE"/>
    <w:rsid w:val="00F948E9"/>
    <w:rsid w:val="00F9555E"/>
    <w:rsid w:val="00F958E8"/>
    <w:rsid w:val="00F95994"/>
    <w:rsid w:val="00F97A5C"/>
    <w:rsid w:val="00FA024C"/>
    <w:rsid w:val="00FA0566"/>
    <w:rsid w:val="00FA28B6"/>
    <w:rsid w:val="00FA2E5E"/>
    <w:rsid w:val="00FA3374"/>
    <w:rsid w:val="00FA3662"/>
    <w:rsid w:val="00FA46B4"/>
    <w:rsid w:val="00FA481E"/>
    <w:rsid w:val="00FA4D56"/>
    <w:rsid w:val="00FA5135"/>
    <w:rsid w:val="00FA5EC1"/>
    <w:rsid w:val="00FA6490"/>
    <w:rsid w:val="00FA7417"/>
    <w:rsid w:val="00FA7A34"/>
    <w:rsid w:val="00FA7D4B"/>
    <w:rsid w:val="00FA7DE1"/>
    <w:rsid w:val="00FA7EE8"/>
    <w:rsid w:val="00FB1445"/>
    <w:rsid w:val="00FB2579"/>
    <w:rsid w:val="00FB3D92"/>
    <w:rsid w:val="00FB52B2"/>
    <w:rsid w:val="00FB52DE"/>
    <w:rsid w:val="00FB5588"/>
    <w:rsid w:val="00FB6475"/>
    <w:rsid w:val="00FB6590"/>
    <w:rsid w:val="00FB68D8"/>
    <w:rsid w:val="00FB6BF8"/>
    <w:rsid w:val="00FC0A0D"/>
    <w:rsid w:val="00FC1745"/>
    <w:rsid w:val="00FC1E23"/>
    <w:rsid w:val="00FC20DC"/>
    <w:rsid w:val="00FC222A"/>
    <w:rsid w:val="00FC226A"/>
    <w:rsid w:val="00FC2459"/>
    <w:rsid w:val="00FC3600"/>
    <w:rsid w:val="00FC3712"/>
    <w:rsid w:val="00FC37E0"/>
    <w:rsid w:val="00FC3E30"/>
    <w:rsid w:val="00FC3EAB"/>
    <w:rsid w:val="00FC51E7"/>
    <w:rsid w:val="00FC539C"/>
    <w:rsid w:val="00FC554C"/>
    <w:rsid w:val="00FC5A98"/>
    <w:rsid w:val="00FC6883"/>
    <w:rsid w:val="00FC6A20"/>
    <w:rsid w:val="00FC70D6"/>
    <w:rsid w:val="00FD0441"/>
    <w:rsid w:val="00FD0FF8"/>
    <w:rsid w:val="00FD1210"/>
    <w:rsid w:val="00FD3496"/>
    <w:rsid w:val="00FD3570"/>
    <w:rsid w:val="00FD3881"/>
    <w:rsid w:val="00FD4869"/>
    <w:rsid w:val="00FD51DE"/>
    <w:rsid w:val="00FD52DF"/>
    <w:rsid w:val="00FD56A8"/>
    <w:rsid w:val="00FD6061"/>
    <w:rsid w:val="00FD6936"/>
    <w:rsid w:val="00FD7255"/>
    <w:rsid w:val="00FD7C77"/>
    <w:rsid w:val="00FE0B1C"/>
    <w:rsid w:val="00FE12F5"/>
    <w:rsid w:val="00FE1699"/>
    <w:rsid w:val="00FE1A6E"/>
    <w:rsid w:val="00FE1AA9"/>
    <w:rsid w:val="00FE2C6C"/>
    <w:rsid w:val="00FE48F7"/>
    <w:rsid w:val="00FE51EC"/>
    <w:rsid w:val="00FE546D"/>
    <w:rsid w:val="00FE5674"/>
    <w:rsid w:val="00FE5F9C"/>
    <w:rsid w:val="00FE6043"/>
    <w:rsid w:val="00FE7F38"/>
    <w:rsid w:val="00FE7F86"/>
    <w:rsid w:val="00FF17BC"/>
    <w:rsid w:val="00FF184C"/>
    <w:rsid w:val="00FF18F3"/>
    <w:rsid w:val="00FF1FA2"/>
    <w:rsid w:val="00FF2C9E"/>
    <w:rsid w:val="00FF3B27"/>
    <w:rsid w:val="00FF40B4"/>
    <w:rsid w:val="00FF54F6"/>
    <w:rsid w:val="00FF7C93"/>
    <w:rsid w:val="00FF7C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DD6EA"/>
  <w15:docId w15:val="{434EF69E-3DFF-427B-9397-8AFC2F78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7F39"/>
    <w:pPr>
      <w:spacing w:after="0"/>
      <w:jc w:val="both"/>
    </w:pPr>
    <w:rPr>
      <w:rFonts w:ascii="Times New Roman" w:eastAsia="Times New Roman" w:hAnsi="Times New Roman" w:cs="Times New Roman"/>
      <w:sz w:val="24"/>
      <w:szCs w:val="24"/>
      <w:lang w:eastAsia="sk-SK"/>
    </w:rPr>
  </w:style>
  <w:style w:type="paragraph" w:styleId="Nadpis10">
    <w:name w:val="heading 1"/>
    <w:aliases w:val="I,kapitola,Čo robí (časť)"/>
    <w:basedOn w:val="Normlny"/>
    <w:next w:val="Normlny"/>
    <w:link w:val="Nadpis1Char"/>
    <w:uiPriority w:val="9"/>
    <w:qFormat/>
    <w:rsid w:val="009109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Heading 2 Char Char Char Char Char Char Char"/>
    <w:basedOn w:val="Normlny"/>
    <w:next w:val="Normlny"/>
    <w:link w:val="Nadpis2Char"/>
    <w:uiPriority w:val="9"/>
    <w:unhideWhenUsed/>
    <w:qFormat/>
    <w:rsid w:val="009109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9109DB"/>
    <w:pPr>
      <w:keepNext/>
      <w:keepLines/>
      <w:spacing w:before="200"/>
      <w:outlineLvl w:val="2"/>
    </w:pPr>
    <w:rPr>
      <w:rFonts w:asciiTheme="majorHAnsi" w:eastAsiaTheme="majorEastAsia" w:hAnsiTheme="majorHAnsi" w:cstheme="majorBidi"/>
      <w:b/>
      <w:bCs/>
      <w:color w:val="4F81BD" w:themeColor="accent1"/>
    </w:rPr>
  </w:style>
  <w:style w:type="paragraph" w:styleId="Nadpis40">
    <w:name w:val="heading 4"/>
    <w:basedOn w:val="Normlny"/>
    <w:next w:val="Normlny"/>
    <w:link w:val="Nadpis4Char"/>
    <w:unhideWhenUsed/>
    <w:qFormat/>
    <w:rsid w:val="002042F8"/>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qFormat/>
    <w:rsid w:val="00C30F41"/>
    <w:pPr>
      <w:keepNext/>
      <w:tabs>
        <w:tab w:val="num" w:pos="1725"/>
      </w:tabs>
      <w:ind w:left="1725" w:hanging="1008"/>
      <w:jc w:val="center"/>
      <w:outlineLvl w:val="4"/>
    </w:pPr>
    <w:rPr>
      <w:b/>
      <w:bCs/>
      <w:lang w:val="cs-CZ" w:eastAsia="cs-CZ"/>
    </w:rPr>
  </w:style>
  <w:style w:type="paragraph" w:styleId="Nadpis6">
    <w:name w:val="heading 6"/>
    <w:basedOn w:val="Normlny"/>
    <w:next w:val="Normlny"/>
    <w:link w:val="Nadpis6Char"/>
    <w:qFormat/>
    <w:rsid w:val="00C30F41"/>
    <w:pPr>
      <w:tabs>
        <w:tab w:val="num" w:pos="1869"/>
      </w:tabs>
      <w:spacing w:before="240" w:after="60"/>
      <w:ind w:left="1869" w:hanging="1152"/>
      <w:outlineLvl w:val="5"/>
    </w:pPr>
    <w:rPr>
      <w:b/>
      <w:bCs/>
      <w:sz w:val="22"/>
      <w:szCs w:val="22"/>
      <w:lang w:eastAsia="cs-CZ"/>
    </w:rPr>
  </w:style>
  <w:style w:type="paragraph" w:styleId="Nadpis7">
    <w:name w:val="heading 7"/>
    <w:basedOn w:val="Normlny"/>
    <w:next w:val="Normlny"/>
    <w:link w:val="Nadpis7Char"/>
    <w:qFormat/>
    <w:rsid w:val="00C30F41"/>
    <w:pPr>
      <w:tabs>
        <w:tab w:val="num" w:pos="2013"/>
      </w:tabs>
      <w:spacing w:before="240" w:after="60"/>
      <w:ind w:left="2013" w:hanging="1296"/>
      <w:outlineLvl w:val="6"/>
    </w:pPr>
    <w:rPr>
      <w:lang w:eastAsia="cs-CZ"/>
    </w:rPr>
  </w:style>
  <w:style w:type="paragraph" w:styleId="Nadpis8">
    <w:name w:val="heading 8"/>
    <w:basedOn w:val="Normlny"/>
    <w:next w:val="Normlny"/>
    <w:link w:val="Nadpis8Char"/>
    <w:qFormat/>
    <w:rsid w:val="00C30F41"/>
    <w:pPr>
      <w:tabs>
        <w:tab w:val="num" w:pos="2157"/>
      </w:tabs>
      <w:spacing w:before="240" w:after="60"/>
      <w:ind w:left="2157" w:hanging="1440"/>
      <w:outlineLvl w:val="7"/>
    </w:pPr>
    <w:rPr>
      <w:i/>
      <w:iCs/>
      <w:lang w:eastAsia="cs-CZ"/>
    </w:rPr>
  </w:style>
  <w:style w:type="paragraph" w:styleId="Nadpis9">
    <w:name w:val="heading 9"/>
    <w:basedOn w:val="Normlny"/>
    <w:next w:val="Normlny"/>
    <w:link w:val="Nadpis9Char"/>
    <w:qFormat/>
    <w:rsid w:val="00C30F41"/>
    <w:pPr>
      <w:tabs>
        <w:tab w:val="num" w:pos="2301"/>
      </w:tabs>
      <w:spacing w:before="240" w:after="60"/>
      <w:ind w:left="2301" w:hanging="1584"/>
      <w:outlineLvl w:val="8"/>
    </w:pPr>
    <w:rPr>
      <w:rFonts w:ascii="Arial" w:hAnsi="Arial" w:cs="Arial"/>
      <w:sz w:val="22"/>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04799"/>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D31C5"/>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D31C5"/>
    <w:rPr>
      <w:rFonts w:ascii="Tahoma" w:hAnsi="Tahoma" w:cs="Tahoma"/>
      <w:sz w:val="16"/>
      <w:szCs w:val="16"/>
    </w:rPr>
  </w:style>
  <w:style w:type="paragraph" w:styleId="Popis">
    <w:name w:val="caption"/>
    <w:basedOn w:val="Normlny"/>
    <w:next w:val="Normlny"/>
    <w:qFormat/>
    <w:rsid w:val="00941965"/>
    <w:pPr>
      <w:spacing w:before="120" w:after="120"/>
      <w:jc w:val="left"/>
    </w:pPr>
    <w:rPr>
      <w:b/>
      <w:bCs/>
      <w:sz w:val="20"/>
      <w:szCs w:val="20"/>
      <w:lang w:eastAsia="cs-CZ"/>
    </w:rPr>
  </w:style>
  <w:style w:type="paragraph" w:customStyle="1" w:styleId="Styl2">
    <w:name w:val="Styl2"/>
    <w:basedOn w:val="Normlny"/>
    <w:link w:val="Styl2Char"/>
    <w:qFormat/>
    <w:rsid w:val="00AC3317"/>
    <w:rPr>
      <w:sz w:val="18"/>
      <w:szCs w:val="18"/>
      <w:lang w:eastAsia="cs-CZ"/>
    </w:rPr>
  </w:style>
  <w:style w:type="character" w:customStyle="1" w:styleId="Styl2Char">
    <w:name w:val="Styl2 Char"/>
    <w:basedOn w:val="Predvolenpsmoodseku"/>
    <w:link w:val="Styl2"/>
    <w:rsid w:val="00AC3317"/>
    <w:rPr>
      <w:rFonts w:ascii="Times New Roman" w:eastAsia="Times New Roman" w:hAnsi="Times New Roman" w:cs="Times New Roman"/>
      <w:sz w:val="18"/>
      <w:szCs w:val="18"/>
      <w:lang w:eastAsia="cs-CZ"/>
    </w:rPr>
  </w:style>
  <w:style w:type="table" w:styleId="Mriekatabuky">
    <w:name w:val="Table Grid"/>
    <w:basedOn w:val="Normlnatabuka"/>
    <w:uiPriority w:val="59"/>
    <w:rsid w:val="009A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I Char,kapitola Char,Čo robí (časť) Char"/>
    <w:basedOn w:val="Predvolenpsmoodseku"/>
    <w:link w:val="Nadpis10"/>
    <w:uiPriority w:val="9"/>
    <w:rsid w:val="009109D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Heading 2 Char Char Char Char Char Char Char Char"/>
    <w:basedOn w:val="Predvolenpsmoodseku"/>
    <w:link w:val="Nadpis2"/>
    <w:uiPriority w:val="9"/>
    <w:rsid w:val="009109DB"/>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9109DB"/>
    <w:rPr>
      <w:rFonts w:asciiTheme="majorHAnsi" w:eastAsiaTheme="majorEastAsia" w:hAnsiTheme="majorHAnsi" w:cstheme="majorBidi"/>
      <w:b/>
      <w:bCs/>
      <w:color w:val="4F81BD" w:themeColor="accent1"/>
    </w:rPr>
  </w:style>
  <w:style w:type="character" w:styleId="Siln">
    <w:name w:val="Strong"/>
    <w:uiPriority w:val="22"/>
    <w:qFormat/>
    <w:rsid w:val="00A2270B"/>
    <w:rPr>
      <w:rFonts w:ascii="Times New Roman" w:hAnsi="Times New Roman"/>
      <w:b/>
      <w:bCs/>
      <w:sz w:val="24"/>
    </w:rPr>
  </w:style>
  <w:style w:type="paragraph" w:customStyle="1" w:styleId="Nadpis1">
    <w:name w:val="Nadpis 1."/>
    <w:basedOn w:val="Nadpis10"/>
    <w:qFormat/>
    <w:rsid w:val="00A2270B"/>
    <w:pPr>
      <w:keepNext w:val="0"/>
      <w:keepLines w:val="0"/>
      <w:pageBreakBefore/>
      <w:numPr>
        <w:numId w:val="1"/>
      </w:numPr>
      <w:spacing w:before="240" w:after="60"/>
    </w:pPr>
    <w:rPr>
      <w:rFonts w:ascii="Times New Roman" w:eastAsia="Times New Roman" w:hAnsi="Times New Roman" w:cs="Times New Roman"/>
      <w:caps/>
      <w:color w:val="auto"/>
      <w:sz w:val="32"/>
      <w:szCs w:val="24"/>
      <w:lang w:eastAsia="cs-CZ"/>
    </w:rPr>
  </w:style>
  <w:style w:type="paragraph" w:customStyle="1" w:styleId="Nadpis11">
    <w:name w:val="Nadpis 1.1"/>
    <w:basedOn w:val="Nadpis2"/>
    <w:qFormat/>
    <w:rsid w:val="00183917"/>
    <w:pPr>
      <w:keepNext w:val="0"/>
      <w:keepLines w:val="0"/>
      <w:numPr>
        <w:ilvl w:val="1"/>
        <w:numId w:val="1"/>
      </w:numPr>
      <w:spacing w:before="120"/>
      <w:contextualSpacing/>
    </w:pPr>
    <w:rPr>
      <w:rFonts w:ascii="Times New Roman" w:eastAsiaTheme="minorHAnsi" w:hAnsi="Times New Roman" w:cs="Times New Roman"/>
      <w:color w:val="auto"/>
      <w:sz w:val="28"/>
      <w:szCs w:val="28"/>
    </w:rPr>
  </w:style>
  <w:style w:type="paragraph" w:customStyle="1" w:styleId="Nadpis111">
    <w:name w:val="Nadpis 1.1.1"/>
    <w:basedOn w:val="Nadpis3"/>
    <w:qFormat/>
    <w:rsid w:val="00A2270B"/>
    <w:pPr>
      <w:keepLines w:val="0"/>
      <w:numPr>
        <w:ilvl w:val="2"/>
        <w:numId w:val="1"/>
      </w:numPr>
      <w:spacing w:before="0"/>
    </w:pPr>
    <w:rPr>
      <w:rFonts w:ascii="Times New Roman" w:eastAsia="Times New Roman" w:hAnsi="Times New Roman" w:cs="Times New Roman"/>
      <w:color w:val="auto"/>
      <w:lang w:eastAsia="cs-CZ"/>
    </w:rPr>
  </w:style>
  <w:style w:type="paragraph" w:customStyle="1" w:styleId="Nadpis1111">
    <w:name w:val="Nadpis 1.1.1.1"/>
    <w:basedOn w:val="Odsekzoznamu"/>
    <w:qFormat/>
    <w:rsid w:val="009F6329"/>
    <w:pPr>
      <w:numPr>
        <w:ilvl w:val="3"/>
        <w:numId w:val="1"/>
      </w:numPr>
      <w:spacing w:after="120"/>
      <w:ind w:left="992" w:hanging="992"/>
    </w:pPr>
    <w:rPr>
      <w:b/>
      <w:lang w:eastAsia="ar-SA"/>
    </w:rPr>
  </w:style>
  <w:style w:type="paragraph" w:customStyle="1" w:styleId="Nadpis11111">
    <w:name w:val="Nadpis 1.1.1.1.1"/>
    <w:basedOn w:val="Odsekzoznamu"/>
    <w:rsid w:val="00A2270B"/>
    <w:pPr>
      <w:numPr>
        <w:ilvl w:val="4"/>
        <w:numId w:val="1"/>
      </w:numPr>
      <w:spacing w:after="120" w:line="240" w:lineRule="auto"/>
    </w:pPr>
    <w:rPr>
      <w:b/>
      <w:i/>
      <w:sz w:val="26"/>
      <w:szCs w:val="26"/>
      <w:lang w:eastAsia="ar-SA"/>
    </w:rPr>
  </w:style>
  <w:style w:type="paragraph" w:styleId="Odsekzoznamu">
    <w:name w:val="List Paragraph"/>
    <w:aliases w:val="body,Odsek zoznamu2,Nad,Odstavec cíl se seznamem,Odstavec_muj,Bullet Number,lp1,lp11,List Paragraph11,Use Case List Paragraph,or.bullet1,body 2,Lista 1"/>
    <w:basedOn w:val="Normlny"/>
    <w:link w:val="OdsekzoznamuChar"/>
    <w:uiPriority w:val="34"/>
    <w:qFormat/>
    <w:rsid w:val="00A2270B"/>
    <w:pPr>
      <w:ind w:left="720"/>
      <w:contextualSpacing/>
    </w:pPr>
  </w:style>
  <w:style w:type="character" w:styleId="Hypertextovprepojenie">
    <w:name w:val="Hyperlink"/>
    <w:basedOn w:val="Predvolenpsmoodseku"/>
    <w:uiPriority w:val="99"/>
    <w:rsid w:val="00234CA5"/>
    <w:rPr>
      <w:noProof/>
      <w:color w:val="0000FF"/>
      <w:u w:val="single"/>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or.bullet1 Char,body 2 Char,Lista 1 Char"/>
    <w:basedOn w:val="Predvolenpsmoodseku"/>
    <w:link w:val="Odsekzoznamu"/>
    <w:uiPriority w:val="34"/>
    <w:qFormat/>
    <w:rsid w:val="00234CA5"/>
    <w:rPr>
      <w:rFonts w:ascii="Times New Roman" w:hAnsi="Times New Roman"/>
      <w:sz w:val="24"/>
    </w:rPr>
  </w:style>
  <w:style w:type="paragraph" w:styleId="Hlavika">
    <w:name w:val="header"/>
    <w:basedOn w:val="Normlny"/>
    <w:link w:val="HlavikaChar"/>
    <w:uiPriority w:val="99"/>
    <w:unhideWhenUsed/>
    <w:rsid w:val="00133A63"/>
    <w:pPr>
      <w:tabs>
        <w:tab w:val="center" w:pos="4536"/>
        <w:tab w:val="right" w:pos="9072"/>
      </w:tabs>
      <w:spacing w:line="240" w:lineRule="auto"/>
    </w:pPr>
  </w:style>
  <w:style w:type="character" w:customStyle="1" w:styleId="HlavikaChar">
    <w:name w:val="Hlavička Char"/>
    <w:basedOn w:val="Predvolenpsmoodseku"/>
    <w:link w:val="Hlavika"/>
    <w:uiPriority w:val="99"/>
    <w:rsid w:val="00133A63"/>
    <w:rPr>
      <w:rFonts w:ascii="Times New Roman" w:hAnsi="Times New Roman"/>
      <w:sz w:val="24"/>
    </w:rPr>
  </w:style>
  <w:style w:type="paragraph" w:styleId="Pta">
    <w:name w:val="footer"/>
    <w:basedOn w:val="Normlny"/>
    <w:link w:val="PtaChar"/>
    <w:uiPriority w:val="99"/>
    <w:unhideWhenUsed/>
    <w:rsid w:val="00133A63"/>
    <w:pPr>
      <w:tabs>
        <w:tab w:val="center" w:pos="4536"/>
        <w:tab w:val="right" w:pos="9072"/>
      </w:tabs>
      <w:spacing w:line="240" w:lineRule="auto"/>
    </w:pPr>
  </w:style>
  <w:style w:type="character" w:customStyle="1" w:styleId="PtaChar">
    <w:name w:val="Päta Char"/>
    <w:basedOn w:val="Predvolenpsmoodseku"/>
    <w:link w:val="Pta"/>
    <w:uiPriority w:val="99"/>
    <w:rsid w:val="00133A63"/>
    <w:rPr>
      <w:rFonts w:ascii="Times New Roman" w:hAnsi="Times New Roman"/>
      <w:sz w:val="24"/>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
    <w:basedOn w:val="Normlny"/>
    <w:link w:val="NormlnywebovChar1"/>
    <w:unhideWhenUsed/>
    <w:rsid w:val="00D81560"/>
    <w:pPr>
      <w:spacing w:before="100" w:beforeAutospacing="1" w:after="100" w:afterAutospacing="1" w:line="240" w:lineRule="auto"/>
      <w:jc w:val="left"/>
    </w:pPr>
  </w:style>
  <w:style w:type="character" w:styleId="Nzovknihy">
    <w:name w:val="Book Title"/>
    <w:basedOn w:val="Predvolenpsmoodseku"/>
    <w:uiPriority w:val="33"/>
    <w:qFormat/>
    <w:rsid w:val="00680DAF"/>
    <w:rPr>
      <w:b/>
      <w:bCs/>
      <w:smallCaps/>
      <w:spacing w:val="5"/>
    </w:rPr>
  </w:style>
  <w:style w:type="paragraph" w:styleId="Hlavikaobsahu">
    <w:name w:val="TOC Heading"/>
    <w:basedOn w:val="Nadpis10"/>
    <w:next w:val="Normlny"/>
    <w:uiPriority w:val="39"/>
    <w:unhideWhenUsed/>
    <w:qFormat/>
    <w:rsid w:val="006F0173"/>
    <w:pPr>
      <w:jc w:val="left"/>
      <w:outlineLvl w:val="9"/>
    </w:pPr>
  </w:style>
  <w:style w:type="paragraph" w:styleId="Obsah2">
    <w:name w:val="toc 2"/>
    <w:basedOn w:val="Normlny"/>
    <w:next w:val="Normlny"/>
    <w:autoRedefine/>
    <w:uiPriority w:val="39"/>
    <w:unhideWhenUsed/>
    <w:rsid w:val="00731756"/>
    <w:pPr>
      <w:tabs>
        <w:tab w:val="right" w:leader="dot" w:pos="9062"/>
      </w:tabs>
      <w:spacing w:line="240" w:lineRule="auto"/>
      <w:ind w:left="1276" w:hanging="751"/>
    </w:pPr>
  </w:style>
  <w:style w:type="paragraph" w:styleId="Obsah3">
    <w:name w:val="toc 3"/>
    <w:basedOn w:val="Normlny"/>
    <w:next w:val="Normlny"/>
    <w:autoRedefine/>
    <w:uiPriority w:val="39"/>
    <w:unhideWhenUsed/>
    <w:rsid w:val="0095577E"/>
    <w:pPr>
      <w:tabs>
        <w:tab w:val="left" w:pos="1560"/>
        <w:tab w:val="right" w:leader="dot" w:pos="9062"/>
      </w:tabs>
      <w:spacing w:after="100"/>
      <w:ind w:left="1560" w:hanging="1080"/>
    </w:pPr>
  </w:style>
  <w:style w:type="paragraph" w:styleId="Zoznamobrzkov">
    <w:name w:val="table of figures"/>
    <w:aliases w:val="Zoznam tabuliek"/>
    <w:basedOn w:val="Normlny"/>
    <w:next w:val="Normlny"/>
    <w:uiPriority w:val="99"/>
    <w:unhideWhenUsed/>
    <w:rsid w:val="007405B1"/>
  </w:style>
  <w:style w:type="paragraph" w:styleId="Obsah1">
    <w:name w:val="toc 1"/>
    <w:basedOn w:val="Normlny"/>
    <w:next w:val="Normlny"/>
    <w:autoRedefine/>
    <w:uiPriority w:val="39"/>
    <w:unhideWhenUsed/>
    <w:rsid w:val="00CB6AF7"/>
    <w:pPr>
      <w:tabs>
        <w:tab w:val="left" w:pos="1276"/>
        <w:tab w:val="right" w:leader="dot" w:pos="9062"/>
      </w:tabs>
      <w:spacing w:line="240" w:lineRule="auto"/>
      <w:ind w:left="1276" w:hanging="1276"/>
    </w:pPr>
  </w:style>
  <w:style w:type="paragraph" w:customStyle="1" w:styleId="Odrkyliteratra">
    <w:name w:val="Odrážky_literatúra"/>
    <w:basedOn w:val="Normlny"/>
    <w:rsid w:val="00F3331C"/>
    <w:pPr>
      <w:numPr>
        <w:numId w:val="2"/>
      </w:numPr>
    </w:pPr>
    <w:rPr>
      <w:lang w:eastAsia="cs-CZ"/>
    </w:rPr>
  </w:style>
  <w:style w:type="character" w:styleId="CitciaHTML">
    <w:name w:val="HTML Cite"/>
    <w:basedOn w:val="Predvolenpsmoodseku"/>
    <w:uiPriority w:val="99"/>
    <w:semiHidden/>
    <w:unhideWhenUsed/>
    <w:rsid w:val="00F3331C"/>
    <w:rPr>
      <w:i/>
      <w:iCs/>
    </w:rPr>
  </w:style>
  <w:style w:type="character" w:customStyle="1" w:styleId="Nadpis4Char">
    <w:name w:val="Nadpis 4 Char"/>
    <w:basedOn w:val="Predvolenpsmoodseku"/>
    <w:link w:val="Nadpis40"/>
    <w:uiPriority w:val="9"/>
    <w:rsid w:val="002042F8"/>
    <w:rPr>
      <w:rFonts w:asciiTheme="majorHAnsi" w:eastAsiaTheme="majorEastAsia" w:hAnsiTheme="majorHAnsi" w:cstheme="majorBidi"/>
      <w:b/>
      <w:bCs/>
      <w:i/>
      <w:iCs/>
      <w:color w:val="4F81BD" w:themeColor="accent1"/>
      <w:sz w:val="24"/>
      <w:szCs w:val="24"/>
      <w:lang w:eastAsia="sk-SK"/>
    </w:rPr>
  </w:style>
  <w:style w:type="character" w:customStyle="1" w:styleId="Nadpis5Char">
    <w:name w:val="Nadpis 5 Char"/>
    <w:basedOn w:val="Predvolenpsmoodseku"/>
    <w:link w:val="Nadpis5"/>
    <w:uiPriority w:val="9"/>
    <w:rsid w:val="00C30F41"/>
    <w:rPr>
      <w:rFonts w:ascii="Times New Roman" w:eastAsia="Times New Roman" w:hAnsi="Times New Roman" w:cs="Times New Roman"/>
      <w:b/>
      <w:bCs/>
      <w:sz w:val="24"/>
      <w:szCs w:val="24"/>
      <w:lang w:val="cs-CZ" w:eastAsia="cs-CZ"/>
    </w:rPr>
  </w:style>
  <w:style w:type="character" w:customStyle="1" w:styleId="Nadpis6Char">
    <w:name w:val="Nadpis 6 Char"/>
    <w:basedOn w:val="Predvolenpsmoodseku"/>
    <w:link w:val="Nadpis6"/>
    <w:uiPriority w:val="9"/>
    <w:rsid w:val="00C30F41"/>
    <w:rPr>
      <w:rFonts w:ascii="Times New Roman" w:eastAsia="Times New Roman" w:hAnsi="Times New Roman" w:cs="Times New Roman"/>
      <w:b/>
      <w:bCs/>
      <w:lang w:eastAsia="cs-CZ"/>
    </w:rPr>
  </w:style>
  <w:style w:type="character" w:customStyle="1" w:styleId="Nadpis7Char">
    <w:name w:val="Nadpis 7 Char"/>
    <w:basedOn w:val="Predvolenpsmoodseku"/>
    <w:link w:val="Nadpis7"/>
    <w:uiPriority w:val="9"/>
    <w:rsid w:val="00C30F41"/>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
    <w:rsid w:val="00C30F41"/>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
    <w:rsid w:val="00C30F41"/>
    <w:rPr>
      <w:rFonts w:ascii="Arial" w:eastAsia="Times New Roman" w:hAnsi="Arial" w:cs="Arial"/>
      <w:lang w:eastAsia="cs-CZ"/>
    </w:rPr>
  </w:style>
  <w:style w:type="character" w:styleId="slostrany">
    <w:name w:val="page number"/>
    <w:basedOn w:val="Predvolenpsmoodseku"/>
    <w:rsid w:val="00C30F41"/>
  </w:style>
  <w:style w:type="paragraph" w:styleId="Zarkazkladnhotextu">
    <w:name w:val="Body Text Indent"/>
    <w:basedOn w:val="Normlny"/>
    <w:link w:val="ZarkazkladnhotextuChar"/>
    <w:semiHidden/>
    <w:rsid w:val="00C30F41"/>
    <w:pPr>
      <w:ind w:left="357"/>
    </w:pPr>
    <w:rPr>
      <w:lang w:eastAsia="cs-CZ"/>
    </w:rPr>
  </w:style>
  <w:style w:type="character" w:customStyle="1" w:styleId="ZarkazkladnhotextuChar">
    <w:name w:val="Zarážka základného textu Char"/>
    <w:basedOn w:val="Predvolenpsmoodseku"/>
    <w:link w:val="Zarkazkladnhotextu"/>
    <w:semiHidden/>
    <w:rsid w:val="00C30F41"/>
    <w:rPr>
      <w:rFonts w:ascii="Times New Roman" w:eastAsia="Times New Roman" w:hAnsi="Times New Roman" w:cs="Times New Roman"/>
      <w:sz w:val="24"/>
      <w:szCs w:val="24"/>
      <w:lang w:eastAsia="cs-CZ"/>
    </w:rPr>
  </w:style>
  <w:style w:type="paragraph" w:customStyle="1" w:styleId="Normlnvtabulce1">
    <w:name w:val="Normální_v tabulce_1"/>
    <w:basedOn w:val="Normlny"/>
    <w:rsid w:val="00C30F41"/>
    <w:pPr>
      <w:spacing w:line="240" w:lineRule="auto"/>
    </w:pPr>
    <w:rPr>
      <w:lang w:eastAsia="cs-CZ"/>
    </w:rPr>
  </w:style>
  <w:style w:type="paragraph" w:customStyle="1" w:styleId="Nadpis1vtabulce">
    <w:name w:val="Nadpis 1_v tabulce"/>
    <w:basedOn w:val="Nadpis10"/>
    <w:next w:val="Normlnvtabulce1"/>
    <w:rsid w:val="00C30F41"/>
    <w:pPr>
      <w:keepNext w:val="0"/>
      <w:keepLines w:val="0"/>
      <w:spacing w:before="0"/>
      <w:jc w:val="center"/>
      <w:outlineLvl w:val="9"/>
    </w:pPr>
    <w:rPr>
      <w:rFonts w:ascii="Times New Roman" w:eastAsia="Times New Roman" w:hAnsi="Times New Roman" w:cs="Times New Roman"/>
      <w:bCs w:val="0"/>
      <w:color w:val="auto"/>
      <w:szCs w:val="24"/>
      <w:lang w:eastAsia="cs-CZ"/>
    </w:rPr>
  </w:style>
  <w:style w:type="paragraph" w:customStyle="1" w:styleId="Nadpis2vtabulce">
    <w:name w:val="Nadpis 2_v tabulce"/>
    <w:basedOn w:val="Nadpis2"/>
    <w:next w:val="Normlnvtabulce1"/>
    <w:rsid w:val="00C30F41"/>
    <w:pPr>
      <w:keepNext w:val="0"/>
      <w:keepLines w:val="0"/>
      <w:spacing w:before="120"/>
      <w:contextualSpacing/>
      <w:outlineLvl w:val="9"/>
    </w:pPr>
    <w:rPr>
      <w:rFonts w:ascii="Times New Roman" w:eastAsiaTheme="minorHAnsi" w:hAnsi="Times New Roman" w:cs="Times New Roman"/>
      <w:bCs w:val="0"/>
      <w:color w:val="auto"/>
      <w:sz w:val="24"/>
      <w:szCs w:val="28"/>
    </w:rPr>
  </w:style>
  <w:style w:type="paragraph" w:styleId="Nzov">
    <w:name w:val="Title"/>
    <w:basedOn w:val="Nadpis2"/>
    <w:link w:val="NzovChar"/>
    <w:uiPriority w:val="10"/>
    <w:qFormat/>
    <w:rsid w:val="00C30F41"/>
    <w:pPr>
      <w:keepNext w:val="0"/>
      <w:keepLines w:val="0"/>
      <w:spacing w:before="120"/>
      <w:contextualSpacing/>
      <w:jc w:val="center"/>
    </w:pPr>
    <w:rPr>
      <w:rFonts w:ascii="Arial" w:eastAsiaTheme="minorHAnsi" w:hAnsi="Arial" w:cs="Times New Roman"/>
      <w:color w:val="auto"/>
      <w:sz w:val="40"/>
      <w:szCs w:val="40"/>
    </w:rPr>
  </w:style>
  <w:style w:type="character" w:customStyle="1" w:styleId="NzovChar">
    <w:name w:val="Názov Char"/>
    <w:basedOn w:val="Predvolenpsmoodseku"/>
    <w:link w:val="Nzov"/>
    <w:uiPriority w:val="10"/>
    <w:rsid w:val="00C30F41"/>
    <w:rPr>
      <w:rFonts w:ascii="Arial" w:hAnsi="Arial" w:cs="Times New Roman"/>
      <w:b/>
      <w:bCs/>
      <w:sz w:val="40"/>
      <w:szCs w:val="40"/>
      <w:lang w:eastAsia="sk-SK"/>
    </w:rPr>
  </w:style>
  <w:style w:type="paragraph" w:customStyle="1" w:styleId="NzevprvkuSK">
    <w:name w:val="Název prvku_SK"/>
    <w:basedOn w:val="Nzov"/>
    <w:next w:val="Normlnvtabulce1"/>
    <w:rsid w:val="00C30F41"/>
    <w:pPr>
      <w:jc w:val="right"/>
      <w:outlineLvl w:val="9"/>
    </w:pPr>
    <w:rPr>
      <w:rFonts w:ascii="Times New Roman" w:hAnsi="Times New Roman"/>
      <w:b w:val="0"/>
      <w:bCs w:val="0"/>
      <w:sz w:val="24"/>
    </w:rPr>
  </w:style>
  <w:style w:type="paragraph" w:customStyle="1" w:styleId="NzevprvkuENG">
    <w:name w:val="Název prvku_ENG"/>
    <w:basedOn w:val="Nzov"/>
    <w:next w:val="Normlnvtabulce1"/>
    <w:rsid w:val="00C30F41"/>
    <w:pPr>
      <w:jc w:val="right"/>
      <w:outlineLvl w:val="9"/>
    </w:pPr>
    <w:rPr>
      <w:rFonts w:ascii="Times New Roman" w:hAnsi="Times New Roman"/>
      <w:bCs w:val="0"/>
      <w:i/>
      <w:sz w:val="24"/>
      <w:lang w:val="en-GB"/>
    </w:rPr>
  </w:style>
  <w:style w:type="paragraph" w:customStyle="1" w:styleId="Nzevprvkuobrzek">
    <w:name w:val="Název prvku_obrázek"/>
    <w:basedOn w:val="Nzov"/>
    <w:next w:val="Normlnvtabulce1"/>
    <w:rsid w:val="00C30F41"/>
    <w:pPr>
      <w:outlineLvl w:val="9"/>
    </w:pPr>
    <w:rPr>
      <w:rFonts w:ascii="Times New Roman" w:hAnsi="Times New Roman"/>
      <w:sz w:val="24"/>
    </w:rPr>
  </w:style>
  <w:style w:type="paragraph" w:customStyle="1" w:styleId="Normlnvtabulce2">
    <w:name w:val="Normální_v tabulce_2"/>
    <w:basedOn w:val="Normlny"/>
    <w:rsid w:val="00C30F41"/>
    <w:rPr>
      <w:lang w:eastAsia="cs-CZ"/>
    </w:rPr>
  </w:style>
  <w:style w:type="paragraph" w:customStyle="1" w:styleId="Odrky">
    <w:name w:val="Odrážky"/>
    <w:basedOn w:val="Normlny"/>
    <w:rsid w:val="00C30F41"/>
    <w:pPr>
      <w:numPr>
        <w:numId w:val="4"/>
      </w:numPr>
    </w:pPr>
    <w:rPr>
      <w:lang w:eastAsia="cs-CZ"/>
    </w:rPr>
  </w:style>
  <w:style w:type="paragraph" w:customStyle="1" w:styleId="Odrkyslovanie">
    <w:name w:val="Odrážky_číslovanie"/>
    <w:basedOn w:val="Normlny"/>
    <w:rsid w:val="00C30F41"/>
    <w:pPr>
      <w:numPr>
        <w:numId w:val="5"/>
      </w:numPr>
    </w:pPr>
    <w:rPr>
      <w:lang w:eastAsia="cs-CZ"/>
    </w:rPr>
  </w:style>
  <w:style w:type="paragraph" w:styleId="Zarkazkladnhotextu2">
    <w:name w:val="Body Text Indent 2"/>
    <w:basedOn w:val="Normlny"/>
    <w:link w:val="Zarkazkladnhotextu2Char"/>
    <w:semiHidden/>
    <w:rsid w:val="00C30F41"/>
    <w:pPr>
      <w:ind w:left="357"/>
    </w:pPr>
    <w:rPr>
      <w:i/>
      <w:iCs/>
      <w:lang w:eastAsia="cs-CZ"/>
    </w:rPr>
  </w:style>
  <w:style w:type="character" w:customStyle="1" w:styleId="Zarkazkladnhotextu2Char">
    <w:name w:val="Zarážka základného textu 2 Char"/>
    <w:basedOn w:val="Predvolenpsmoodseku"/>
    <w:link w:val="Zarkazkladnhotextu2"/>
    <w:semiHidden/>
    <w:rsid w:val="00C30F41"/>
    <w:rPr>
      <w:rFonts w:ascii="Times New Roman" w:eastAsia="Times New Roman" w:hAnsi="Times New Roman" w:cs="Times New Roman"/>
      <w:i/>
      <w:iCs/>
      <w:sz w:val="24"/>
      <w:szCs w:val="24"/>
      <w:lang w:eastAsia="cs-CZ"/>
    </w:rPr>
  </w:style>
  <w:style w:type="paragraph" w:styleId="Zkladntext">
    <w:name w:val="Body Text"/>
    <w:basedOn w:val="Normlny"/>
    <w:link w:val="ZkladntextChar"/>
    <w:rsid w:val="00C30F41"/>
    <w:pPr>
      <w:shd w:val="clear" w:color="auto" w:fill="E6E6E6"/>
    </w:pPr>
    <w:rPr>
      <w:i/>
      <w:iCs/>
      <w:sz w:val="20"/>
      <w:lang w:eastAsia="cs-CZ"/>
    </w:rPr>
  </w:style>
  <w:style w:type="character" w:customStyle="1" w:styleId="ZkladntextChar">
    <w:name w:val="Základný text Char"/>
    <w:basedOn w:val="Predvolenpsmoodseku"/>
    <w:link w:val="Zkladntext"/>
    <w:rsid w:val="00C30F41"/>
    <w:rPr>
      <w:rFonts w:ascii="Times New Roman" w:eastAsia="Times New Roman" w:hAnsi="Times New Roman" w:cs="Times New Roman"/>
      <w:i/>
      <w:iCs/>
      <w:sz w:val="20"/>
      <w:szCs w:val="24"/>
      <w:shd w:val="clear" w:color="auto" w:fill="E6E6E6"/>
      <w:lang w:eastAsia="cs-CZ"/>
    </w:rPr>
  </w:style>
  <w:style w:type="paragraph" w:customStyle="1" w:styleId="Styl1">
    <w:name w:val="Styl1"/>
    <w:basedOn w:val="Normlny"/>
    <w:rsid w:val="00C30F41"/>
    <w:pPr>
      <w:numPr>
        <w:ilvl w:val="1"/>
        <w:numId w:val="6"/>
      </w:numPr>
    </w:pPr>
    <w:rPr>
      <w:lang w:eastAsia="cs-CZ"/>
    </w:rPr>
  </w:style>
  <w:style w:type="paragraph" w:styleId="Textpoznmkypodiarou">
    <w:name w:val="footnote text"/>
    <w:aliases w:val="Text poznámky pod čiarou 007,_Poznámka pod čiarou"/>
    <w:basedOn w:val="Normlny"/>
    <w:link w:val="TextpoznmkypodiarouChar"/>
    <w:uiPriority w:val="99"/>
    <w:rsid w:val="00C30F4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30F41"/>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C30F41"/>
    <w:rPr>
      <w:vertAlign w:val="superscript"/>
    </w:rPr>
  </w:style>
  <w:style w:type="paragraph" w:styleId="Zkladntext2">
    <w:name w:val="Body Text 2"/>
    <w:basedOn w:val="Normlny"/>
    <w:link w:val="Zkladntext2Char"/>
    <w:semiHidden/>
    <w:rsid w:val="00C30F41"/>
    <w:rPr>
      <w:color w:val="FF0000"/>
      <w:lang w:eastAsia="cs-CZ"/>
    </w:rPr>
  </w:style>
  <w:style w:type="character" w:customStyle="1" w:styleId="Zkladntext2Char">
    <w:name w:val="Základný text 2 Char"/>
    <w:basedOn w:val="Predvolenpsmoodseku"/>
    <w:link w:val="Zkladntext2"/>
    <w:semiHidden/>
    <w:rsid w:val="00C30F41"/>
    <w:rPr>
      <w:rFonts w:ascii="Times New Roman" w:eastAsia="Times New Roman" w:hAnsi="Times New Roman" w:cs="Times New Roman"/>
      <w:color w:val="FF0000"/>
      <w:sz w:val="24"/>
      <w:szCs w:val="24"/>
      <w:lang w:eastAsia="cs-CZ"/>
    </w:rPr>
  </w:style>
  <w:style w:type="paragraph" w:styleId="Obsah9">
    <w:name w:val="toc 9"/>
    <w:basedOn w:val="Normlny"/>
    <w:next w:val="Normlny"/>
    <w:autoRedefine/>
    <w:uiPriority w:val="39"/>
    <w:rsid w:val="00C30F41"/>
    <w:pPr>
      <w:ind w:left="1920"/>
    </w:pPr>
    <w:rPr>
      <w:lang w:eastAsia="cs-CZ"/>
    </w:rPr>
  </w:style>
  <w:style w:type="paragraph" w:styleId="Obsah4">
    <w:name w:val="toc 4"/>
    <w:basedOn w:val="Normlny"/>
    <w:next w:val="Normlny"/>
    <w:autoRedefine/>
    <w:uiPriority w:val="39"/>
    <w:rsid w:val="00C30F41"/>
    <w:pPr>
      <w:tabs>
        <w:tab w:val="right" w:leader="dot" w:pos="9061"/>
      </w:tabs>
      <w:ind w:left="2269" w:hanging="851"/>
      <w:jc w:val="left"/>
    </w:pPr>
    <w:rPr>
      <w:noProof/>
      <w:lang w:eastAsia="cs-CZ"/>
    </w:rPr>
  </w:style>
  <w:style w:type="paragraph" w:styleId="Obsah5">
    <w:name w:val="toc 5"/>
    <w:basedOn w:val="Normlny"/>
    <w:next w:val="Normlny"/>
    <w:autoRedefine/>
    <w:uiPriority w:val="39"/>
    <w:rsid w:val="00C30F41"/>
    <w:pPr>
      <w:ind w:left="960"/>
    </w:pPr>
    <w:rPr>
      <w:lang w:eastAsia="cs-CZ"/>
    </w:rPr>
  </w:style>
  <w:style w:type="paragraph" w:styleId="Obsah6">
    <w:name w:val="toc 6"/>
    <w:basedOn w:val="Normlny"/>
    <w:next w:val="Normlny"/>
    <w:autoRedefine/>
    <w:uiPriority w:val="39"/>
    <w:rsid w:val="00C30F41"/>
    <w:pPr>
      <w:ind w:left="1200"/>
    </w:pPr>
    <w:rPr>
      <w:lang w:eastAsia="cs-CZ"/>
    </w:rPr>
  </w:style>
  <w:style w:type="paragraph" w:styleId="Obsah7">
    <w:name w:val="toc 7"/>
    <w:basedOn w:val="Normlny"/>
    <w:next w:val="Normlny"/>
    <w:autoRedefine/>
    <w:uiPriority w:val="39"/>
    <w:rsid w:val="00C30F41"/>
    <w:pPr>
      <w:ind w:left="1440"/>
    </w:pPr>
    <w:rPr>
      <w:lang w:eastAsia="cs-CZ"/>
    </w:rPr>
  </w:style>
  <w:style w:type="paragraph" w:styleId="Obsah8">
    <w:name w:val="toc 8"/>
    <w:basedOn w:val="Normlny"/>
    <w:next w:val="Normlny"/>
    <w:autoRedefine/>
    <w:uiPriority w:val="39"/>
    <w:rsid w:val="00C30F41"/>
    <w:pPr>
      <w:ind w:left="1680"/>
    </w:pPr>
    <w:rPr>
      <w:lang w:eastAsia="cs-CZ"/>
    </w:rPr>
  </w:style>
  <w:style w:type="paragraph" w:styleId="Zarkazkladnhotextu3">
    <w:name w:val="Body Text Indent 3"/>
    <w:basedOn w:val="Normlny"/>
    <w:link w:val="Zarkazkladnhotextu3Char"/>
    <w:semiHidden/>
    <w:rsid w:val="00C30F41"/>
    <w:pPr>
      <w:ind w:left="360"/>
    </w:pPr>
    <w:rPr>
      <w:lang w:eastAsia="cs-CZ"/>
    </w:rPr>
  </w:style>
  <w:style w:type="character" w:customStyle="1" w:styleId="Zarkazkladnhotextu3Char">
    <w:name w:val="Zarážka základného textu 3 Char"/>
    <w:basedOn w:val="Predvolenpsmoodseku"/>
    <w:link w:val="Zarkazkladnhotextu3"/>
    <w:semiHidden/>
    <w:rsid w:val="00C30F41"/>
    <w:rPr>
      <w:rFonts w:ascii="Times New Roman" w:eastAsia="Times New Roman" w:hAnsi="Times New Roman" w:cs="Times New Roman"/>
      <w:sz w:val="24"/>
      <w:szCs w:val="24"/>
      <w:lang w:eastAsia="cs-CZ"/>
    </w:rPr>
  </w:style>
  <w:style w:type="paragraph" w:styleId="Zkladntext3">
    <w:name w:val="Body Text 3"/>
    <w:basedOn w:val="Normlny"/>
    <w:link w:val="Zkladntext3Char"/>
    <w:semiHidden/>
    <w:rsid w:val="00C30F41"/>
    <w:rPr>
      <w:b/>
      <w:bCs/>
      <w:lang w:eastAsia="cs-CZ"/>
    </w:rPr>
  </w:style>
  <w:style w:type="character" w:customStyle="1" w:styleId="Zkladntext3Char">
    <w:name w:val="Základný text 3 Char"/>
    <w:basedOn w:val="Predvolenpsmoodseku"/>
    <w:link w:val="Zkladntext3"/>
    <w:semiHidden/>
    <w:rsid w:val="00C30F41"/>
    <w:rPr>
      <w:rFonts w:ascii="Times New Roman" w:eastAsia="Times New Roman" w:hAnsi="Times New Roman" w:cs="Times New Roman"/>
      <w:b/>
      <w:bCs/>
      <w:sz w:val="24"/>
      <w:szCs w:val="24"/>
      <w:lang w:eastAsia="cs-CZ"/>
    </w:rPr>
  </w:style>
  <w:style w:type="paragraph" w:styleId="truktradokumentu">
    <w:name w:val="Document Map"/>
    <w:basedOn w:val="Normlny"/>
    <w:link w:val="truktradokumentuChar"/>
    <w:semiHidden/>
    <w:rsid w:val="00C30F41"/>
    <w:pPr>
      <w:shd w:val="clear" w:color="auto" w:fill="000080"/>
    </w:pPr>
    <w:rPr>
      <w:rFonts w:ascii="Tahoma" w:hAnsi="Tahoma" w:cs="Tahoma"/>
      <w:lang w:eastAsia="cs-CZ"/>
    </w:rPr>
  </w:style>
  <w:style w:type="character" w:customStyle="1" w:styleId="truktradokumentuChar">
    <w:name w:val="Štruktúra dokumentu Char"/>
    <w:basedOn w:val="Predvolenpsmoodseku"/>
    <w:link w:val="truktradokumentu"/>
    <w:semiHidden/>
    <w:rsid w:val="00C30F41"/>
    <w:rPr>
      <w:rFonts w:ascii="Tahoma" w:eastAsia="Times New Roman" w:hAnsi="Tahoma" w:cs="Tahoma"/>
      <w:sz w:val="24"/>
      <w:szCs w:val="24"/>
      <w:shd w:val="clear" w:color="auto" w:fill="000080"/>
      <w:lang w:eastAsia="cs-CZ"/>
    </w:rPr>
  </w:style>
  <w:style w:type="character" w:styleId="PouitHypertextovPrepojenie">
    <w:name w:val="FollowedHyperlink"/>
    <w:basedOn w:val="Predvolenpsmoodseku"/>
    <w:uiPriority w:val="99"/>
    <w:semiHidden/>
    <w:rsid w:val="00C30F41"/>
    <w:rPr>
      <w:color w:val="800080"/>
      <w:u w:val="single"/>
    </w:rPr>
  </w:style>
  <w:style w:type="paragraph" w:customStyle="1" w:styleId="odrky0">
    <w:name w:val="odrážky"/>
    <w:basedOn w:val="Normlny"/>
    <w:link w:val="odrkyChar"/>
    <w:qFormat/>
    <w:rsid w:val="00C30F41"/>
    <w:pPr>
      <w:numPr>
        <w:numId w:val="7"/>
      </w:numPr>
      <w:spacing w:after="60" w:line="240" w:lineRule="auto"/>
    </w:pPr>
    <w:rPr>
      <w:rFonts w:ascii="Arial" w:hAnsi="Arial"/>
      <w:szCs w:val="20"/>
      <w:lang w:eastAsia="cs-CZ"/>
    </w:rPr>
  </w:style>
  <w:style w:type="paragraph" w:customStyle="1" w:styleId="StylNadpis1Vlevo0cmPrvndek0cm">
    <w:name w:val="Styl Nadpis 1 + Vlevo:  0 cm První řádek:  0 cm"/>
    <w:basedOn w:val="Nadpis10"/>
    <w:rsid w:val="00C30F41"/>
    <w:pPr>
      <w:keepNext w:val="0"/>
      <w:keepLines w:val="0"/>
      <w:pageBreakBefore/>
      <w:tabs>
        <w:tab w:val="num" w:pos="360"/>
      </w:tabs>
      <w:spacing w:before="240" w:after="60"/>
      <w:jc w:val="left"/>
    </w:pPr>
    <w:rPr>
      <w:rFonts w:ascii="Arial" w:eastAsia="Times New Roman" w:hAnsi="Arial" w:cs="Times New Roman"/>
      <w:caps/>
      <w:color w:val="auto"/>
      <w:sz w:val="32"/>
      <w:szCs w:val="20"/>
      <w:lang w:eastAsia="cs-CZ"/>
    </w:rPr>
  </w:style>
  <w:style w:type="paragraph" w:customStyle="1" w:styleId="Tabuka">
    <w:name w:val="Tabuľka"/>
    <w:basedOn w:val="Popis"/>
    <w:autoRedefine/>
    <w:qFormat/>
    <w:rsid w:val="00C30F41"/>
    <w:pPr>
      <w:keepNext/>
      <w:tabs>
        <w:tab w:val="left" w:pos="1134"/>
      </w:tabs>
      <w:autoSpaceDE w:val="0"/>
      <w:autoSpaceDN w:val="0"/>
      <w:adjustRightInd w:val="0"/>
      <w:spacing w:after="0" w:line="240" w:lineRule="auto"/>
      <w:contextualSpacing/>
    </w:pPr>
    <w:rPr>
      <w:rFonts w:eastAsiaTheme="minorHAnsi"/>
      <w:b w:val="0"/>
      <w:i/>
      <w:lang w:eastAsia="en-US"/>
    </w:rPr>
  </w:style>
  <w:style w:type="character" w:customStyle="1" w:styleId="TabukaChar">
    <w:name w:val="Tabuľka Char"/>
    <w:basedOn w:val="Predvolenpsmoodseku"/>
    <w:rsid w:val="00C30F41"/>
    <w:rPr>
      <w:rFonts w:eastAsia="Calibri" w:cs="HelveticaNeue-Condensed"/>
      <w:i/>
      <w:sz w:val="24"/>
      <w:lang w:val="sk-SK" w:eastAsia="sk-SK" w:bidi="ar-SA"/>
    </w:rPr>
  </w:style>
  <w:style w:type="paragraph" w:styleId="Zoznamsodrkami">
    <w:name w:val="List Bullet"/>
    <w:basedOn w:val="Normlny"/>
    <w:semiHidden/>
    <w:rsid w:val="00C30F41"/>
    <w:pPr>
      <w:numPr>
        <w:numId w:val="8"/>
      </w:numPr>
      <w:spacing w:before="120" w:after="120" w:line="240" w:lineRule="auto"/>
    </w:pPr>
    <w:rPr>
      <w:snapToGrid w:val="0"/>
      <w:lang w:eastAsia="en-GB"/>
    </w:rPr>
  </w:style>
  <w:style w:type="paragraph" w:customStyle="1" w:styleId="Prliminairetitre">
    <w:name w:val="Préliminaire titre"/>
    <w:basedOn w:val="Normlny"/>
    <w:next w:val="Normlny"/>
    <w:rsid w:val="00C30F41"/>
    <w:pPr>
      <w:spacing w:before="360" w:after="360" w:line="240" w:lineRule="auto"/>
      <w:jc w:val="center"/>
    </w:pPr>
    <w:rPr>
      <w:b/>
      <w:snapToGrid w:val="0"/>
      <w:lang w:eastAsia="en-GB"/>
    </w:rPr>
  </w:style>
  <w:style w:type="paragraph" w:customStyle="1" w:styleId="obrazky">
    <w:name w:val="obrazky"/>
    <w:basedOn w:val="Normlny"/>
    <w:autoRedefine/>
    <w:rsid w:val="00C30F41"/>
    <w:pPr>
      <w:spacing w:before="120" w:after="240" w:line="240" w:lineRule="auto"/>
      <w:jc w:val="center"/>
    </w:pPr>
    <w:rPr>
      <w:i/>
      <w:sz w:val="20"/>
      <w:szCs w:val="20"/>
      <w:lang w:eastAsia="cs-CZ"/>
    </w:rPr>
  </w:style>
  <w:style w:type="paragraph" w:customStyle="1" w:styleId="zahlavie">
    <w:name w:val="zahlavie"/>
    <w:basedOn w:val="Normlny"/>
    <w:autoRedefine/>
    <w:rsid w:val="00C30F41"/>
    <w:pPr>
      <w:spacing w:before="120" w:after="120" w:line="240" w:lineRule="auto"/>
    </w:pPr>
    <w:rPr>
      <w:iCs/>
      <w:lang w:eastAsia="cs-CZ"/>
    </w:rPr>
  </w:style>
  <w:style w:type="paragraph" w:customStyle="1" w:styleId="tabulka">
    <w:name w:val="tabulka"/>
    <w:basedOn w:val="Normlny"/>
    <w:next w:val="Normlny"/>
    <w:rsid w:val="00C30F41"/>
    <w:pPr>
      <w:spacing w:before="60" w:after="60" w:line="240" w:lineRule="auto"/>
      <w:jc w:val="right"/>
    </w:pPr>
    <w:rPr>
      <w:i/>
      <w:sz w:val="20"/>
      <w:szCs w:val="20"/>
      <w:lang w:eastAsia="cs-CZ"/>
    </w:rPr>
  </w:style>
  <w:style w:type="character" w:styleId="Jemnzvraznenie">
    <w:name w:val="Subtle Emphasis"/>
    <w:basedOn w:val="Predvolenpsmoodseku"/>
    <w:uiPriority w:val="19"/>
    <w:qFormat/>
    <w:rsid w:val="00C30F41"/>
    <w:rPr>
      <w:i/>
      <w:iCs/>
      <w:color w:val="808080" w:themeColor="text1" w:themeTint="7F"/>
    </w:rPr>
  </w:style>
  <w:style w:type="character" w:styleId="Intenzvnezvraznenie">
    <w:name w:val="Intense Emphasis"/>
    <w:basedOn w:val="Predvolenpsmoodseku"/>
    <w:uiPriority w:val="21"/>
    <w:rsid w:val="00C30F41"/>
    <w:rPr>
      <w:b/>
      <w:bCs/>
      <w:i/>
      <w:iCs/>
      <w:color w:val="4F81BD" w:themeColor="accent1"/>
    </w:rPr>
  </w:style>
  <w:style w:type="paragraph" w:customStyle="1" w:styleId="TEXT">
    <w:name w:val="TEXT"/>
    <w:basedOn w:val="Normlny"/>
    <w:link w:val="TEXTChar"/>
    <w:rsid w:val="00C30F41"/>
    <w:pPr>
      <w:spacing w:before="120"/>
      <w:ind w:firstLine="284"/>
    </w:pPr>
    <w:rPr>
      <w:rFonts w:ascii="Arial" w:hAnsi="Arial"/>
    </w:rPr>
  </w:style>
  <w:style w:type="character" w:customStyle="1" w:styleId="TEXTChar">
    <w:name w:val="TEXT Char"/>
    <w:link w:val="TEXT"/>
    <w:locked/>
    <w:rsid w:val="00C30F41"/>
    <w:rPr>
      <w:rFonts w:ascii="Arial" w:eastAsia="Times New Roman" w:hAnsi="Arial" w:cs="Times New Roman"/>
      <w:sz w:val="24"/>
      <w:szCs w:val="24"/>
      <w:lang w:eastAsia="sk-SK"/>
    </w:rPr>
  </w:style>
  <w:style w:type="character" w:customStyle="1" w:styleId="hps">
    <w:name w:val="hps"/>
    <w:basedOn w:val="Predvolenpsmoodseku"/>
    <w:rsid w:val="00C30F41"/>
  </w:style>
  <w:style w:type="character" w:customStyle="1" w:styleId="longtext">
    <w:name w:val="long_text"/>
    <w:basedOn w:val="Predvolenpsmoodseku"/>
    <w:rsid w:val="00C30F41"/>
  </w:style>
  <w:style w:type="paragraph" w:customStyle="1" w:styleId="znacka">
    <w:name w:val="znacka"/>
    <w:basedOn w:val="Normlny"/>
    <w:uiPriority w:val="99"/>
    <w:rsid w:val="00C30F41"/>
    <w:pPr>
      <w:spacing w:before="120" w:line="240" w:lineRule="auto"/>
      <w:ind w:left="284" w:right="-142"/>
    </w:pPr>
    <w:rPr>
      <w:sz w:val="22"/>
      <w:szCs w:val="20"/>
      <w:lang w:eastAsia="cs-CZ"/>
    </w:rPr>
  </w:style>
  <w:style w:type="paragraph" w:customStyle="1" w:styleId="Vchoz">
    <w:name w:val="Výchozí"/>
    <w:rsid w:val="00C30F41"/>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sk-SK"/>
    </w:rPr>
  </w:style>
  <w:style w:type="paragraph" w:customStyle="1" w:styleId="odsek">
    <w:name w:val="odsek"/>
    <w:link w:val="odsekChar"/>
    <w:rsid w:val="00C30F41"/>
    <w:pPr>
      <w:spacing w:after="0" w:line="360" w:lineRule="auto"/>
      <w:ind w:firstLine="567"/>
      <w:jc w:val="center"/>
    </w:pPr>
    <w:rPr>
      <w:rFonts w:ascii="Times New Roman" w:eastAsia="Times New Roman" w:hAnsi="Times New Roman" w:cs="Times New Roman"/>
      <w:i/>
      <w:szCs w:val="20"/>
      <w:lang w:eastAsia="sk-SK"/>
    </w:rPr>
  </w:style>
  <w:style w:type="character" w:customStyle="1" w:styleId="odsekChar">
    <w:name w:val="odsek Char"/>
    <w:basedOn w:val="Predvolenpsmoodseku"/>
    <w:link w:val="odsek"/>
    <w:rsid w:val="00C30F41"/>
    <w:rPr>
      <w:rFonts w:ascii="Times New Roman" w:eastAsia="Times New Roman" w:hAnsi="Times New Roman" w:cs="Times New Roman"/>
      <w:i/>
      <w:szCs w:val="20"/>
      <w:lang w:eastAsia="sk-SK"/>
    </w:rPr>
  </w:style>
  <w:style w:type="paragraph" w:customStyle="1" w:styleId="nadpis4">
    <w:name w:val="nadpis 4"/>
    <w:basedOn w:val="Nadpis40"/>
    <w:rsid w:val="00C30F41"/>
    <w:pPr>
      <w:keepLines w:val="0"/>
      <w:numPr>
        <w:ilvl w:val="3"/>
        <w:numId w:val="9"/>
      </w:numPr>
      <w:spacing w:before="240" w:after="60" w:line="240" w:lineRule="auto"/>
      <w:jc w:val="left"/>
    </w:pPr>
    <w:rPr>
      <w:rFonts w:ascii="Times New Roman" w:eastAsia="Times New Roman" w:hAnsi="Times New Roman" w:cs="Times New Roman"/>
      <w:iCs w:val="0"/>
      <w:color w:val="auto"/>
      <w:sz w:val="22"/>
      <w:szCs w:val="28"/>
    </w:rPr>
  </w:style>
  <w:style w:type="paragraph" w:customStyle="1" w:styleId="StylNadpis2Prvndek025">
    <w:name w:val="Styl Nadpis 2 + První řádek:  0.25&quot;"/>
    <w:basedOn w:val="Nadpis2"/>
    <w:rsid w:val="00C30F41"/>
    <w:pPr>
      <w:keepNext w:val="0"/>
      <w:keepLines w:val="0"/>
      <w:widowControl w:val="0"/>
      <w:numPr>
        <w:ilvl w:val="1"/>
      </w:numPr>
      <w:tabs>
        <w:tab w:val="num" w:pos="1080"/>
      </w:tabs>
      <w:autoSpaceDE w:val="0"/>
      <w:autoSpaceDN w:val="0"/>
      <w:adjustRightInd w:val="0"/>
      <w:spacing w:before="280" w:after="280" w:line="240" w:lineRule="auto"/>
      <w:contextualSpacing/>
    </w:pPr>
    <w:rPr>
      <w:rFonts w:ascii="Times New Roman" w:eastAsiaTheme="minorHAnsi" w:hAnsi="Times New Roman" w:cs="Times New Roman"/>
      <w:color w:val="auto"/>
      <w:sz w:val="24"/>
      <w:szCs w:val="20"/>
      <w:lang w:val="en-US"/>
    </w:rPr>
  </w:style>
  <w:style w:type="paragraph" w:customStyle="1" w:styleId="Tlotextu">
    <w:name w:val="Tělo textu"/>
    <w:basedOn w:val="Vchoz"/>
    <w:rsid w:val="00C30F41"/>
    <w:pPr>
      <w:spacing w:after="120"/>
    </w:pPr>
    <w:rPr>
      <w:rFonts w:cs="Tahoma"/>
    </w:rPr>
  </w:style>
  <w:style w:type="paragraph" w:customStyle="1" w:styleId="ObrazokJanovcik">
    <w:name w:val="ObrazokJanovcik"/>
    <w:basedOn w:val="Normlny"/>
    <w:link w:val="ObrazokJanovcikChar"/>
    <w:qFormat/>
    <w:rsid w:val="00C30F41"/>
    <w:pPr>
      <w:numPr>
        <w:numId w:val="11"/>
      </w:numPr>
      <w:spacing w:before="120" w:line="240" w:lineRule="auto"/>
      <w:ind w:left="360"/>
      <w:jc w:val="center"/>
    </w:pPr>
    <w:rPr>
      <w:i/>
      <w:lang w:eastAsia="cs-CZ"/>
    </w:rPr>
  </w:style>
  <w:style w:type="character" w:customStyle="1" w:styleId="ObrazokJanovcikChar">
    <w:name w:val="ObrazokJanovcik Char"/>
    <w:basedOn w:val="Predvolenpsmoodseku"/>
    <w:link w:val="ObrazokJanovcik"/>
    <w:rsid w:val="00C30F41"/>
    <w:rPr>
      <w:rFonts w:ascii="Times New Roman" w:eastAsia="Times New Roman" w:hAnsi="Times New Roman" w:cs="Times New Roman"/>
      <w:i/>
      <w:sz w:val="24"/>
      <w:szCs w:val="24"/>
      <w:lang w:eastAsia="cs-CZ"/>
    </w:rPr>
  </w:style>
  <w:style w:type="paragraph" w:customStyle="1" w:styleId="TabJanovcik">
    <w:name w:val="TabJanovcik"/>
    <w:basedOn w:val="Normlny"/>
    <w:link w:val="TabJanovcikChar"/>
    <w:qFormat/>
    <w:rsid w:val="00C30F41"/>
    <w:pPr>
      <w:numPr>
        <w:numId w:val="10"/>
      </w:numPr>
      <w:jc w:val="left"/>
    </w:pPr>
    <w:rPr>
      <w:i/>
      <w:sz w:val="22"/>
      <w:lang w:eastAsia="cs-CZ"/>
    </w:rPr>
  </w:style>
  <w:style w:type="character" w:customStyle="1" w:styleId="TabJanovcikChar">
    <w:name w:val="TabJanovcik Char"/>
    <w:basedOn w:val="Predvolenpsmoodseku"/>
    <w:link w:val="TabJanovcik"/>
    <w:rsid w:val="00C30F41"/>
    <w:rPr>
      <w:rFonts w:ascii="Times New Roman" w:eastAsia="Times New Roman" w:hAnsi="Times New Roman" w:cs="Times New Roman"/>
      <w:i/>
      <w:szCs w:val="24"/>
      <w:lang w:eastAsia="cs-CZ"/>
    </w:rPr>
  </w:style>
  <w:style w:type="paragraph" w:customStyle="1" w:styleId="tl2">
    <w:name w:val="Štýl2"/>
    <w:basedOn w:val="Normlny"/>
    <w:link w:val="tl2Char"/>
    <w:autoRedefine/>
    <w:qFormat/>
    <w:rsid w:val="00C30F41"/>
    <w:pPr>
      <w:spacing w:line="240" w:lineRule="auto"/>
      <w:jc w:val="center"/>
    </w:pPr>
    <w:rPr>
      <w:i/>
      <w:sz w:val="20"/>
      <w:szCs w:val="20"/>
      <w:lang w:eastAsia="cs-CZ"/>
    </w:rPr>
  </w:style>
  <w:style w:type="character" w:customStyle="1" w:styleId="tl2Char">
    <w:name w:val="Štýl2 Char"/>
    <w:basedOn w:val="Predvolenpsmoodseku"/>
    <w:link w:val="tl2"/>
    <w:rsid w:val="00C30F41"/>
    <w:rPr>
      <w:rFonts w:ascii="Times New Roman" w:eastAsia="Times New Roman" w:hAnsi="Times New Roman" w:cs="Times New Roman"/>
      <w:i/>
      <w:sz w:val="20"/>
      <w:szCs w:val="20"/>
      <w:lang w:eastAsia="cs-CZ"/>
    </w:rPr>
  </w:style>
  <w:style w:type="paragraph" w:styleId="Citcia">
    <w:name w:val="Quote"/>
    <w:basedOn w:val="Normlny"/>
    <w:next w:val="Normlny"/>
    <w:link w:val="CitciaChar"/>
    <w:uiPriority w:val="29"/>
    <w:qFormat/>
    <w:rsid w:val="00C30F41"/>
    <w:rPr>
      <w:i/>
      <w:iCs/>
      <w:color w:val="000000" w:themeColor="text1"/>
      <w:lang w:eastAsia="cs-CZ"/>
    </w:rPr>
  </w:style>
  <w:style w:type="character" w:customStyle="1" w:styleId="CitciaChar">
    <w:name w:val="Citácia Char"/>
    <w:basedOn w:val="Predvolenpsmoodseku"/>
    <w:link w:val="Citcia"/>
    <w:uiPriority w:val="29"/>
    <w:rsid w:val="00C30F41"/>
    <w:rPr>
      <w:rFonts w:ascii="Times New Roman" w:eastAsia="Times New Roman" w:hAnsi="Times New Roman" w:cs="Times New Roman"/>
      <w:i/>
      <w:iCs/>
      <w:color w:val="000000" w:themeColor="text1"/>
      <w:sz w:val="24"/>
      <w:szCs w:val="24"/>
      <w:lang w:eastAsia="cs-CZ"/>
    </w:rPr>
  </w:style>
  <w:style w:type="character" w:customStyle="1" w:styleId="apple-converted-space">
    <w:name w:val="apple-converted-space"/>
    <w:basedOn w:val="Predvolenpsmoodseku"/>
    <w:rsid w:val="00C30F41"/>
  </w:style>
  <w:style w:type="character" w:customStyle="1" w:styleId="apple-style-span">
    <w:name w:val="apple-style-span"/>
    <w:basedOn w:val="Predvolenpsmoodseku"/>
    <w:rsid w:val="00C30F41"/>
  </w:style>
  <w:style w:type="paragraph" w:customStyle="1" w:styleId="Zarkazkladnhotextu21">
    <w:name w:val="Zarážka základného textu 21"/>
    <w:basedOn w:val="Normlny"/>
    <w:rsid w:val="00C30F41"/>
    <w:pPr>
      <w:overflowPunct w:val="0"/>
      <w:autoSpaceDE w:val="0"/>
      <w:autoSpaceDN w:val="0"/>
      <w:adjustRightInd w:val="0"/>
      <w:spacing w:line="240" w:lineRule="auto"/>
      <w:ind w:firstLine="360"/>
      <w:jc w:val="left"/>
      <w:textAlignment w:val="baseline"/>
    </w:pPr>
    <w:rPr>
      <w:szCs w:val="20"/>
      <w:lang w:eastAsia="cs-CZ"/>
    </w:rPr>
  </w:style>
  <w:style w:type="paragraph" w:customStyle="1" w:styleId="Zarkazkladnhotextu31">
    <w:name w:val="Zarážka základného textu 31"/>
    <w:basedOn w:val="Normlny"/>
    <w:rsid w:val="00C30F41"/>
    <w:pPr>
      <w:tabs>
        <w:tab w:val="left" w:pos="360"/>
      </w:tabs>
      <w:overflowPunct w:val="0"/>
      <w:autoSpaceDE w:val="0"/>
      <w:autoSpaceDN w:val="0"/>
      <w:adjustRightInd w:val="0"/>
      <w:spacing w:line="240" w:lineRule="auto"/>
      <w:ind w:left="360" w:hanging="360"/>
      <w:textAlignment w:val="baseline"/>
    </w:pPr>
    <w:rPr>
      <w:szCs w:val="20"/>
      <w:lang w:eastAsia="cs-CZ"/>
    </w:rPr>
  </w:style>
  <w:style w:type="character" w:customStyle="1" w:styleId="normal1">
    <w:name w:val="normal1"/>
    <w:basedOn w:val="Predvolenpsmoodseku"/>
    <w:rsid w:val="00C30F41"/>
    <w:rPr>
      <w:rFonts w:ascii="Tahoma" w:hAnsi="Tahoma" w:cs="Tahoma" w:hint="default"/>
      <w:color w:val="000000"/>
      <w:sz w:val="18"/>
      <w:szCs w:val="18"/>
    </w:rPr>
  </w:style>
  <w:style w:type="paragraph" w:customStyle="1" w:styleId="popisobrazku">
    <w:name w:val="popis obrazku"/>
    <w:basedOn w:val="Normlny"/>
    <w:link w:val="popisobrazkuChar"/>
    <w:qFormat/>
    <w:rsid w:val="00C30F41"/>
    <w:pPr>
      <w:spacing w:line="240" w:lineRule="auto"/>
      <w:jc w:val="center"/>
    </w:pPr>
    <w:rPr>
      <w:i/>
      <w:lang w:eastAsia="cs-CZ"/>
    </w:rPr>
  </w:style>
  <w:style w:type="character" w:customStyle="1" w:styleId="popisobrazkuChar">
    <w:name w:val="popis obrazku Char"/>
    <w:basedOn w:val="Predvolenpsmoodseku"/>
    <w:link w:val="popisobrazku"/>
    <w:rsid w:val="00C30F41"/>
    <w:rPr>
      <w:rFonts w:ascii="Times New Roman" w:eastAsia="Times New Roman" w:hAnsi="Times New Roman" w:cs="Times New Roman"/>
      <w:i/>
      <w:sz w:val="24"/>
      <w:szCs w:val="24"/>
      <w:lang w:eastAsia="cs-CZ"/>
    </w:rPr>
  </w:style>
  <w:style w:type="paragraph" w:customStyle="1" w:styleId="popistabulky">
    <w:name w:val="popis tabulky"/>
    <w:basedOn w:val="Normlny"/>
    <w:link w:val="popistabulkyChar"/>
    <w:qFormat/>
    <w:rsid w:val="00C30F41"/>
    <w:pPr>
      <w:spacing w:line="240" w:lineRule="auto"/>
      <w:jc w:val="left"/>
    </w:pPr>
    <w:rPr>
      <w:i/>
      <w:lang w:eastAsia="cs-CZ"/>
    </w:rPr>
  </w:style>
  <w:style w:type="character" w:customStyle="1" w:styleId="popistabulkyChar">
    <w:name w:val="popis tabulky Char"/>
    <w:basedOn w:val="Predvolenpsmoodseku"/>
    <w:link w:val="popistabulky"/>
    <w:rsid w:val="00C30F41"/>
    <w:rPr>
      <w:rFonts w:ascii="Times New Roman" w:eastAsia="Times New Roman" w:hAnsi="Times New Roman" w:cs="Times New Roman"/>
      <w:i/>
      <w:sz w:val="24"/>
      <w:szCs w:val="24"/>
      <w:lang w:eastAsia="cs-CZ"/>
    </w:rPr>
  </w:style>
  <w:style w:type="table" w:customStyle="1" w:styleId="Mriekatabuky1">
    <w:name w:val="Mriežka tabuľky1"/>
    <w:basedOn w:val="Normlnatabuka"/>
    <w:next w:val="Mriekatabuky"/>
    <w:uiPriority w:val="59"/>
    <w:rsid w:val="00C30F41"/>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
    <w:name w:val="Mriežka tabuľky2"/>
    <w:basedOn w:val="Normlnatabuka"/>
    <w:next w:val="Mriekatabuky"/>
    <w:uiPriority w:val="59"/>
    <w:rsid w:val="00C30F41"/>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3">
    <w:name w:val="Mriežka tabuľky3"/>
    <w:basedOn w:val="Normlnatabuka"/>
    <w:next w:val="Mriekatabuky"/>
    <w:uiPriority w:val="59"/>
    <w:rsid w:val="00C30F41"/>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4">
    <w:name w:val="Mriežka tabuľky4"/>
    <w:basedOn w:val="Normlnatabuka"/>
    <w:next w:val="Mriekatabuky"/>
    <w:uiPriority w:val="59"/>
    <w:rsid w:val="00C30F41"/>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
    <w:name w:val="Mriežka tabuľky5"/>
    <w:basedOn w:val="Normlnatabuka"/>
    <w:next w:val="Mriekatabuky"/>
    <w:uiPriority w:val="59"/>
    <w:rsid w:val="00C30F41"/>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6">
    <w:name w:val="Mriežka tabuľky6"/>
    <w:basedOn w:val="Normlnatabuka"/>
    <w:next w:val="Mriekatabuky"/>
    <w:uiPriority w:val="59"/>
    <w:rsid w:val="00C30F41"/>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dpis110">
    <w:name w:val="Nadpis 11"/>
    <w:next w:val="Body"/>
    <w:rsid w:val="00C30F41"/>
    <w:pPr>
      <w:keepNext/>
      <w:spacing w:after="0" w:line="240" w:lineRule="auto"/>
      <w:outlineLvl w:val="0"/>
    </w:pPr>
    <w:rPr>
      <w:rFonts w:ascii="Arial Bold" w:eastAsia="ヒラギノ角ゴ Pro W3" w:hAnsi="Arial Bold" w:cs="Times New Roman"/>
      <w:color w:val="000000"/>
      <w:sz w:val="36"/>
      <w:szCs w:val="20"/>
      <w:lang w:eastAsia="sk-SK"/>
    </w:rPr>
  </w:style>
  <w:style w:type="paragraph" w:customStyle="1" w:styleId="Nadpis21">
    <w:name w:val="Nadpis 21"/>
    <w:next w:val="Body"/>
    <w:rsid w:val="00C30F41"/>
    <w:pPr>
      <w:keepNext/>
      <w:spacing w:after="0" w:line="240" w:lineRule="auto"/>
      <w:outlineLvl w:val="1"/>
    </w:pPr>
    <w:rPr>
      <w:rFonts w:ascii="Arial Bold" w:eastAsia="ヒラギノ角ゴ Pro W3" w:hAnsi="Arial Bold" w:cs="Times New Roman"/>
      <w:color w:val="000000"/>
      <w:sz w:val="24"/>
      <w:szCs w:val="20"/>
      <w:lang w:eastAsia="sk-SK"/>
    </w:rPr>
  </w:style>
  <w:style w:type="paragraph" w:customStyle="1" w:styleId="Nadpis31">
    <w:name w:val="Nadpis 31"/>
    <w:next w:val="Body"/>
    <w:rsid w:val="00C30F41"/>
    <w:pPr>
      <w:keepNext/>
      <w:spacing w:after="0" w:line="240" w:lineRule="auto"/>
      <w:outlineLvl w:val="2"/>
    </w:pPr>
    <w:rPr>
      <w:rFonts w:ascii="Arial Bold" w:eastAsia="ヒラギノ角ゴ Pro W3" w:hAnsi="Arial Bold" w:cs="Times New Roman"/>
      <w:color w:val="000000"/>
      <w:sz w:val="18"/>
      <w:szCs w:val="20"/>
      <w:lang w:eastAsia="sk-SK"/>
    </w:rPr>
  </w:style>
  <w:style w:type="paragraph" w:customStyle="1" w:styleId="Body">
    <w:name w:val="Body"/>
    <w:rsid w:val="00C30F41"/>
    <w:pPr>
      <w:spacing w:after="0" w:line="288" w:lineRule="auto"/>
      <w:jc w:val="both"/>
    </w:pPr>
    <w:rPr>
      <w:rFonts w:ascii="Arial" w:eastAsia="ヒラギノ角ゴ Pro W3" w:hAnsi="Arial" w:cs="Times New Roman"/>
      <w:color w:val="000000"/>
      <w:sz w:val="18"/>
      <w:szCs w:val="20"/>
      <w:lang w:eastAsia="sk-SK"/>
    </w:rPr>
  </w:style>
  <w:style w:type="paragraph" w:customStyle="1" w:styleId="BodyBullet">
    <w:name w:val="Body Bullet"/>
    <w:rsid w:val="00C30F41"/>
    <w:pPr>
      <w:spacing w:after="0" w:line="288" w:lineRule="auto"/>
      <w:jc w:val="both"/>
    </w:pPr>
    <w:rPr>
      <w:rFonts w:ascii="Arial" w:eastAsia="ヒラギノ角ゴ Pro W3" w:hAnsi="Arial" w:cs="Times New Roman"/>
      <w:color w:val="000000"/>
      <w:sz w:val="18"/>
      <w:szCs w:val="20"/>
      <w:lang w:eastAsia="sk-SK"/>
    </w:rPr>
  </w:style>
  <w:style w:type="numbering" w:customStyle="1" w:styleId="Bullet">
    <w:name w:val="Bullet"/>
    <w:rsid w:val="00C30F41"/>
    <w:pPr>
      <w:numPr>
        <w:numId w:val="12"/>
      </w:numPr>
    </w:pPr>
  </w:style>
  <w:style w:type="numbering" w:customStyle="1" w:styleId="Bullet1">
    <w:name w:val="Bullet1"/>
    <w:rsid w:val="00C30F41"/>
    <w:pPr>
      <w:numPr>
        <w:numId w:val="3"/>
      </w:numPr>
    </w:pPr>
  </w:style>
  <w:style w:type="paragraph" w:customStyle="1" w:styleId="Obrzokpopis">
    <w:name w:val="Obrázok popis"/>
    <w:basedOn w:val="Normlny"/>
    <w:link w:val="ObrzokpopisChar"/>
    <w:autoRedefine/>
    <w:rsid w:val="00C30F41"/>
    <w:pPr>
      <w:ind w:left="714"/>
      <w:contextualSpacing/>
      <w:jc w:val="center"/>
    </w:pPr>
    <w:rPr>
      <w:rFonts w:eastAsia="Calibri"/>
      <w:i/>
      <w:sz w:val="20"/>
      <w:szCs w:val="20"/>
      <w:lang w:eastAsia="en-GB"/>
    </w:rPr>
  </w:style>
  <w:style w:type="character" w:customStyle="1" w:styleId="ObrzokpopisChar">
    <w:name w:val="Obrázok popis Char"/>
    <w:basedOn w:val="Predvolenpsmoodseku"/>
    <w:link w:val="Obrzokpopis"/>
    <w:rsid w:val="00C30F41"/>
    <w:rPr>
      <w:rFonts w:ascii="Times New Roman" w:eastAsia="Calibri" w:hAnsi="Times New Roman" w:cs="Times New Roman"/>
      <w:i/>
      <w:sz w:val="20"/>
      <w:szCs w:val="20"/>
      <w:lang w:eastAsia="en-GB"/>
    </w:rPr>
  </w:style>
  <w:style w:type="character" w:customStyle="1" w:styleId="odrkyChar">
    <w:name w:val="odrážky Char"/>
    <w:basedOn w:val="Predvolenpsmoodseku"/>
    <w:link w:val="odrky0"/>
    <w:rsid w:val="00C30F41"/>
    <w:rPr>
      <w:rFonts w:ascii="Arial" w:eastAsia="Times New Roman" w:hAnsi="Arial" w:cs="Times New Roman"/>
      <w:sz w:val="24"/>
      <w:szCs w:val="20"/>
      <w:lang w:eastAsia="cs-CZ"/>
    </w:rPr>
  </w:style>
  <w:style w:type="paragraph" w:customStyle="1" w:styleId="Nadpis1bezcisla">
    <w:name w:val="Nadpis 1 bez cisla"/>
    <w:basedOn w:val="Nadpis10"/>
    <w:autoRedefine/>
    <w:rsid w:val="00C30F41"/>
    <w:pPr>
      <w:keepLines w:val="0"/>
      <w:pageBreakBefore/>
      <w:numPr>
        <w:numId w:val="13"/>
      </w:numPr>
      <w:spacing w:before="240" w:after="480"/>
      <w:jc w:val="left"/>
    </w:pPr>
    <w:rPr>
      <w:rFonts w:ascii="Arial" w:eastAsia="Times New Roman" w:hAnsi="Arial" w:cs="Times New Roman"/>
      <w:b w:val="0"/>
      <w:bCs w:val="0"/>
      <w:caps/>
      <w:color w:val="auto"/>
      <w:kern w:val="32"/>
      <w:sz w:val="32"/>
      <w:szCs w:val="20"/>
    </w:rPr>
  </w:style>
  <w:style w:type="paragraph" w:customStyle="1" w:styleId="obsah20">
    <w:name w:val="obsah 2"/>
    <w:basedOn w:val="Obsah1"/>
    <w:autoRedefine/>
    <w:qFormat/>
    <w:rsid w:val="00C30F41"/>
    <w:pPr>
      <w:tabs>
        <w:tab w:val="left" w:pos="709"/>
        <w:tab w:val="right" w:leader="dot" w:pos="8505"/>
        <w:tab w:val="right" w:leader="dot" w:pos="8776"/>
      </w:tabs>
      <w:ind w:left="709" w:hanging="425"/>
      <w:jc w:val="left"/>
    </w:pPr>
    <w:rPr>
      <w:caps/>
      <w:szCs w:val="20"/>
    </w:rPr>
  </w:style>
  <w:style w:type="character" w:styleId="Zvraznenie">
    <w:name w:val="Emphasis"/>
    <w:basedOn w:val="Predvolenpsmoodseku"/>
    <w:uiPriority w:val="20"/>
    <w:qFormat/>
    <w:rsid w:val="00C30F41"/>
    <w:rPr>
      <w:i/>
      <w:iCs/>
    </w:rPr>
  </w:style>
  <w:style w:type="paragraph" w:customStyle="1" w:styleId="Odsekzoznamu1">
    <w:name w:val="Odsek zoznamu1"/>
    <w:basedOn w:val="Normlny"/>
    <w:link w:val="ListParagraphChar"/>
    <w:uiPriority w:val="99"/>
    <w:rsid w:val="00C30F41"/>
    <w:pPr>
      <w:ind w:left="720"/>
    </w:pPr>
    <w:rPr>
      <w:rFonts w:eastAsia="Lucida Sans Unicode"/>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
    <w:basedOn w:val="Predvolenpsmoodseku"/>
    <w:link w:val="Normlnywebov"/>
    <w:rsid w:val="00C30F41"/>
    <w:rPr>
      <w:rFonts w:ascii="Times New Roman" w:eastAsia="Times New Roman" w:hAnsi="Times New Roman" w:cs="Times New Roman"/>
      <w:sz w:val="24"/>
      <w:szCs w:val="24"/>
      <w:lang w:eastAsia="sk-SK"/>
    </w:rPr>
  </w:style>
  <w:style w:type="paragraph" w:customStyle="1" w:styleId="DokumentenTitel">
    <w:name w:val="Dokumenten Titel"/>
    <w:next w:val="DokumentenTitelunterschrift"/>
    <w:rsid w:val="00C30F41"/>
    <w:pPr>
      <w:spacing w:after="0" w:line="240" w:lineRule="auto"/>
    </w:pPr>
    <w:rPr>
      <w:rFonts w:ascii="Arial" w:eastAsia="Times New Roman" w:hAnsi="Arial" w:cs="Times New Roman"/>
      <w:b/>
      <w:caps/>
      <w:color w:val="68AA24"/>
      <w:sz w:val="36"/>
      <w:szCs w:val="20"/>
      <w:lang w:val="de-DE" w:eastAsia="de-DE"/>
    </w:rPr>
  </w:style>
  <w:style w:type="paragraph" w:customStyle="1" w:styleId="DokumentenTitelunterschrift">
    <w:name w:val="Dokumenten Titelunterschrift"/>
    <w:rsid w:val="00C30F41"/>
    <w:pPr>
      <w:spacing w:after="0" w:line="240" w:lineRule="auto"/>
    </w:pPr>
    <w:rPr>
      <w:rFonts w:ascii="Arial" w:eastAsia="Times New Roman" w:hAnsi="Arial" w:cs="Times New Roman"/>
      <w:b/>
      <w:color w:val="4D4D4D"/>
      <w:sz w:val="24"/>
      <w:szCs w:val="20"/>
      <w:lang w:val="de-DE" w:eastAsia="de-DE"/>
    </w:rPr>
  </w:style>
  <w:style w:type="paragraph" w:customStyle="1" w:styleId="obrazok-objekt">
    <w:name w:val="obrazok - objekt"/>
    <w:basedOn w:val="Normlny"/>
    <w:next w:val="Obrzokpopis"/>
    <w:link w:val="obrazok-objektChar"/>
    <w:rsid w:val="00C30F41"/>
    <w:pPr>
      <w:keepNext/>
      <w:jc w:val="center"/>
    </w:pPr>
    <w:rPr>
      <w:noProof/>
      <w:szCs w:val="20"/>
    </w:rPr>
  </w:style>
  <w:style w:type="character" w:customStyle="1" w:styleId="obrazok-objektChar">
    <w:name w:val="obrazok - objekt Char"/>
    <w:basedOn w:val="Predvolenpsmoodseku"/>
    <w:link w:val="obrazok-objekt"/>
    <w:rsid w:val="00C30F41"/>
    <w:rPr>
      <w:rFonts w:ascii="Times New Roman" w:eastAsia="Times New Roman" w:hAnsi="Times New Roman" w:cs="Times New Roman"/>
      <w:noProof/>
      <w:sz w:val="24"/>
      <w:szCs w:val="20"/>
      <w:lang w:eastAsia="sk-SK"/>
    </w:rPr>
  </w:style>
  <w:style w:type="paragraph" w:customStyle="1" w:styleId="Obrzok">
    <w:name w:val="Obrázok"/>
    <w:basedOn w:val="Normlny"/>
    <w:link w:val="ObrzokChar"/>
    <w:autoRedefine/>
    <w:rsid w:val="00C30F41"/>
    <w:pPr>
      <w:keepNext/>
      <w:spacing w:line="240" w:lineRule="auto"/>
      <w:contextualSpacing/>
      <w:jc w:val="center"/>
    </w:pPr>
    <w:rPr>
      <w:rFonts w:eastAsia="Calibri"/>
      <w:i/>
      <w:sz w:val="20"/>
      <w:szCs w:val="20"/>
    </w:rPr>
  </w:style>
  <w:style w:type="character" w:customStyle="1" w:styleId="ObrzokChar">
    <w:name w:val="Obrázok Char"/>
    <w:basedOn w:val="Predvolenpsmoodseku"/>
    <w:link w:val="Obrzok"/>
    <w:rsid w:val="00C30F41"/>
    <w:rPr>
      <w:rFonts w:ascii="Times New Roman" w:eastAsia="Calibri" w:hAnsi="Times New Roman" w:cs="Times New Roman"/>
      <w:i/>
      <w:sz w:val="20"/>
      <w:szCs w:val="20"/>
      <w:lang w:eastAsia="sk-SK"/>
    </w:rPr>
  </w:style>
  <w:style w:type="paragraph" w:styleId="Bezriadkovania">
    <w:name w:val="No Spacing"/>
    <w:link w:val="BezriadkovaniaChar"/>
    <w:qFormat/>
    <w:rsid w:val="00C30F41"/>
    <w:pPr>
      <w:spacing w:after="0" w:line="240" w:lineRule="auto"/>
    </w:pPr>
    <w:rPr>
      <w:rFonts w:ascii="Calibri" w:eastAsia="Times New Roman" w:hAnsi="Calibri" w:cs="Times New Roman"/>
    </w:rPr>
  </w:style>
  <w:style w:type="character" w:customStyle="1" w:styleId="BezriadkovaniaChar">
    <w:name w:val="Bez riadkovania Char"/>
    <w:link w:val="Bezriadkovania"/>
    <w:uiPriority w:val="1"/>
    <w:locked/>
    <w:rsid w:val="00C30F41"/>
    <w:rPr>
      <w:rFonts w:ascii="Calibri" w:eastAsia="Times New Roman" w:hAnsi="Calibri" w:cs="Times New Roman"/>
    </w:rPr>
  </w:style>
  <w:style w:type="paragraph" w:customStyle="1" w:styleId="Citace1">
    <w:name w:val="Citace1"/>
    <w:basedOn w:val="Normlny"/>
    <w:next w:val="Normlny"/>
    <w:rsid w:val="00C30F41"/>
    <w:pPr>
      <w:spacing w:after="200"/>
      <w:ind w:left="1440"/>
      <w:jc w:val="left"/>
    </w:pPr>
    <w:rPr>
      <w:rFonts w:ascii="Calibri" w:eastAsia="Calibri" w:hAnsi="Calibri"/>
      <w:i/>
      <w:iCs/>
      <w:color w:val="000000"/>
      <w:sz w:val="20"/>
      <w:szCs w:val="22"/>
      <w:lang w:val="en-US" w:eastAsia="en-US"/>
    </w:rPr>
  </w:style>
  <w:style w:type="character" w:customStyle="1" w:styleId="FontStyle97">
    <w:name w:val="Font Style97"/>
    <w:uiPriority w:val="99"/>
    <w:rsid w:val="00C30F41"/>
    <w:rPr>
      <w:rFonts w:ascii="Times New Roman" w:hAnsi="Times New Roman"/>
      <w:b/>
      <w:sz w:val="22"/>
    </w:rPr>
  </w:style>
  <w:style w:type="character" w:customStyle="1" w:styleId="ListParagraphChar">
    <w:name w:val="List Paragraph Char"/>
    <w:link w:val="Odsekzoznamu1"/>
    <w:uiPriority w:val="99"/>
    <w:locked/>
    <w:rsid w:val="00C30F41"/>
    <w:rPr>
      <w:rFonts w:ascii="Times New Roman" w:eastAsia="Lucida Sans Unicode" w:hAnsi="Times New Roman" w:cs="Times New Roman"/>
      <w:sz w:val="24"/>
      <w:szCs w:val="24"/>
      <w:lang w:eastAsia="sk-SK"/>
    </w:rPr>
  </w:style>
  <w:style w:type="paragraph" w:customStyle="1" w:styleId="Style6">
    <w:name w:val="Style6"/>
    <w:basedOn w:val="Normlny"/>
    <w:uiPriority w:val="99"/>
    <w:rsid w:val="00C30F41"/>
    <w:pPr>
      <w:widowControl w:val="0"/>
      <w:autoSpaceDE w:val="0"/>
      <w:autoSpaceDN w:val="0"/>
      <w:adjustRightInd w:val="0"/>
      <w:spacing w:line="240" w:lineRule="auto"/>
      <w:jc w:val="left"/>
    </w:pPr>
    <w:rPr>
      <w:rFonts w:ascii="Calibri" w:hAnsi="Calibri"/>
    </w:rPr>
  </w:style>
  <w:style w:type="paragraph" w:customStyle="1" w:styleId="Style10">
    <w:name w:val="Style10"/>
    <w:basedOn w:val="Normlny"/>
    <w:uiPriority w:val="99"/>
    <w:rsid w:val="00C30F41"/>
    <w:pPr>
      <w:widowControl w:val="0"/>
      <w:autoSpaceDE w:val="0"/>
      <w:autoSpaceDN w:val="0"/>
      <w:adjustRightInd w:val="0"/>
      <w:spacing w:line="245" w:lineRule="exact"/>
      <w:jc w:val="left"/>
    </w:pPr>
    <w:rPr>
      <w:rFonts w:ascii="Calibri" w:hAnsi="Calibri"/>
    </w:rPr>
  </w:style>
  <w:style w:type="paragraph" w:customStyle="1" w:styleId="Style18">
    <w:name w:val="Style18"/>
    <w:basedOn w:val="Normlny"/>
    <w:uiPriority w:val="99"/>
    <w:rsid w:val="00C30F41"/>
    <w:pPr>
      <w:widowControl w:val="0"/>
      <w:autoSpaceDE w:val="0"/>
      <w:autoSpaceDN w:val="0"/>
      <w:adjustRightInd w:val="0"/>
      <w:spacing w:line="365" w:lineRule="exact"/>
      <w:jc w:val="left"/>
    </w:pPr>
    <w:rPr>
      <w:rFonts w:ascii="Calibri" w:hAnsi="Calibri"/>
    </w:rPr>
  </w:style>
  <w:style w:type="paragraph" w:customStyle="1" w:styleId="Style47">
    <w:name w:val="Style47"/>
    <w:basedOn w:val="Normlny"/>
    <w:uiPriority w:val="99"/>
    <w:rsid w:val="00C30F41"/>
    <w:pPr>
      <w:widowControl w:val="0"/>
      <w:autoSpaceDE w:val="0"/>
      <w:autoSpaceDN w:val="0"/>
      <w:adjustRightInd w:val="0"/>
      <w:spacing w:line="245" w:lineRule="exact"/>
      <w:jc w:val="left"/>
    </w:pPr>
    <w:rPr>
      <w:rFonts w:ascii="Calibri" w:hAnsi="Calibri"/>
    </w:rPr>
  </w:style>
  <w:style w:type="character" w:customStyle="1" w:styleId="FontStyle57">
    <w:name w:val="Font Style57"/>
    <w:uiPriority w:val="99"/>
    <w:rsid w:val="00C30F41"/>
    <w:rPr>
      <w:rFonts w:ascii="Calibri" w:hAnsi="Calibri"/>
      <w:b/>
      <w:sz w:val="18"/>
    </w:rPr>
  </w:style>
  <w:style w:type="character" w:customStyle="1" w:styleId="FontStyle59">
    <w:name w:val="Font Style59"/>
    <w:uiPriority w:val="99"/>
    <w:rsid w:val="00C30F41"/>
    <w:rPr>
      <w:rFonts w:ascii="Calibri" w:hAnsi="Calibri"/>
      <w:sz w:val="18"/>
    </w:rPr>
  </w:style>
  <w:style w:type="paragraph" w:customStyle="1" w:styleId="light">
    <w:name w:val="light"/>
    <w:basedOn w:val="Normlny"/>
    <w:rsid w:val="00C30F41"/>
    <w:pPr>
      <w:spacing w:before="100" w:beforeAutospacing="1" w:after="100" w:afterAutospacing="1" w:line="240" w:lineRule="auto"/>
      <w:jc w:val="left"/>
    </w:pPr>
  </w:style>
  <w:style w:type="paragraph" w:customStyle="1" w:styleId="bodytext">
    <w:name w:val="bodytext"/>
    <w:basedOn w:val="Normlny"/>
    <w:rsid w:val="00C30F41"/>
    <w:pPr>
      <w:spacing w:before="100" w:beforeAutospacing="1" w:after="100" w:afterAutospacing="1" w:line="240" w:lineRule="auto"/>
      <w:jc w:val="left"/>
    </w:pPr>
  </w:style>
  <w:style w:type="table" w:customStyle="1" w:styleId="Mriekatabuky7">
    <w:name w:val="Mriežka tabuľky7"/>
    <w:basedOn w:val="Normlnatabuka"/>
    <w:next w:val="Mriekatabuky"/>
    <w:uiPriority w:val="59"/>
    <w:rsid w:val="00C30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C30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30F41"/>
  </w:style>
  <w:style w:type="numbering" w:customStyle="1" w:styleId="Bezzoznamu2">
    <w:name w:val="Bez zoznamu2"/>
    <w:next w:val="Bezzoznamu"/>
    <w:uiPriority w:val="99"/>
    <w:semiHidden/>
    <w:unhideWhenUsed/>
    <w:rsid w:val="00C30F41"/>
  </w:style>
  <w:style w:type="character" w:customStyle="1" w:styleId="moretext">
    <w:name w:val="more_text"/>
    <w:basedOn w:val="Predvolenpsmoodseku"/>
    <w:rsid w:val="00C30F41"/>
  </w:style>
  <w:style w:type="table" w:customStyle="1" w:styleId="Mriekatabuky9">
    <w:name w:val="Mriežka tabuľky9"/>
    <w:basedOn w:val="Normlnatabuka"/>
    <w:next w:val="Mriekatabuky"/>
    <w:uiPriority w:val="59"/>
    <w:rsid w:val="00C30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rsid w:val="00C30F41"/>
  </w:style>
  <w:style w:type="table" w:styleId="Tabukaakozoznam3">
    <w:name w:val="Table List 3"/>
    <w:basedOn w:val="Normlnatabuka"/>
    <w:semiHidden/>
    <w:unhideWhenUsed/>
    <w:rsid w:val="00C30F41"/>
    <w:rPr>
      <w:rFonts w:ascii="Times New Roman" w:eastAsia="Times New Roman" w:hAnsi="Times New Roman" w:cs="Times New Roman"/>
      <w:sz w:val="20"/>
      <w:szCs w:val="20"/>
      <w:lang w:eastAsia="sk-SK"/>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at3">
    <w:name w:val="a__t3"/>
    <w:basedOn w:val="Predvolenpsmoodseku"/>
    <w:rsid w:val="00C30F41"/>
  </w:style>
  <w:style w:type="character" w:customStyle="1" w:styleId="at5">
    <w:name w:val="a__t5"/>
    <w:basedOn w:val="Predvolenpsmoodseku"/>
    <w:rsid w:val="00C30F41"/>
  </w:style>
  <w:style w:type="paragraph" w:customStyle="1" w:styleId="Obsahtabuky">
    <w:name w:val="Obsah tabuľky"/>
    <w:basedOn w:val="Normlny"/>
    <w:rsid w:val="00B5645A"/>
    <w:pPr>
      <w:suppressLineNumbers/>
      <w:tabs>
        <w:tab w:val="left" w:pos="708"/>
      </w:tabs>
      <w:suppressAutoHyphens/>
      <w:spacing w:after="200"/>
      <w:jc w:val="left"/>
    </w:pPr>
    <w:rPr>
      <w:rFonts w:eastAsia="WenQuanYi Zen Hei" w:cs="Lohit Hindi"/>
      <w:color w:val="00000A"/>
      <w:lang w:eastAsia="zh-CN" w:bidi="hi-IN"/>
    </w:rPr>
  </w:style>
  <w:style w:type="paragraph" w:styleId="Textkomentra">
    <w:name w:val="annotation text"/>
    <w:basedOn w:val="Normlny"/>
    <w:link w:val="TextkomentraChar"/>
    <w:uiPriority w:val="99"/>
    <w:unhideWhenUsed/>
    <w:rsid w:val="001B079E"/>
    <w:pPr>
      <w:spacing w:line="240" w:lineRule="auto"/>
    </w:pPr>
    <w:rPr>
      <w:sz w:val="20"/>
      <w:szCs w:val="20"/>
    </w:rPr>
  </w:style>
  <w:style w:type="character" w:customStyle="1" w:styleId="TextkomentraChar">
    <w:name w:val="Text komentára Char"/>
    <w:basedOn w:val="Predvolenpsmoodseku"/>
    <w:link w:val="Textkomentra"/>
    <w:uiPriority w:val="99"/>
    <w:rsid w:val="001B079E"/>
    <w:rPr>
      <w:rFonts w:ascii="Times New Roman" w:eastAsia="Times New Roman" w:hAnsi="Times New Roman" w:cs="Times New Roman"/>
      <w:sz w:val="20"/>
      <w:szCs w:val="20"/>
      <w:lang w:eastAsia="sk-SK"/>
    </w:rPr>
  </w:style>
  <w:style w:type="paragraph" w:customStyle="1" w:styleId="Telo">
    <w:name w:val="Telo"/>
    <w:rsid w:val="004735A1"/>
    <w:pPr>
      <w:spacing w:after="0" w:line="240" w:lineRule="auto"/>
    </w:pPr>
    <w:rPr>
      <w:rFonts w:ascii="Arial" w:eastAsia="Arial Unicode MS" w:hAnsi="Arial Unicode MS" w:cs="Arial Unicode MS"/>
      <w:color w:val="000000"/>
      <w:u w:color="000000"/>
      <w:lang w:eastAsia="sk-SK"/>
    </w:rPr>
  </w:style>
  <w:style w:type="numbering" w:customStyle="1" w:styleId="Zoznam31">
    <w:name w:val="Zoznam 31"/>
    <w:rsid w:val="004735A1"/>
    <w:pPr>
      <w:numPr>
        <w:numId w:val="14"/>
      </w:numPr>
    </w:pPr>
  </w:style>
  <w:style w:type="numbering" w:customStyle="1" w:styleId="Zoznam41">
    <w:name w:val="Zoznam 41"/>
    <w:rsid w:val="004735A1"/>
    <w:pPr>
      <w:numPr>
        <w:numId w:val="15"/>
      </w:numPr>
    </w:pPr>
  </w:style>
  <w:style w:type="character" w:styleId="Odkaznakomentr">
    <w:name w:val="annotation reference"/>
    <w:basedOn w:val="Predvolenpsmoodseku"/>
    <w:uiPriority w:val="99"/>
    <w:semiHidden/>
    <w:unhideWhenUsed/>
    <w:rsid w:val="00295674"/>
    <w:rPr>
      <w:sz w:val="16"/>
      <w:szCs w:val="16"/>
    </w:rPr>
  </w:style>
  <w:style w:type="paragraph" w:styleId="Predmetkomentra">
    <w:name w:val="annotation subject"/>
    <w:basedOn w:val="Textkomentra"/>
    <w:next w:val="Textkomentra"/>
    <w:link w:val="PredmetkomentraChar"/>
    <w:uiPriority w:val="99"/>
    <w:semiHidden/>
    <w:unhideWhenUsed/>
    <w:rsid w:val="00295674"/>
    <w:rPr>
      <w:b/>
      <w:bCs/>
    </w:rPr>
  </w:style>
  <w:style w:type="character" w:customStyle="1" w:styleId="PredmetkomentraChar">
    <w:name w:val="Predmet komentára Char"/>
    <w:basedOn w:val="TextkomentraChar"/>
    <w:link w:val="Predmetkomentra"/>
    <w:uiPriority w:val="99"/>
    <w:semiHidden/>
    <w:rsid w:val="00295674"/>
    <w:rPr>
      <w:rFonts w:ascii="Times New Roman" w:eastAsia="Times New Roman" w:hAnsi="Times New Roman" w:cs="Times New Roman"/>
      <w:b/>
      <w:bCs/>
      <w:sz w:val="20"/>
      <w:szCs w:val="20"/>
      <w:lang w:eastAsia="sk-SK"/>
    </w:rPr>
  </w:style>
  <w:style w:type="paragraph" w:customStyle="1" w:styleId="Pa13">
    <w:name w:val="Pa13"/>
    <w:basedOn w:val="Default"/>
    <w:next w:val="Default"/>
    <w:uiPriority w:val="99"/>
    <w:rsid w:val="00BF7282"/>
    <w:pPr>
      <w:spacing w:line="141" w:lineRule="atLeast"/>
    </w:pPr>
    <w:rPr>
      <w:rFonts w:ascii="Myriad Pro" w:hAnsi="Myriad Pro" w:cstheme="minorBidi"/>
      <w:color w:val="auto"/>
    </w:rPr>
  </w:style>
  <w:style w:type="paragraph" w:customStyle="1" w:styleId="m-7252998897116252557msolistparagraph">
    <w:name w:val="m_-7252998897116252557msolistparagraph"/>
    <w:basedOn w:val="Normlny"/>
    <w:rsid w:val="000466F0"/>
    <w:pPr>
      <w:spacing w:before="100" w:beforeAutospacing="1" w:after="100" w:afterAutospacing="1" w:line="240" w:lineRule="auto"/>
      <w:jc w:val="left"/>
    </w:pPr>
  </w:style>
  <w:style w:type="table" w:customStyle="1" w:styleId="TableNormal">
    <w:name w:val="Table Normal"/>
    <w:uiPriority w:val="2"/>
    <w:unhideWhenUsed/>
    <w:qFormat/>
    <w:rsid w:val="00857C1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57C10"/>
    <w:pPr>
      <w:widowControl w:val="0"/>
      <w:spacing w:line="240" w:lineRule="auto"/>
      <w:jc w:val="left"/>
    </w:pPr>
    <w:rPr>
      <w:rFonts w:asciiTheme="minorHAnsi" w:eastAsiaTheme="minorHAnsi" w:hAnsiTheme="minorHAnsi" w:cstheme="minorBidi"/>
      <w:sz w:val="22"/>
      <w:szCs w:val="22"/>
      <w:lang w:val="en-US" w:eastAsia="en-US"/>
    </w:rPr>
  </w:style>
  <w:style w:type="paragraph" w:customStyle="1" w:styleId="Standard">
    <w:name w:val="Standard"/>
    <w:qFormat/>
    <w:rsid w:val="00DD4CA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DD4CA0"/>
    <w:pPr>
      <w:spacing w:after="120"/>
    </w:pPr>
  </w:style>
  <w:style w:type="paragraph" w:styleId="Podtitul">
    <w:name w:val="Subtitle"/>
    <w:basedOn w:val="Nzov"/>
    <w:next w:val="Textbody"/>
    <w:link w:val="PodtitulChar"/>
    <w:rsid w:val="00DD4CA0"/>
    <w:pPr>
      <w:keepNext/>
      <w:widowControl w:val="0"/>
      <w:suppressAutoHyphens/>
      <w:autoSpaceDN w:val="0"/>
      <w:spacing w:before="240" w:after="120" w:line="240" w:lineRule="auto"/>
      <w:contextualSpacing w:val="0"/>
      <w:textAlignment w:val="baseline"/>
      <w:outlineLvl w:val="9"/>
    </w:pPr>
    <w:rPr>
      <w:rFonts w:eastAsia="Microsoft YaHei" w:cs="Mangal"/>
      <w:b w:val="0"/>
      <w:bCs w:val="0"/>
      <w:i/>
      <w:iCs/>
      <w:kern w:val="3"/>
      <w:sz w:val="28"/>
      <w:szCs w:val="28"/>
      <w:lang w:eastAsia="zh-CN" w:bidi="hi-IN"/>
    </w:rPr>
  </w:style>
  <w:style w:type="character" w:customStyle="1" w:styleId="PodtitulChar">
    <w:name w:val="Podtitul Char"/>
    <w:basedOn w:val="Predvolenpsmoodseku"/>
    <w:link w:val="Podtitul"/>
    <w:rsid w:val="00DD4CA0"/>
    <w:rPr>
      <w:rFonts w:ascii="Arial" w:eastAsia="Microsoft YaHei" w:hAnsi="Arial" w:cs="Mangal"/>
      <w:i/>
      <w:iCs/>
      <w:kern w:val="3"/>
      <w:sz w:val="28"/>
      <w:szCs w:val="28"/>
      <w:lang w:eastAsia="zh-CN" w:bidi="hi-IN"/>
    </w:rPr>
  </w:style>
  <w:style w:type="paragraph" w:styleId="Zoznam">
    <w:name w:val="List"/>
    <w:basedOn w:val="Textbody"/>
    <w:rsid w:val="00DD4CA0"/>
  </w:style>
  <w:style w:type="paragraph" w:customStyle="1" w:styleId="Index">
    <w:name w:val="Index"/>
    <w:basedOn w:val="Standard"/>
    <w:rsid w:val="00DD4CA0"/>
    <w:pPr>
      <w:suppressLineNumbers/>
    </w:pPr>
  </w:style>
  <w:style w:type="character" w:customStyle="1" w:styleId="BulletSymbols">
    <w:name w:val="Bullet Symbols"/>
    <w:rsid w:val="00DD4CA0"/>
    <w:rPr>
      <w:rFonts w:ascii="OpenSymbol" w:eastAsia="OpenSymbol" w:hAnsi="OpenSymbol" w:cs="OpenSymbol"/>
    </w:rPr>
  </w:style>
  <w:style w:type="paragraph" w:customStyle="1" w:styleId="AGELvaeznaka">
    <w:name w:val="AGEL_vaše značka"/>
    <w:basedOn w:val="Normlny"/>
    <w:qFormat/>
    <w:rsid w:val="00DD4CA0"/>
    <w:pPr>
      <w:tabs>
        <w:tab w:val="left" w:pos="1418"/>
      </w:tabs>
      <w:spacing w:line="240" w:lineRule="auto"/>
    </w:pPr>
    <w:rPr>
      <w:rFonts w:ascii="Calibri" w:eastAsia="Calibri" w:hAnsi="Calibri" w:cs="Calibri"/>
      <w:bCs/>
      <w:kern w:val="28"/>
      <w:sz w:val="20"/>
      <w:szCs w:val="18"/>
      <w:lang w:val="cs-CZ" w:eastAsia="en-US"/>
    </w:rPr>
  </w:style>
  <w:style w:type="paragraph" w:customStyle="1" w:styleId="Standarduser">
    <w:name w:val="Standard (user)"/>
    <w:rsid w:val="00DD4C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user">
    <w:name w:val="Text body (user)"/>
    <w:basedOn w:val="Standarduser"/>
    <w:rsid w:val="00DD4CA0"/>
    <w:pPr>
      <w:spacing w:after="120"/>
    </w:pPr>
    <w:rPr>
      <w:rFonts w:eastAsia="SimSun" w:cs="Arial"/>
      <w:lang w:val="sk-SK" w:eastAsia="zh-CN" w:bidi="hi-IN"/>
    </w:rPr>
  </w:style>
  <w:style w:type="numbering" w:customStyle="1" w:styleId="ImportedStyle6">
    <w:name w:val="Imported Style 6"/>
    <w:rsid w:val="00F46076"/>
    <w:pPr>
      <w:numPr>
        <w:numId w:val="22"/>
      </w:numPr>
    </w:pPr>
  </w:style>
  <w:style w:type="character" w:customStyle="1" w:styleId="Hyperlink0">
    <w:name w:val="Hyperlink.0"/>
    <w:basedOn w:val="Predvolenpsmoodseku"/>
    <w:rsid w:val="00F46076"/>
    <w:rPr>
      <w:outline w:val="0"/>
      <w:color w:val="000000"/>
      <w:u w:val="none" w:color="000000"/>
    </w:rPr>
  </w:style>
  <w:style w:type="character" w:customStyle="1" w:styleId="Link">
    <w:name w:val="Link"/>
    <w:rsid w:val="00F46076"/>
    <w:rPr>
      <w:outline w:val="0"/>
      <w:color w:val="0000FF"/>
      <w:u w:val="single" w:color="0000FF"/>
    </w:rPr>
  </w:style>
  <w:style w:type="numbering" w:customStyle="1" w:styleId="ImportedStyle7">
    <w:name w:val="Imported Style 7"/>
    <w:rsid w:val="00F46076"/>
    <w:pPr>
      <w:numPr>
        <w:numId w:val="23"/>
      </w:numPr>
    </w:pPr>
  </w:style>
  <w:style w:type="numbering" w:customStyle="1" w:styleId="ImportedStyle10">
    <w:name w:val="Imported Style 10"/>
    <w:rsid w:val="00F46076"/>
    <w:pPr>
      <w:numPr>
        <w:numId w:val="24"/>
      </w:numPr>
    </w:pPr>
  </w:style>
  <w:style w:type="numbering" w:customStyle="1" w:styleId="ImportedStyle11">
    <w:name w:val="Imported Style 11"/>
    <w:rsid w:val="00F46076"/>
    <w:pPr>
      <w:numPr>
        <w:numId w:val="25"/>
      </w:numPr>
    </w:pPr>
  </w:style>
  <w:style w:type="numbering" w:customStyle="1" w:styleId="ImportedStyle14">
    <w:name w:val="Imported Style 14"/>
    <w:rsid w:val="005F1A89"/>
    <w:pPr>
      <w:numPr>
        <w:numId w:val="26"/>
      </w:numPr>
    </w:pPr>
  </w:style>
  <w:style w:type="numbering" w:customStyle="1" w:styleId="ImportedStyle15">
    <w:name w:val="Imported Style 15"/>
    <w:rsid w:val="005F1A89"/>
    <w:pPr>
      <w:numPr>
        <w:numId w:val="27"/>
      </w:numPr>
    </w:pPr>
  </w:style>
  <w:style w:type="character" w:customStyle="1" w:styleId="None">
    <w:name w:val="None"/>
    <w:rsid w:val="005F1AB0"/>
  </w:style>
  <w:style w:type="paragraph" w:customStyle="1" w:styleId="HeaderFooter">
    <w:name w:val="Header &amp; Footer"/>
    <w:rsid w:val="00984A2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numbering" w:customStyle="1" w:styleId="ImportedStyle1">
    <w:name w:val="Imported Style 1"/>
    <w:rsid w:val="00984A2A"/>
    <w:pPr>
      <w:numPr>
        <w:numId w:val="28"/>
      </w:numPr>
    </w:pPr>
  </w:style>
  <w:style w:type="character" w:customStyle="1" w:styleId="NoneA">
    <w:name w:val="None A"/>
    <w:rsid w:val="00984A2A"/>
  </w:style>
  <w:style w:type="character" w:customStyle="1" w:styleId="Hyperlink1">
    <w:name w:val="Hyperlink.1"/>
    <w:rsid w:val="00984A2A"/>
    <w:rPr>
      <w:rFonts w:ascii="Calibri" w:hAnsi="Calibri"/>
      <w:i/>
      <w:iCs/>
      <w:sz w:val="18"/>
      <w:szCs w:val="18"/>
    </w:rPr>
  </w:style>
  <w:style w:type="numbering" w:customStyle="1" w:styleId="ImportedStyle4">
    <w:name w:val="Imported Style 4"/>
    <w:rsid w:val="00984A2A"/>
    <w:pPr>
      <w:numPr>
        <w:numId w:val="29"/>
      </w:numPr>
    </w:pPr>
  </w:style>
  <w:style w:type="numbering" w:customStyle="1" w:styleId="ImportedStyle5">
    <w:name w:val="Imported Style 5"/>
    <w:rsid w:val="00984A2A"/>
    <w:pPr>
      <w:numPr>
        <w:numId w:val="30"/>
      </w:numPr>
    </w:pPr>
  </w:style>
  <w:style w:type="numbering" w:customStyle="1" w:styleId="ImportedStyle8">
    <w:name w:val="Imported Style 8"/>
    <w:rsid w:val="00984A2A"/>
    <w:pPr>
      <w:numPr>
        <w:numId w:val="31"/>
      </w:numPr>
    </w:pPr>
  </w:style>
  <w:style w:type="numbering" w:customStyle="1" w:styleId="ImportedStyle12">
    <w:name w:val="Imported Style 12"/>
    <w:rsid w:val="00984A2A"/>
    <w:pPr>
      <w:numPr>
        <w:numId w:val="32"/>
      </w:numPr>
    </w:pPr>
  </w:style>
  <w:style w:type="numbering" w:customStyle="1" w:styleId="ImportedStyle13">
    <w:name w:val="Imported Style 13"/>
    <w:rsid w:val="00984A2A"/>
    <w:pPr>
      <w:numPr>
        <w:numId w:val="33"/>
      </w:numPr>
    </w:pPr>
  </w:style>
  <w:style w:type="numbering" w:customStyle="1" w:styleId="ImportedStyle16">
    <w:name w:val="Imported Style 16"/>
    <w:rsid w:val="00984A2A"/>
    <w:pPr>
      <w:numPr>
        <w:numId w:val="34"/>
      </w:numPr>
    </w:pPr>
  </w:style>
  <w:style w:type="numbering" w:customStyle="1" w:styleId="ImportedStyle17">
    <w:name w:val="Imported Style 17"/>
    <w:rsid w:val="00984A2A"/>
    <w:pPr>
      <w:numPr>
        <w:numId w:val="35"/>
      </w:numPr>
    </w:pPr>
  </w:style>
  <w:style w:type="character" w:customStyle="1" w:styleId="Hyperlink2">
    <w:name w:val="Hyperlink.2"/>
    <w:basedOn w:val="None"/>
    <w:rsid w:val="00984A2A"/>
    <w:rPr>
      <w:u w:color="222222"/>
      <w:shd w:val="clear" w:color="auto" w:fill="FFFFFF"/>
      <w:lang w:val="pt-PT"/>
    </w:rPr>
  </w:style>
  <w:style w:type="numbering" w:customStyle="1" w:styleId="ImportedStyle18">
    <w:name w:val="Imported Style 18"/>
    <w:rsid w:val="00984A2A"/>
    <w:pPr>
      <w:numPr>
        <w:numId w:val="36"/>
      </w:numPr>
    </w:pPr>
  </w:style>
  <w:style w:type="character" w:customStyle="1" w:styleId="Hyperlink3">
    <w:name w:val="Hyperlink.3"/>
    <w:basedOn w:val="None"/>
    <w:rsid w:val="00984A2A"/>
    <w:rPr>
      <w:outline w:val="0"/>
      <w:color w:val="0000FF"/>
      <w:u w:val="single" w:color="0000FF"/>
      <w:shd w:val="clear" w:color="auto" w:fill="FFFFFF"/>
      <w:lang w:val="en-US"/>
    </w:rPr>
  </w:style>
  <w:style w:type="character" w:customStyle="1" w:styleId="Hyperlink4">
    <w:name w:val="Hyperlink.4"/>
    <w:basedOn w:val="None"/>
    <w:rsid w:val="00984A2A"/>
    <w:rPr>
      <w:outline w:val="0"/>
      <w:color w:val="0000FF"/>
      <w:u w:val="single" w:color="0000FF"/>
      <w:shd w:val="clear" w:color="auto" w:fill="FFFFFF"/>
    </w:rPr>
  </w:style>
  <w:style w:type="character" w:customStyle="1" w:styleId="Hyperlink5">
    <w:name w:val="Hyperlink.5"/>
    <w:basedOn w:val="None"/>
    <w:rsid w:val="00984A2A"/>
    <w:rPr>
      <w:u w:color="222222"/>
      <w:shd w:val="clear" w:color="auto" w:fill="FFFFFF"/>
    </w:rPr>
  </w:style>
  <w:style w:type="numbering" w:customStyle="1" w:styleId="ImportedStyle19">
    <w:name w:val="Imported Style 19"/>
    <w:rsid w:val="00984A2A"/>
    <w:pPr>
      <w:numPr>
        <w:numId w:val="37"/>
      </w:numPr>
    </w:pPr>
  </w:style>
  <w:style w:type="paragraph" w:styleId="Revzia">
    <w:name w:val="Revision"/>
    <w:hidden/>
    <w:uiPriority w:val="99"/>
    <w:semiHidden/>
    <w:rsid w:val="00F64300"/>
    <w:pPr>
      <w:spacing w:after="0" w:line="240" w:lineRule="auto"/>
    </w:pPr>
    <w:rPr>
      <w:rFonts w:ascii="Times New Roman" w:eastAsia="Times New Roman" w:hAnsi="Times New Roman" w:cs="Times New Roman"/>
      <w:sz w:val="24"/>
      <w:szCs w:val="24"/>
      <w:lang w:eastAsia="sk-SK"/>
    </w:rPr>
  </w:style>
  <w:style w:type="character" w:customStyle="1" w:styleId="markedcontent">
    <w:name w:val="markedcontent"/>
    <w:basedOn w:val="Predvolenpsmoodseku"/>
    <w:rsid w:val="007B7154"/>
  </w:style>
  <w:style w:type="paragraph" w:customStyle="1" w:styleId="msonormal0">
    <w:name w:val="msonormal"/>
    <w:basedOn w:val="Normlny"/>
    <w:rsid w:val="00E43879"/>
    <w:pPr>
      <w:spacing w:before="100" w:beforeAutospacing="1" w:after="100" w:afterAutospacing="1" w:line="240" w:lineRule="auto"/>
      <w:jc w:val="left"/>
    </w:pPr>
  </w:style>
  <w:style w:type="paragraph" w:customStyle="1" w:styleId="font5">
    <w:name w:val="font5"/>
    <w:basedOn w:val="Normlny"/>
    <w:rsid w:val="00E43879"/>
    <w:pPr>
      <w:spacing w:before="100" w:beforeAutospacing="1" w:after="100" w:afterAutospacing="1" w:line="240" w:lineRule="auto"/>
      <w:jc w:val="left"/>
    </w:pPr>
    <w:rPr>
      <w:rFonts w:ascii="Arial Narrow" w:hAnsi="Arial Narrow"/>
      <w:b/>
      <w:bCs/>
      <w:color w:val="FFFFFF"/>
      <w:sz w:val="20"/>
      <w:szCs w:val="20"/>
    </w:rPr>
  </w:style>
  <w:style w:type="paragraph" w:customStyle="1" w:styleId="font6">
    <w:name w:val="font6"/>
    <w:basedOn w:val="Normlny"/>
    <w:rsid w:val="00E43879"/>
    <w:pPr>
      <w:spacing w:before="100" w:beforeAutospacing="1" w:after="100" w:afterAutospacing="1" w:line="240" w:lineRule="auto"/>
      <w:jc w:val="left"/>
    </w:pPr>
    <w:rPr>
      <w:rFonts w:ascii="Arial Narrow" w:hAnsi="Arial Narrow"/>
      <w:b/>
      <w:bCs/>
      <w:color w:val="000000"/>
      <w:sz w:val="20"/>
      <w:szCs w:val="20"/>
    </w:rPr>
  </w:style>
  <w:style w:type="paragraph" w:customStyle="1" w:styleId="font7">
    <w:name w:val="font7"/>
    <w:basedOn w:val="Normlny"/>
    <w:rsid w:val="00E43879"/>
    <w:pPr>
      <w:spacing w:before="100" w:beforeAutospacing="1" w:after="100" w:afterAutospacing="1" w:line="240" w:lineRule="auto"/>
      <w:jc w:val="left"/>
    </w:pPr>
    <w:rPr>
      <w:rFonts w:ascii="Arial Narrow" w:hAnsi="Arial Narrow"/>
      <w:b/>
      <w:bCs/>
      <w:color w:val="000000"/>
      <w:sz w:val="20"/>
      <w:szCs w:val="20"/>
    </w:rPr>
  </w:style>
  <w:style w:type="paragraph" w:customStyle="1" w:styleId="xl63">
    <w:name w:val="xl63"/>
    <w:basedOn w:val="Normlny"/>
    <w:rsid w:val="00E43879"/>
    <w:pPr>
      <w:shd w:val="clear" w:color="000000" w:fill="595959"/>
      <w:spacing w:before="100" w:beforeAutospacing="1" w:after="100" w:afterAutospacing="1" w:line="240" w:lineRule="auto"/>
      <w:jc w:val="center"/>
      <w:textAlignment w:val="center"/>
    </w:pPr>
    <w:rPr>
      <w:rFonts w:ascii="Arial Narrow" w:hAnsi="Arial Narrow"/>
      <w:b/>
      <w:bCs/>
      <w:color w:val="FFFFFF"/>
      <w:sz w:val="20"/>
      <w:szCs w:val="20"/>
    </w:rPr>
  </w:style>
  <w:style w:type="paragraph" w:customStyle="1" w:styleId="xl64">
    <w:name w:val="xl64"/>
    <w:basedOn w:val="Normlny"/>
    <w:rsid w:val="00E43879"/>
    <w:pPr>
      <w:shd w:val="clear" w:color="000000" w:fill="595959"/>
      <w:spacing w:before="100" w:beforeAutospacing="1" w:after="100" w:afterAutospacing="1" w:line="240" w:lineRule="auto"/>
      <w:jc w:val="left"/>
      <w:textAlignment w:val="center"/>
    </w:pPr>
    <w:rPr>
      <w:rFonts w:ascii="Arial Narrow" w:hAnsi="Arial Narrow"/>
      <w:b/>
      <w:bCs/>
      <w:color w:val="FFFFFF"/>
      <w:sz w:val="20"/>
      <w:szCs w:val="20"/>
    </w:rPr>
  </w:style>
  <w:style w:type="paragraph" w:customStyle="1" w:styleId="xl65">
    <w:name w:val="xl65"/>
    <w:basedOn w:val="Normlny"/>
    <w:rsid w:val="00E43879"/>
    <w:pPr>
      <w:spacing w:before="100" w:beforeAutospacing="1" w:after="100" w:afterAutospacing="1" w:line="240" w:lineRule="auto"/>
      <w:jc w:val="center"/>
      <w:textAlignment w:val="center"/>
    </w:pPr>
    <w:rPr>
      <w:rFonts w:ascii="Arial Narrow" w:hAnsi="Arial Narrow"/>
      <w:b/>
      <w:bCs/>
      <w:sz w:val="20"/>
      <w:szCs w:val="20"/>
    </w:rPr>
  </w:style>
  <w:style w:type="paragraph" w:customStyle="1" w:styleId="xl66">
    <w:name w:val="xl66"/>
    <w:basedOn w:val="Normlny"/>
    <w:rsid w:val="00E43879"/>
    <w:pPr>
      <w:spacing w:before="100" w:beforeAutospacing="1" w:after="100" w:afterAutospacing="1" w:line="240" w:lineRule="auto"/>
      <w:jc w:val="left"/>
      <w:textAlignment w:val="center"/>
    </w:pPr>
    <w:rPr>
      <w:rFonts w:ascii="Arial Narrow" w:hAnsi="Arial Narrow"/>
      <w:b/>
      <w:bCs/>
      <w:sz w:val="20"/>
      <w:szCs w:val="20"/>
    </w:rPr>
  </w:style>
  <w:style w:type="paragraph" w:customStyle="1" w:styleId="xl67">
    <w:name w:val="xl67"/>
    <w:basedOn w:val="Normlny"/>
    <w:rsid w:val="00E43879"/>
    <w:pPr>
      <w:spacing w:before="100" w:beforeAutospacing="1" w:after="100" w:afterAutospacing="1" w:line="240" w:lineRule="auto"/>
      <w:jc w:val="center"/>
      <w:textAlignment w:val="center"/>
    </w:pPr>
    <w:rPr>
      <w:rFonts w:ascii="Arial Narrow" w:hAnsi="Arial Narrow"/>
      <w:sz w:val="20"/>
      <w:szCs w:val="20"/>
    </w:rPr>
  </w:style>
  <w:style w:type="paragraph" w:customStyle="1" w:styleId="xl68">
    <w:name w:val="xl68"/>
    <w:basedOn w:val="Normlny"/>
    <w:rsid w:val="00E43879"/>
    <w:pPr>
      <w:spacing w:before="100" w:beforeAutospacing="1" w:after="100" w:afterAutospacing="1" w:line="240" w:lineRule="auto"/>
      <w:jc w:val="center"/>
      <w:textAlignment w:val="center"/>
    </w:pPr>
    <w:rPr>
      <w:rFonts w:ascii="Arial Narrow" w:hAnsi="Arial Narrow"/>
      <w:sz w:val="20"/>
      <w:szCs w:val="20"/>
    </w:rPr>
  </w:style>
  <w:style w:type="paragraph" w:customStyle="1" w:styleId="xl69">
    <w:name w:val="xl69"/>
    <w:basedOn w:val="Normlny"/>
    <w:rsid w:val="00E43879"/>
    <w:pPr>
      <w:spacing w:before="100" w:beforeAutospacing="1" w:after="100" w:afterAutospacing="1" w:line="240" w:lineRule="auto"/>
      <w:jc w:val="center"/>
      <w:textAlignment w:val="center"/>
    </w:pPr>
    <w:rPr>
      <w:rFonts w:ascii="Arial Narrow" w:hAnsi="Arial Narrow"/>
      <w:sz w:val="20"/>
      <w:szCs w:val="20"/>
    </w:rPr>
  </w:style>
  <w:style w:type="paragraph" w:customStyle="1" w:styleId="xl70">
    <w:name w:val="xl70"/>
    <w:basedOn w:val="Normlny"/>
    <w:rsid w:val="00E43879"/>
    <w:pPr>
      <w:shd w:val="clear" w:color="000000" w:fill="DCE6F1"/>
      <w:spacing w:before="100" w:beforeAutospacing="1" w:after="100" w:afterAutospacing="1" w:line="240" w:lineRule="auto"/>
      <w:jc w:val="center"/>
      <w:textAlignment w:val="center"/>
    </w:pPr>
    <w:rPr>
      <w:rFonts w:ascii="Arial Narrow" w:hAnsi="Arial Narrow"/>
      <w:b/>
      <w:bCs/>
      <w:sz w:val="20"/>
      <w:szCs w:val="20"/>
    </w:rPr>
  </w:style>
  <w:style w:type="paragraph" w:customStyle="1" w:styleId="xl71">
    <w:name w:val="xl71"/>
    <w:basedOn w:val="Normlny"/>
    <w:rsid w:val="00E43879"/>
    <w:pPr>
      <w:shd w:val="clear" w:color="000000" w:fill="DCE6F1"/>
      <w:spacing w:before="100" w:beforeAutospacing="1" w:after="100" w:afterAutospacing="1" w:line="240" w:lineRule="auto"/>
      <w:jc w:val="left"/>
      <w:textAlignment w:val="center"/>
    </w:pPr>
    <w:rPr>
      <w:rFonts w:ascii="Arial Narrow" w:hAnsi="Arial Narrow"/>
      <w:b/>
      <w:bCs/>
      <w:sz w:val="20"/>
      <w:szCs w:val="20"/>
    </w:rPr>
  </w:style>
  <w:style w:type="paragraph" w:customStyle="1" w:styleId="xl72">
    <w:name w:val="xl72"/>
    <w:basedOn w:val="Normlny"/>
    <w:rsid w:val="00E43879"/>
    <w:pPr>
      <w:shd w:val="clear" w:color="000000" w:fill="DCE6F1"/>
      <w:spacing w:before="100" w:beforeAutospacing="1" w:after="100" w:afterAutospacing="1" w:line="240" w:lineRule="auto"/>
      <w:jc w:val="center"/>
      <w:textAlignment w:val="center"/>
    </w:pPr>
    <w:rPr>
      <w:rFonts w:ascii="Arial Narrow" w:hAnsi="Arial Narrow"/>
      <w:sz w:val="20"/>
      <w:szCs w:val="20"/>
    </w:rPr>
  </w:style>
  <w:style w:type="paragraph" w:customStyle="1" w:styleId="xl73">
    <w:name w:val="xl73"/>
    <w:basedOn w:val="Normlny"/>
    <w:rsid w:val="00E43879"/>
    <w:pPr>
      <w:shd w:val="clear" w:color="000000" w:fill="DCE6F1"/>
      <w:spacing w:before="100" w:beforeAutospacing="1" w:after="100" w:afterAutospacing="1" w:line="240" w:lineRule="auto"/>
      <w:jc w:val="center"/>
      <w:textAlignment w:val="center"/>
    </w:pPr>
    <w:rPr>
      <w:rFonts w:ascii="Arial Narrow" w:hAnsi="Arial Narrow"/>
      <w:sz w:val="20"/>
      <w:szCs w:val="20"/>
    </w:rPr>
  </w:style>
  <w:style w:type="paragraph" w:customStyle="1" w:styleId="xl74">
    <w:name w:val="xl74"/>
    <w:basedOn w:val="Normlny"/>
    <w:rsid w:val="00E43879"/>
    <w:pPr>
      <w:shd w:val="clear" w:color="000000" w:fill="DCE6F1"/>
      <w:spacing w:before="100" w:beforeAutospacing="1" w:after="100" w:afterAutospacing="1" w:line="240" w:lineRule="auto"/>
      <w:jc w:val="center"/>
      <w:textAlignment w:val="center"/>
    </w:pPr>
    <w:rPr>
      <w:rFonts w:ascii="Arial Narrow" w:hAnsi="Arial Narrow"/>
      <w:sz w:val="20"/>
      <w:szCs w:val="20"/>
    </w:rPr>
  </w:style>
  <w:style w:type="paragraph" w:customStyle="1" w:styleId="xl75">
    <w:name w:val="xl75"/>
    <w:basedOn w:val="Normlny"/>
    <w:rsid w:val="00E43879"/>
    <w:pPr>
      <w:shd w:val="clear" w:color="000000" w:fill="DCE6F1"/>
      <w:spacing w:before="100" w:beforeAutospacing="1" w:after="100" w:afterAutospacing="1" w:line="240" w:lineRule="auto"/>
      <w:jc w:val="center"/>
      <w:textAlignment w:val="center"/>
    </w:pPr>
    <w:rPr>
      <w:rFonts w:ascii="Arial Narrow" w:hAnsi="Arial Narrow"/>
      <w:b/>
      <w:bCs/>
      <w:sz w:val="20"/>
      <w:szCs w:val="20"/>
    </w:rPr>
  </w:style>
  <w:style w:type="paragraph" w:customStyle="1" w:styleId="xl76">
    <w:name w:val="xl76"/>
    <w:basedOn w:val="Normlny"/>
    <w:rsid w:val="00E43879"/>
    <w:pPr>
      <w:shd w:val="clear" w:color="000000" w:fill="DCE6F1"/>
      <w:spacing w:before="100" w:beforeAutospacing="1" w:after="100" w:afterAutospacing="1" w:line="240" w:lineRule="auto"/>
      <w:jc w:val="center"/>
      <w:textAlignment w:val="center"/>
    </w:pPr>
    <w:rPr>
      <w:rFonts w:ascii="Arial Narrow" w:hAnsi="Arial Narrow"/>
      <w:b/>
      <w:bCs/>
      <w:sz w:val="20"/>
      <w:szCs w:val="20"/>
    </w:rPr>
  </w:style>
  <w:style w:type="paragraph" w:customStyle="1" w:styleId="xl77">
    <w:name w:val="xl77"/>
    <w:basedOn w:val="Normlny"/>
    <w:rsid w:val="00E43879"/>
    <w:pPr>
      <w:spacing w:before="100" w:beforeAutospacing="1" w:after="100" w:afterAutospacing="1" w:line="240" w:lineRule="auto"/>
      <w:jc w:val="center"/>
      <w:textAlignment w:val="center"/>
    </w:pPr>
    <w:rPr>
      <w:rFonts w:ascii="Arial Narrow" w:hAnsi="Arial Narrow"/>
      <w:sz w:val="20"/>
      <w:szCs w:val="20"/>
    </w:rPr>
  </w:style>
  <w:style w:type="paragraph" w:customStyle="1" w:styleId="xl79">
    <w:name w:val="xl79"/>
    <w:basedOn w:val="Normlny"/>
    <w:rsid w:val="00E43879"/>
    <w:pPr>
      <w:shd w:val="clear" w:color="000000" w:fill="DCE6F1"/>
      <w:spacing w:before="100" w:beforeAutospacing="1" w:after="100" w:afterAutospacing="1" w:line="240" w:lineRule="auto"/>
      <w:jc w:val="center"/>
      <w:textAlignment w:val="center"/>
    </w:pPr>
    <w:rPr>
      <w:rFonts w:ascii="Arial Narrow" w:hAnsi="Arial Narrow"/>
      <w:sz w:val="20"/>
      <w:szCs w:val="20"/>
    </w:rPr>
  </w:style>
  <w:style w:type="character" w:customStyle="1" w:styleId="UnresolvedMention">
    <w:name w:val="Unresolved Mention"/>
    <w:basedOn w:val="Predvolenpsmoodseku"/>
    <w:uiPriority w:val="99"/>
    <w:semiHidden/>
    <w:unhideWhenUsed/>
    <w:rsid w:val="00173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8859">
      <w:bodyDiv w:val="1"/>
      <w:marLeft w:val="0"/>
      <w:marRight w:val="0"/>
      <w:marTop w:val="0"/>
      <w:marBottom w:val="0"/>
      <w:divBdr>
        <w:top w:val="none" w:sz="0" w:space="0" w:color="auto"/>
        <w:left w:val="none" w:sz="0" w:space="0" w:color="auto"/>
        <w:bottom w:val="none" w:sz="0" w:space="0" w:color="auto"/>
        <w:right w:val="none" w:sz="0" w:space="0" w:color="auto"/>
      </w:divBdr>
    </w:div>
    <w:div w:id="13725057">
      <w:bodyDiv w:val="1"/>
      <w:marLeft w:val="0"/>
      <w:marRight w:val="0"/>
      <w:marTop w:val="0"/>
      <w:marBottom w:val="0"/>
      <w:divBdr>
        <w:top w:val="none" w:sz="0" w:space="0" w:color="auto"/>
        <w:left w:val="none" w:sz="0" w:space="0" w:color="auto"/>
        <w:bottom w:val="none" w:sz="0" w:space="0" w:color="auto"/>
        <w:right w:val="none" w:sz="0" w:space="0" w:color="auto"/>
      </w:divBdr>
    </w:div>
    <w:div w:id="49546503">
      <w:bodyDiv w:val="1"/>
      <w:marLeft w:val="0"/>
      <w:marRight w:val="0"/>
      <w:marTop w:val="0"/>
      <w:marBottom w:val="0"/>
      <w:divBdr>
        <w:top w:val="none" w:sz="0" w:space="0" w:color="auto"/>
        <w:left w:val="none" w:sz="0" w:space="0" w:color="auto"/>
        <w:bottom w:val="none" w:sz="0" w:space="0" w:color="auto"/>
        <w:right w:val="none" w:sz="0" w:space="0" w:color="auto"/>
      </w:divBdr>
    </w:div>
    <w:div w:id="73205695">
      <w:bodyDiv w:val="1"/>
      <w:marLeft w:val="0"/>
      <w:marRight w:val="0"/>
      <w:marTop w:val="0"/>
      <w:marBottom w:val="0"/>
      <w:divBdr>
        <w:top w:val="none" w:sz="0" w:space="0" w:color="auto"/>
        <w:left w:val="none" w:sz="0" w:space="0" w:color="auto"/>
        <w:bottom w:val="none" w:sz="0" w:space="0" w:color="auto"/>
        <w:right w:val="none" w:sz="0" w:space="0" w:color="auto"/>
      </w:divBdr>
      <w:divsChild>
        <w:div w:id="73556338">
          <w:marLeft w:val="1166"/>
          <w:marRight w:val="0"/>
          <w:marTop w:val="0"/>
          <w:marBottom w:val="0"/>
          <w:divBdr>
            <w:top w:val="none" w:sz="0" w:space="0" w:color="auto"/>
            <w:left w:val="none" w:sz="0" w:space="0" w:color="auto"/>
            <w:bottom w:val="none" w:sz="0" w:space="0" w:color="auto"/>
            <w:right w:val="none" w:sz="0" w:space="0" w:color="auto"/>
          </w:divBdr>
        </w:div>
        <w:div w:id="345330307">
          <w:marLeft w:val="547"/>
          <w:marRight w:val="0"/>
          <w:marTop w:val="0"/>
          <w:marBottom w:val="0"/>
          <w:divBdr>
            <w:top w:val="none" w:sz="0" w:space="0" w:color="auto"/>
            <w:left w:val="none" w:sz="0" w:space="0" w:color="auto"/>
            <w:bottom w:val="none" w:sz="0" w:space="0" w:color="auto"/>
            <w:right w:val="none" w:sz="0" w:space="0" w:color="auto"/>
          </w:divBdr>
        </w:div>
        <w:div w:id="408885697">
          <w:marLeft w:val="1166"/>
          <w:marRight w:val="0"/>
          <w:marTop w:val="0"/>
          <w:marBottom w:val="0"/>
          <w:divBdr>
            <w:top w:val="none" w:sz="0" w:space="0" w:color="auto"/>
            <w:left w:val="none" w:sz="0" w:space="0" w:color="auto"/>
            <w:bottom w:val="none" w:sz="0" w:space="0" w:color="auto"/>
            <w:right w:val="none" w:sz="0" w:space="0" w:color="auto"/>
          </w:divBdr>
        </w:div>
        <w:div w:id="422723034">
          <w:marLeft w:val="1166"/>
          <w:marRight w:val="0"/>
          <w:marTop w:val="0"/>
          <w:marBottom w:val="0"/>
          <w:divBdr>
            <w:top w:val="none" w:sz="0" w:space="0" w:color="auto"/>
            <w:left w:val="none" w:sz="0" w:space="0" w:color="auto"/>
            <w:bottom w:val="none" w:sz="0" w:space="0" w:color="auto"/>
            <w:right w:val="none" w:sz="0" w:space="0" w:color="auto"/>
          </w:divBdr>
        </w:div>
        <w:div w:id="539705617">
          <w:marLeft w:val="1166"/>
          <w:marRight w:val="0"/>
          <w:marTop w:val="0"/>
          <w:marBottom w:val="0"/>
          <w:divBdr>
            <w:top w:val="none" w:sz="0" w:space="0" w:color="auto"/>
            <w:left w:val="none" w:sz="0" w:space="0" w:color="auto"/>
            <w:bottom w:val="none" w:sz="0" w:space="0" w:color="auto"/>
            <w:right w:val="none" w:sz="0" w:space="0" w:color="auto"/>
          </w:divBdr>
        </w:div>
        <w:div w:id="820197144">
          <w:marLeft w:val="547"/>
          <w:marRight w:val="0"/>
          <w:marTop w:val="0"/>
          <w:marBottom w:val="0"/>
          <w:divBdr>
            <w:top w:val="none" w:sz="0" w:space="0" w:color="auto"/>
            <w:left w:val="none" w:sz="0" w:space="0" w:color="auto"/>
            <w:bottom w:val="none" w:sz="0" w:space="0" w:color="auto"/>
            <w:right w:val="none" w:sz="0" w:space="0" w:color="auto"/>
          </w:divBdr>
        </w:div>
        <w:div w:id="2072725895">
          <w:marLeft w:val="1166"/>
          <w:marRight w:val="0"/>
          <w:marTop w:val="0"/>
          <w:marBottom w:val="0"/>
          <w:divBdr>
            <w:top w:val="none" w:sz="0" w:space="0" w:color="auto"/>
            <w:left w:val="none" w:sz="0" w:space="0" w:color="auto"/>
            <w:bottom w:val="none" w:sz="0" w:space="0" w:color="auto"/>
            <w:right w:val="none" w:sz="0" w:space="0" w:color="auto"/>
          </w:divBdr>
        </w:div>
      </w:divsChild>
    </w:div>
    <w:div w:id="78916849">
      <w:bodyDiv w:val="1"/>
      <w:marLeft w:val="0"/>
      <w:marRight w:val="0"/>
      <w:marTop w:val="0"/>
      <w:marBottom w:val="0"/>
      <w:divBdr>
        <w:top w:val="none" w:sz="0" w:space="0" w:color="auto"/>
        <w:left w:val="none" w:sz="0" w:space="0" w:color="auto"/>
        <w:bottom w:val="none" w:sz="0" w:space="0" w:color="auto"/>
        <w:right w:val="none" w:sz="0" w:space="0" w:color="auto"/>
      </w:divBdr>
    </w:div>
    <w:div w:id="91753656">
      <w:bodyDiv w:val="1"/>
      <w:marLeft w:val="0"/>
      <w:marRight w:val="0"/>
      <w:marTop w:val="0"/>
      <w:marBottom w:val="0"/>
      <w:divBdr>
        <w:top w:val="none" w:sz="0" w:space="0" w:color="auto"/>
        <w:left w:val="none" w:sz="0" w:space="0" w:color="auto"/>
        <w:bottom w:val="none" w:sz="0" w:space="0" w:color="auto"/>
        <w:right w:val="none" w:sz="0" w:space="0" w:color="auto"/>
      </w:divBdr>
    </w:div>
    <w:div w:id="95949891">
      <w:bodyDiv w:val="1"/>
      <w:marLeft w:val="0"/>
      <w:marRight w:val="0"/>
      <w:marTop w:val="0"/>
      <w:marBottom w:val="0"/>
      <w:divBdr>
        <w:top w:val="none" w:sz="0" w:space="0" w:color="auto"/>
        <w:left w:val="none" w:sz="0" w:space="0" w:color="auto"/>
        <w:bottom w:val="none" w:sz="0" w:space="0" w:color="auto"/>
        <w:right w:val="none" w:sz="0" w:space="0" w:color="auto"/>
      </w:divBdr>
    </w:div>
    <w:div w:id="105194461">
      <w:bodyDiv w:val="1"/>
      <w:marLeft w:val="0"/>
      <w:marRight w:val="0"/>
      <w:marTop w:val="0"/>
      <w:marBottom w:val="0"/>
      <w:divBdr>
        <w:top w:val="none" w:sz="0" w:space="0" w:color="auto"/>
        <w:left w:val="none" w:sz="0" w:space="0" w:color="auto"/>
        <w:bottom w:val="none" w:sz="0" w:space="0" w:color="auto"/>
        <w:right w:val="none" w:sz="0" w:space="0" w:color="auto"/>
      </w:divBdr>
      <w:divsChild>
        <w:div w:id="132912657">
          <w:marLeft w:val="0"/>
          <w:marRight w:val="0"/>
          <w:marTop w:val="0"/>
          <w:marBottom w:val="0"/>
          <w:divBdr>
            <w:top w:val="none" w:sz="0" w:space="0" w:color="auto"/>
            <w:left w:val="none" w:sz="0" w:space="0" w:color="auto"/>
            <w:bottom w:val="none" w:sz="0" w:space="0" w:color="auto"/>
            <w:right w:val="none" w:sz="0" w:space="0" w:color="auto"/>
          </w:divBdr>
        </w:div>
        <w:div w:id="138570856">
          <w:marLeft w:val="0"/>
          <w:marRight w:val="0"/>
          <w:marTop w:val="0"/>
          <w:marBottom w:val="0"/>
          <w:divBdr>
            <w:top w:val="none" w:sz="0" w:space="0" w:color="auto"/>
            <w:left w:val="none" w:sz="0" w:space="0" w:color="auto"/>
            <w:bottom w:val="none" w:sz="0" w:space="0" w:color="auto"/>
            <w:right w:val="none" w:sz="0" w:space="0" w:color="auto"/>
          </w:divBdr>
        </w:div>
        <w:div w:id="156846356">
          <w:marLeft w:val="0"/>
          <w:marRight w:val="0"/>
          <w:marTop w:val="0"/>
          <w:marBottom w:val="0"/>
          <w:divBdr>
            <w:top w:val="none" w:sz="0" w:space="0" w:color="auto"/>
            <w:left w:val="none" w:sz="0" w:space="0" w:color="auto"/>
            <w:bottom w:val="none" w:sz="0" w:space="0" w:color="auto"/>
            <w:right w:val="none" w:sz="0" w:space="0" w:color="auto"/>
          </w:divBdr>
        </w:div>
        <w:div w:id="184371583">
          <w:marLeft w:val="0"/>
          <w:marRight w:val="0"/>
          <w:marTop w:val="0"/>
          <w:marBottom w:val="0"/>
          <w:divBdr>
            <w:top w:val="none" w:sz="0" w:space="0" w:color="auto"/>
            <w:left w:val="none" w:sz="0" w:space="0" w:color="auto"/>
            <w:bottom w:val="none" w:sz="0" w:space="0" w:color="auto"/>
            <w:right w:val="none" w:sz="0" w:space="0" w:color="auto"/>
          </w:divBdr>
        </w:div>
        <w:div w:id="258487271">
          <w:marLeft w:val="0"/>
          <w:marRight w:val="0"/>
          <w:marTop w:val="0"/>
          <w:marBottom w:val="0"/>
          <w:divBdr>
            <w:top w:val="none" w:sz="0" w:space="0" w:color="auto"/>
            <w:left w:val="none" w:sz="0" w:space="0" w:color="auto"/>
            <w:bottom w:val="none" w:sz="0" w:space="0" w:color="auto"/>
            <w:right w:val="none" w:sz="0" w:space="0" w:color="auto"/>
          </w:divBdr>
        </w:div>
        <w:div w:id="271210070">
          <w:marLeft w:val="0"/>
          <w:marRight w:val="0"/>
          <w:marTop w:val="0"/>
          <w:marBottom w:val="0"/>
          <w:divBdr>
            <w:top w:val="none" w:sz="0" w:space="0" w:color="auto"/>
            <w:left w:val="none" w:sz="0" w:space="0" w:color="auto"/>
            <w:bottom w:val="none" w:sz="0" w:space="0" w:color="auto"/>
            <w:right w:val="none" w:sz="0" w:space="0" w:color="auto"/>
          </w:divBdr>
        </w:div>
        <w:div w:id="298727845">
          <w:marLeft w:val="0"/>
          <w:marRight w:val="0"/>
          <w:marTop w:val="0"/>
          <w:marBottom w:val="0"/>
          <w:divBdr>
            <w:top w:val="none" w:sz="0" w:space="0" w:color="auto"/>
            <w:left w:val="none" w:sz="0" w:space="0" w:color="auto"/>
            <w:bottom w:val="none" w:sz="0" w:space="0" w:color="auto"/>
            <w:right w:val="none" w:sz="0" w:space="0" w:color="auto"/>
          </w:divBdr>
        </w:div>
        <w:div w:id="312180703">
          <w:marLeft w:val="0"/>
          <w:marRight w:val="0"/>
          <w:marTop w:val="0"/>
          <w:marBottom w:val="0"/>
          <w:divBdr>
            <w:top w:val="none" w:sz="0" w:space="0" w:color="auto"/>
            <w:left w:val="none" w:sz="0" w:space="0" w:color="auto"/>
            <w:bottom w:val="none" w:sz="0" w:space="0" w:color="auto"/>
            <w:right w:val="none" w:sz="0" w:space="0" w:color="auto"/>
          </w:divBdr>
        </w:div>
        <w:div w:id="335350035">
          <w:marLeft w:val="0"/>
          <w:marRight w:val="0"/>
          <w:marTop w:val="0"/>
          <w:marBottom w:val="0"/>
          <w:divBdr>
            <w:top w:val="none" w:sz="0" w:space="0" w:color="auto"/>
            <w:left w:val="none" w:sz="0" w:space="0" w:color="auto"/>
            <w:bottom w:val="none" w:sz="0" w:space="0" w:color="auto"/>
            <w:right w:val="none" w:sz="0" w:space="0" w:color="auto"/>
          </w:divBdr>
        </w:div>
        <w:div w:id="514736130">
          <w:marLeft w:val="0"/>
          <w:marRight w:val="0"/>
          <w:marTop w:val="0"/>
          <w:marBottom w:val="0"/>
          <w:divBdr>
            <w:top w:val="none" w:sz="0" w:space="0" w:color="auto"/>
            <w:left w:val="none" w:sz="0" w:space="0" w:color="auto"/>
            <w:bottom w:val="none" w:sz="0" w:space="0" w:color="auto"/>
            <w:right w:val="none" w:sz="0" w:space="0" w:color="auto"/>
          </w:divBdr>
        </w:div>
        <w:div w:id="543251690">
          <w:marLeft w:val="0"/>
          <w:marRight w:val="0"/>
          <w:marTop w:val="0"/>
          <w:marBottom w:val="0"/>
          <w:divBdr>
            <w:top w:val="none" w:sz="0" w:space="0" w:color="auto"/>
            <w:left w:val="none" w:sz="0" w:space="0" w:color="auto"/>
            <w:bottom w:val="none" w:sz="0" w:space="0" w:color="auto"/>
            <w:right w:val="none" w:sz="0" w:space="0" w:color="auto"/>
          </w:divBdr>
        </w:div>
        <w:div w:id="578245851">
          <w:marLeft w:val="0"/>
          <w:marRight w:val="0"/>
          <w:marTop w:val="0"/>
          <w:marBottom w:val="0"/>
          <w:divBdr>
            <w:top w:val="none" w:sz="0" w:space="0" w:color="auto"/>
            <w:left w:val="none" w:sz="0" w:space="0" w:color="auto"/>
            <w:bottom w:val="none" w:sz="0" w:space="0" w:color="auto"/>
            <w:right w:val="none" w:sz="0" w:space="0" w:color="auto"/>
          </w:divBdr>
        </w:div>
        <w:div w:id="675227633">
          <w:marLeft w:val="0"/>
          <w:marRight w:val="0"/>
          <w:marTop w:val="0"/>
          <w:marBottom w:val="0"/>
          <w:divBdr>
            <w:top w:val="none" w:sz="0" w:space="0" w:color="auto"/>
            <w:left w:val="none" w:sz="0" w:space="0" w:color="auto"/>
            <w:bottom w:val="none" w:sz="0" w:space="0" w:color="auto"/>
            <w:right w:val="none" w:sz="0" w:space="0" w:color="auto"/>
          </w:divBdr>
        </w:div>
        <w:div w:id="678195824">
          <w:marLeft w:val="0"/>
          <w:marRight w:val="0"/>
          <w:marTop w:val="0"/>
          <w:marBottom w:val="0"/>
          <w:divBdr>
            <w:top w:val="none" w:sz="0" w:space="0" w:color="auto"/>
            <w:left w:val="none" w:sz="0" w:space="0" w:color="auto"/>
            <w:bottom w:val="none" w:sz="0" w:space="0" w:color="auto"/>
            <w:right w:val="none" w:sz="0" w:space="0" w:color="auto"/>
          </w:divBdr>
        </w:div>
        <w:div w:id="682823789">
          <w:marLeft w:val="0"/>
          <w:marRight w:val="0"/>
          <w:marTop w:val="0"/>
          <w:marBottom w:val="0"/>
          <w:divBdr>
            <w:top w:val="none" w:sz="0" w:space="0" w:color="auto"/>
            <w:left w:val="none" w:sz="0" w:space="0" w:color="auto"/>
            <w:bottom w:val="none" w:sz="0" w:space="0" w:color="auto"/>
            <w:right w:val="none" w:sz="0" w:space="0" w:color="auto"/>
          </w:divBdr>
        </w:div>
        <w:div w:id="737485109">
          <w:marLeft w:val="0"/>
          <w:marRight w:val="0"/>
          <w:marTop w:val="0"/>
          <w:marBottom w:val="0"/>
          <w:divBdr>
            <w:top w:val="none" w:sz="0" w:space="0" w:color="auto"/>
            <w:left w:val="none" w:sz="0" w:space="0" w:color="auto"/>
            <w:bottom w:val="none" w:sz="0" w:space="0" w:color="auto"/>
            <w:right w:val="none" w:sz="0" w:space="0" w:color="auto"/>
          </w:divBdr>
        </w:div>
        <w:div w:id="800926274">
          <w:marLeft w:val="0"/>
          <w:marRight w:val="0"/>
          <w:marTop w:val="0"/>
          <w:marBottom w:val="0"/>
          <w:divBdr>
            <w:top w:val="none" w:sz="0" w:space="0" w:color="auto"/>
            <w:left w:val="none" w:sz="0" w:space="0" w:color="auto"/>
            <w:bottom w:val="none" w:sz="0" w:space="0" w:color="auto"/>
            <w:right w:val="none" w:sz="0" w:space="0" w:color="auto"/>
          </w:divBdr>
        </w:div>
        <w:div w:id="804659852">
          <w:marLeft w:val="0"/>
          <w:marRight w:val="0"/>
          <w:marTop w:val="0"/>
          <w:marBottom w:val="0"/>
          <w:divBdr>
            <w:top w:val="none" w:sz="0" w:space="0" w:color="auto"/>
            <w:left w:val="none" w:sz="0" w:space="0" w:color="auto"/>
            <w:bottom w:val="none" w:sz="0" w:space="0" w:color="auto"/>
            <w:right w:val="none" w:sz="0" w:space="0" w:color="auto"/>
          </w:divBdr>
        </w:div>
        <w:div w:id="881333011">
          <w:marLeft w:val="0"/>
          <w:marRight w:val="0"/>
          <w:marTop w:val="0"/>
          <w:marBottom w:val="0"/>
          <w:divBdr>
            <w:top w:val="none" w:sz="0" w:space="0" w:color="auto"/>
            <w:left w:val="none" w:sz="0" w:space="0" w:color="auto"/>
            <w:bottom w:val="none" w:sz="0" w:space="0" w:color="auto"/>
            <w:right w:val="none" w:sz="0" w:space="0" w:color="auto"/>
          </w:divBdr>
        </w:div>
        <w:div w:id="890775355">
          <w:marLeft w:val="0"/>
          <w:marRight w:val="0"/>
          <w:marTop w:val="0"/>
          <w:marBottom w:val="0"/>
          <w:divBdr>
            <w:top w:val="none" w:sz="0" w:space="0" w:color="auto"/>
            <w:left w:val="none" w:sz="0" w:space="0" w:color="auto"/>
            <w:bottom w:val="none" w:sz="0" w:space="0" w:color="auto"/>
            <w:right w:val="none" w:sz="0" w:space="0" w:color="auto"/>
          </w:divBdr>
        </w:div>
        <w:div w:id="953294277">
          <w:marLeft w:val="0"/>
          <w:marRight w:val="0"/>
          <w:marTop w:val="0"/>
          <w:marBottom w:val="0"/>
          <w:divBdr>
            <w:top w:val="none" w:sz="0" w:space="0" w:color="auto"/>
            <w:left w:val="none" w:sz="0" w:space="0" w:color="auto"/>
            <w:bottom w:val="none" w:sz="0" w:space="0" w:color="auto"/>
            <w:right w:val="none" w:sz="0" w:space="0" w:color="auto"/>
          </w:divBdr>
        </w:div>
        <w:div w:id="988099713">
          <w:marLeft w:val="0"/>
          <w:marRight w:val="0"/>
          <w:marTop w:val="0"/>
          <w:marBottom w:val="0"/>
          <w:divBdr>
            <w:top w:val="none" w:sz="0" w:space="0" w:color="auto"/>
            <w:left w:val="none" w:sz="0" w:space="0" w:color="auto"/>
            <w:bottom w:val="none" w:sz="0" w:space="0" w:color="auto"/>
            <w:right w:val="none" w:sz="0" w:space="0" w:color="auto"/>
          </w:divBdr>
        </w:div>
        <w:div w:id="1006322176">
          <w:marLeft w:val="0"/>
          <w:marRight w:val="0"/>
          <w:marTop w:val="0"/>
          <w:marBottom w:val="0"/>
          <w:divBdr>
            <w:top w:val="none" w:sz="0" w:space="0" w:color="auto"/>
            <w:left w:val="none" w:sz="0" w:space="0" w:color="auto"/>
            <w:bottom w:val="none" w:sz="0" w:space="0" w:color="auto"/>
            <w:right w:val="none" w:sz="0" w:space="0" w:color="auto"/>
          </w:divBdr>
        </w:div>
        <w:div w:id="1081223453">
          <w:marLeft w:val="0"/>
          <w:marRight w:val="0"/>
          <w:marTop w:val="0"/>
          <w:marBottom w:val="0"/>
          <w:divBdr>
            <w:top w:val="none" w:sz="0" w:space="0" w:color="auto"/>
            <w:left w:val="none" w:sz="0" w:space="0" w:color="auto"/>
            <w:bottom w:val="none" w:sz="0" w:space="0" w:color="auto"/>
            <w:right w:val="none" w:sz="0" w:space="0" w:color="auto"/>
          </w:divBdr>
        </w:div>
        <w:div w:id="1101489643">
          <w:marLeft w:val="0"/>
          <w:marRight w:val="0"/>
          <w:marTop w:val="0"/>
          <w:marBottom w:val="0"/>
          <w:divBdr>
            <w:top w:val="none" w:sz="0" w:space="0" w:color="auto"/>
            <w:left w:val="none" w:sz="0" w:space="0" w:color="auto"/>
            <w:bottom w:val="none" w:sz="0" w:space="0" w:color="auto"/>
            <w:right w:val="none" w:sz="0" w:space="0" w:color="auto"/>
          </w:divBdr>
        </w:div>
        <w:div w:id="1116827805">
          <w:marLeft w:val="0"/>
          <w:marRight w:val="0"/>
          <w:marTop w:val="0"/>
          <w:marBottom w:val="0"/>
          <w:divBdr>
            <w:top w:val="none" w:sz="0" w:space="0" w:color="auto"/>
            <w:left w:val="none" w:sz="0" w:space="0" w:color="auto"/>
            <w:bottom w:val="none" w:sz="0" w:space="0" w:color="auto"/>
            <w:right w:val="none" w:sz="0" w:space="0" w:color="auto"/>
          </w:divBdr>
        </w:div>
        <w:div w:id="1166479754">
          <w:marLeft w:val="0"/>
          <w:marRight w:val="0"/>
          <w:marTop w:val="0"/>
          <w:marBottom w:val="0"/>
          <w:divBdr>
            <w:top w:val="none" w:sz="0" w:space="0" w:color="auto"/>
            <w:left w:val="none" w:sz="0" w:space="0" w:color="auto"/>
            <w:bottom w:val="none" w:sz="0" w:space="0" w:color="auto"/>
            <w:right w:val="none" w:sz="0" w:space="0" w:color="auto"/>
          </w:divBdr>
        </w:div>
        <w:div w:id="1220094960">
          <w:marLeft w:val="0"/>
          <w:marRight w:val="0"/>
          <w:marTop w:val="0"/>
          <w:marBottom w:val="0"/>
          <w:divBdr>
            <w:top w:val="none" w:sz="0" w:space="0" w:color="auto"/>
            <w:left w:val="none" w:sz="0" w:space="0" w:color="auto"/>
            <w:bottom w:val="none" w:sz="0" w:space="0" w:color="auto"/>
            <w:right w:val="none" w:sz="0" w:space="0" w:color="auto"/>
          </w:divBdr>
        </w:div>
        <w:div w:id="1287199840">
          <w:marLeft w:val="0"/>
          <w:marRight w:val="0"/>
          <w:marTop w:val="0"/>
          <w:marBottom w:val="0"/>
          <w:divBdr>
            <w:top w:val="none" w:sz="0" w:space="0" w:color="auto"/>
            <w:left w:val="none" w:sz="0" w:space="0" w:color="auto"/>
            <w:bottom w:val="none" w:sz="0" w:space="0" w:color="auto"/>
            <w:right w:val="none" w:sz="0" w:space="0" w:color="auto"/>
          </w:divBdr>
        </w:div>
        <w:div w:id="1297645357">
          <w:marLeft w:val="0"/>
          <w:marRight w:val="0"/>
          <w:marTop w:val="0"/>
          <w:marBottom w:val="0"/>
          <w:divBdr>
            <w:top w:val="none" w:sz="0" w:space="0" w:color="auto"/>
            <w:left w:val="none" w:sz="0" w:space="0" w:color="auto"/>
            <w:bottom w:val="none" w:sz="0" w:space="0" w:color="auto"/>
            <w:right w:val="none" w:sz="0" w:space="0" w:color="auto"/>
          </w:divBdr>
        </w:div>
        <w:div w:id="1329551317">
          <w:marLeft w:val="0"/>
          <w:marRight w:val="0"/>
          <w:marTop w:val="0"/>
          <w:marBottom w:val="0"/>
          <w:divBdr>
            <w:top w:val="none" w:sz="0" w:space="0" w:color="auto"/>
            <w:left w:val="none" w:sz="0" w:space="0" w:color="auto"/>
            <w:bottom w:val="none" w:sz="0" w:space="0" w:color="auto"/>
            <w:right w:val="none" w:sz="0" w:space="0" w:color="auto"/>
          </w:divBdr>
        </w:div>
        <w:div w:id="1487470881">
          <w:marLeft w:val="0"/>
          <w:marRight w:val="0"/>
          <w:marTop w:val="0"/>
          <w:marBottom w:val="0"/>
          <w:divBdr>
            <w:top w:val="none" w:sz="0" w:space="0" w:color="auto"/>
            <w:left w:val="none" w:sz="0" w:space="0" w:color="auto"/>
            <w:bottom w:val="none" w:sz="0" w:space="0" w:color="auto"/>
            <w:right w:val="none" w:sz="0" w:space="0" w:color="auto"/>
          </w:divBdr>
        </w:div>
        <w:div w:id="1524629934">
          <w:marLeft w:val="0"/>
          <w:marRight w:val="0"/>
          <w:marTop w:val="0"/>
          <w:marBottom w:val="0"/>
          <w:divBdr>
            <w:top w:val="none" w:sz="0" w:space="0" w:color="auto"/>
            <w:left w:val="none" w:sz="0" w:space="0" w:color="auto"/>
            <w:bottom w:val="none" w:sz="0" w:space="0" w:color="auto"/>
            <w:right w:val="none" w:sz="0" w:space="0" w:color="auto"/>
          </w:divBdr>
        </w:div>
        <w:div w:id="1591697724">
          <w:marLeft w:val="0"/>
          <w:marRight w:val="0"/>
          <w:marTop w:val="0"/>
          <w:marBottom w:val="0"/>
          <w:divBdr>
            <w:top w:val="none" w:sz="0" w:space="0" w:color="auto"/>
            <w:left w:val="none" w:sz="0" w:space="0" w:color="auto"/>
            <w:bottom w:val="none" w:sz="0" w:space="0" w:color="auto"/>
            <w:right w:val="none" w:sz="0" w:space="0" w:color="auto"/>
          </w:divBdr>
        </w:div>
        <w:div w:id="1599823792">
          <w:marLeft w:val="0"/>
          <w:marRight w:val="0"/>
          <w:marTop w:val="0"/>
          <w:marBottom w:val="0"/>
          <w:divBdr>
            <w:top w:val="none" w:sz="0" w:space="0" w:color="auto"/>
            <w:left w:val="none" w:sz="0" w:space="0" w:color="auto"/>
            <w:bottom w:val="none" w:sz="0" w:space="0" w:color="auto"/>
            <w:right w:val="none" w:sz="0" w:space="0" w:color="auto"/>
          </w:divBdr>
        </w:div>
        <w:div w:id="1709187061">
          <w:marLeft w:val="0"/>
          <w:marRight w:val="0"/>
          <w:marTop w:val="0"/>
          <w:marBottom w:val="0"/>
          <w:divBdr>
            <w:top w:val="none" w:sz="0" w:space="0" w:color="auto"/>
            <w:left w:val="none" w:sz="0" w:space="0" w:color="auto"/>
            <w:bottom w:val="none" w:sz="0" w:space="0" w:color="auto"/>
            <w:right w:val="none" w:sz="0" w:space="0" w:color="auto"/>
          </w:divBdr>
        </w:div>
        <w:div w:id="1837988500">
          <w:marLeft w:val="0"/>
          <w:marRight w:val="0"/>
          <w:marTop w:val="0"/>
          <w:marBottom w:val="0"/>
          <w:divBdr>
            <w:top w:val="none" w:sz="0" w:space="0" w:color="auto"/>
            <w:left w:val="none" w:sz="0" w:space="0" w:color="auto"/>
            <w:bottom w:val="none" w:sz="0" w:space="0" w:color="auto"/>
            <w:right w:val="none" w:sz="0" w:space="0" w:color="auto"/>
          </w:divBdr>
        </w:div>
        <w:div w:id="1874265849">
          <w:marLeft w:val="0"/>
          <w:marRight w:val="0"/>
          <w:marTop w:val="0"/>
          <w:marBottom w:val="0"/>
          <w:divBdr>
            <w:top w:val="none" w:sz="0" w:space="0" w:color="auto"/>
            <w:left w:val="none" w:sz="0" w:space="0" w:color="auto"/>
            <w:bottom w:val="none" w:sz="0" w:space="0" w:color="auto"/>
            <w:right w:val="none" w:sz="0" w:space="0" w:color="auto"/>
          </w:divBdr>
        </w:div>
        <w:div w:id="2044867391">
          <w:marLeft w:val="0"/>
          <w:marRight w:val="0"/>
          <w:marTop w:val="0"/>
          <w:marBottom w:val="0"/>
          <w:divBdr>
            <w:top w:val="none" w:sz="0" w:space="0" w:color="auto"/>
            <w:left w:val="none" w:sz="0" w:space="0" w:color="auto"/>
            <w:bottom w:val="none" w:sz="0" w:space="0" w:color="auto"/>
            <w:right w:val="none" w:sz="0" w:space="0" w:color="auto"/>
          </w:divBdr>
        </w:div>
        <w:div w:id="2063366587">
          <w:marLeft w:val="0"/>
          <w:marRight w:val="0"/>
          <w:marTop w:val="0"/>
          <w:marBottom w:val="0"/>
          <w:divBdr>
            <w:top w:val="none" w:sz="0" w:space="0" w:color="auto"/>
            <w:left w:val="none" w:sz="0" w:space="0" w:color="auto"/>
            <w:bottom w:val="none" w:sz="0" w:space="0" w:color="auto"/>
            <w:right w:val="none" w:sz="0" w:space="0" w:color="auto"/>
          </w:divBdr>
        </w:div>
        <w:div w:id="2117674882">
          <w:marLeft w:val="0"/>
          <w:marRight w:val="0"/>
          <w:marTop w:val="0"/>
          <w:marBottom w:val="0"/>
          <w:divBdr>
            <w:top w:val="none" w:sz="0" w:space="0" w:color="auto"/>
            <w:left w:val="none" w:sz="0" w:space="0" w:color="auto"/>
            <w:bottom w:val="none" w:sz="0" w:space="0" w:color="auto"/>
            <w:right w:val="none" w:sz="0" w:space="0" w:color="auto"/>
          </w:divBdr>
        </w:div>
        <w:div w:id="2142845944">
          <w:marLeft w:val="0"/>
          <w:marRight w:val="0"/>
          <w:marTop w:val="0"/>
          <w:marBottom w:val="0"/>
          <w:divBdr>
            <w:top w:val="none" w:sz="0" w:space="0" w:color="auto"/>
            <w:left w:val="none" w:sz="0" w:space="0" w:color="auto"/>
            <w:bottom w:val="none" w:sz="0" w:space="0" w:color="auto"/>
            <w:right w:val="none" w:sz="0" w:space="0" w:color="auto"/>
          </w:divBdr>
        </w:div>
      </w:divsChild>
    </w:div>
    <w:div w:id="125391270">
      <w:bodyDiv w:val="1"/>
      <w:marLeft w:val="0"/>
      <w:marRight w:val="0"/>
      <w:marTop w:val="0"/>
      <w:marBottom w:val="0"/>
      <w:divBdr>
        <w:top w:val="none" w:sz="0" w:space="0" w:color="auto"/>
        <w:left w:val="none" w:sz="0" w:space="0" w:color="auto"/>
        <w:bottom w:val="none" w:sz="0" w:space="0" w:color="auto"/>
        <w:right w:val="none" w:sz="0" w:space="0" w:color="auto"/>
      </w:divBdr>
    </w:div>
    <w:div w:id="131405660">
      <w:bodyDiv w:val="1"/>
      <w:marLeft w:val="0"/>
      <w:marRight w:val="0"/>
      <w:marTop w:val="0"/>
      <w:marBottom w:val="0"/>
      <w:divBdr>
        <w:top w:val="none" w:sz="0" w:space="0" w:color="auto"/>
        <w:left w:val="none" w:sz="0" w:space="0" w:color="auto"/>
        <w:bottom w:val="none" w:sz="0" w:space="0" w:color="auto"/>
        <w:right w:val="none" w:sz="0" w:space="0" w:color="auto"/>
      </w:divBdr>
      <w:divsChild>
        <w:div w:id="1364792458">
          <w:marLeft w:val="547"/>
          <w:marRight w:val="0"/>
          <w:marTop w:val="0"/>
          <w:marBottom w:val="0"/>
          <w:divBdr>
            <w:top w:val="none" w:sz="0" w:space="0" w:color="auto"/>
            <w:left w:val="none" w:sz="0" w:space="0" w:color="auto"/>
            <w:bottom w:val="none" w:sz="0" w:space="0" w:color="auto"/>
            <w:right w:val="none" w:sz="0" w:space="0" w:color="auto"/>
          </w:divBdr>
        </w:div>
      </w:divsChild>
    </w:div>
    <w:div w:id="135993480">
      <w:bodyDiv w:val="1"/>
      <w:marLeft w:val="0"/>
      <w:marRight w:val="0"/>
      <w:marTop w:val="0"/>
      <w:marBottom w:val="0"/>
      <w:divBdr>
        <w:top w:val="none" w:sz="0" w:space="0" w:color="auto"/>
        <w:left w:val="none" w:sz="0" w:space="0" w:color="auto"/>
        <w:bottom w:val="none" w:sz="0" w:space="0" w:color="auto"/>
        <w:right w:val="none" w:sz="0" w:space="0" w:color="auto"/>
      </w:divBdr>
    </w:div>
    <w:div w:id="157187458">
      <w:bodyDiv w:val="1"/>
      <w:marLeft w:val="0"/>
      <w:marRight w:val="0"/>
      <w:marTop w:val="0"/>
      <w:marBottom w:val="0"/>
      <w:divBdr>
        <w:top w:val="none" w:sz="0" w:space="0" w:color="auto"/>
        <w:left w:val="none" w:sz="0" w:space="0" w:color="auto"/>
        <w:bottom w:val="none" w:sz="0" w:space="0" w:color="auto"/>
        <w:right w:val="none" w:sz="0" w:space="0" w:color="auto"/>
      </w:divBdr>
    </w:div>
    <w:div w:id="172498499">
      <w:bodyDiv w:val="1"/>
      <w:marLeft w:val="0"/>
      <w:marRight w:val="0"/>
      <w:marTop w:val="0"/>
      <w:marBottom w:val="0"/>
      <w:divBdr>
        <w:top w:val="none" w:sz="0" w:space="0" w:color="auto"/>
        <w:left w:val="none" w:sz="0" w:space="0" w:color="auto"/>
        <w:bottom w:val="none" w:sz="0" w:space="0" w:color="auto"/>
        <w:right w:val="none" w:sz="0" w:space="0" w:color="auto"/>
      </w:divBdr>
      <w:divsChild>
        <w:div w:id="121774072">
          <w:marLeft w:val="0"/>
          <w:marRight w:val="0"/>
          <w:marTop w:val="0"/>
          <w:marBottom w:val="0"/>
          <w:divBdr>
            <w:top w:val="none" w:sz="0" w:space="0" w:color="auto"/>
            <w:left w:val="none" w:sz="0" w:space="0" w:color="auto"/>
            <w:bottom w:val="none" w:sz="0" w:space="0" w:color="auto"/>
            <w:right w:val="none" w:sz="0" w:space="0" w:color="auto"/>
          </w:divBdr>
        </w:div>
        <w:div w:id="1139110365">
          <w:marLeft w:val="0"/>
          <w:marRight w:val="0"/>
          <w:marTop w:val="0"/>
          <w:marBottom w:val="0"/>
          <w:divBdr>
            <w:top w:val="none" w:sz="0" w:space="0" w:color="auto"/>
            <w:left w:val="none" w:sz="0" w:space="0" w:color="auto"/>
            <w:bottom w:val="none" w:sz="0" w:space="0" w:color="auto"/>
            <w:right w:val="none" w:sz="0" w:space="0" w:color="auto"/>
          </w:divBdr>
        </w:div>
        <w:div w:id="1318024843">
          <w:marLeft w:val="0"/>
          <w:marRight w:val="0"/>
          <w:marTop w:val="0"/>
          <w:marBottom w:val="0"/>
          <w:divBdr>
            <w:top w:val="none" w:sz="0" w:space="0" w:color="auto"/>
            <w:left w:val="none" w:sz="0" w:space="0" w:color="auto"/>
            <w:bottom w:val="none" w:sz="0" w:space="0" w:color="auto"/>
            <w:right w:val="none" w:sz="0" w:space="0" w:color="auto"/>
          </w:divBdr>
        </w:div>
        <w:div w:id="1365398107">
          <w:marLeft w:val="0"/>
          <w:marRight w:val="0"/>
          <w:marTop w:val="0"/>
          <w:marBottom w:val="0"/>
          <w:divBdr>
            <w:top w:val="none" w:sz="0" w:space="0" w:color="auto"/>
            <w:left w:val="none" w:sz="0" w:space="0" w:color="auto"/>
            <w:bottom w:val="none" w:sz="0" w:space="0" w:color="auto"/>
            <w:right w:val="none" w:sz="0" w:space="0" w:color="auto"/>
          </w:divBdr>
        </w:div>
        <w:div w:id="1498571255">
          <w:marLeft w:val="0"/>
          <w:marRight w:val="0"/>
          <w:marTop w:val="0"/>
          <w:marBottom w:val="0"/>
          <w:divBdr>
            <w:top w:val="none" w:sz="0" w:space="0" w:color="auto"/>
            <w:left w:val="none" w:sz="0" w:space="0" w:color="auto"/>
            <w:bottom w:val="none" w:sz="0" w:space="0" w:color="auto"/>
            <w:right w:val="none" w:sz="0" w:space="0" w:color="auto"/>
          </w:divBdr>
        </w:div>
        <w:div w:id="1505241111">
          <w:marLeft w:val="0"/>
          <w:marRight w:val="0"/>
          <w:marTop w:val="0"/>
          <w:marBottom w:val="0"/>
          <w:divBdr>
            <w:top w:val="none" w:sz="0" w:space="0" w:color="auto"/>
            <w:left w:val="none" w:sz="0" w:space="0" w:color="auto"/>
            <w:bottom w:val="none" w:sz="0" w:space="0" w:color="auto"/>
            <w:right w:val="none" w:sz="0" w:space="0" w:color="auto"/>
          </w:divBdr>
        </w:div>
        <w:div w:id="1646548156">
          <w:marLeft w:val="0"/>
          <w:marRight w:val="0"/>
          <w:marTop w:val="0"/>
          <w:marBottom w:val="0"/>
          <w:divBdr>
            <w:top w:val="none" w:sz="0" w:space="0" w:color="auto"/>
            <w:left w:val="none" w:sz="0" w:space="0" w:color="auto"/>
            <w:bottom w:val="none" w:sz="0" w:space="0" w:color="auto"/>
            <w:right w:val="none" w:sz="0" w:space="0" w:color="auto"/>
          </w:divBdr>
        </w:div>
        <w:div w:id="1676683065">
          <w:marLeft w:val="0"/>
          <w:marRight w:val="0"/>
          <w:marTop w:val="0"/>
          <w:marBottom w:val="0"/>
          <w:divBdr>
            <w:top w:val="none" w:sz="0" w:space="0" w:color="auto"/>
            <w:left w:val="none" w:sz="0" w:space="0" w:color="auto"/>
            <w:bottom w:val="none" w:sz="0" w:space="0" w:color="auto"/>
            <w:right w:val="none" w:sz="0" w:space="0" w:color="auto"/>
          </w:divBdr>
        </w:div>
        <w:div w:id="1758332617">
          <w:marLeft w:val="0"/>
          <w:marRight w:val="0"/>
          <w:marTop w:val="0"/>
          <w:marBottom w:val="0"/>
          <w:divBdr>
            <w:top w:val="none" w:sz="0" w:space="0" w:color="auto"/>
            <w:left w:val="none" w:sz="0" w:space="0" w:color="auto"/>
            <w:bottom w:val="none" w:sz="0" w:space="0" w:color="auto"/>
            <w:right w:val="none" w:sz="0" w:space="0" w:color="auto"/>
          </w:divBdr>
        </w:div>
        <w:div w:id="2093505749">
          <w:marLeft w:val="0"/>
          <w:marRight w:val="0"/>
          <w:marTop w:val="0"/>
          <w:marBottom w:val="0"/>
          <w:divBdr>
            <w:top w:val="none" w:sz="0" w:space="0" w:color="auto"/>
            <w:left w:val="none" w:sz="0" w:space="0" w:color="auto"/>
            <w:bottom w:val="none" w:sz="0" w:space="0" w:color="auto"/>
            <w:right w:val="none" w:sz="0" w:space="0" w:color="auto"/>
          </w:divBdr>
        </w:div>
      </w:divsChild>
    </w:div>
    <w:div w:id="187917982">
      <w:bodyDiv w:val="1"/>
      <w:marLeft w:val="0"/>
      <w:marRight w:val="0"/>
      <w:marTop w:val="0"/>
      <w:marBottom w:val="0"/>
      <w:divBdr>
        <w:top w:val="none" w:sz="0" w:space="0" w:color="auto"/>
        <w:left w:val="none" w:sz="0" w:space="0" w:color="auto"/>
        <w:bottom w:val="none" w:sz="0" w:space="0" w:color="auto"/>
        <w:right w:val="none" w:sz="0" w:space="0" w:color="auto"/>
      </w:divBdr>
    </w:div>
    <w:div w:id="191194173">
      <w:bodyDiv w:val="1"/>
      <w:marLeft w:val="0"/>
      <w:marRight w:val="0"/>
      <w:marTop w:val="0"/>
      <w:marBottom w:val="0"/>
      <w:divBdr>
        <w:top w:val="none" w:sz="0" w:space="0" w:color="auto"/>
        <w:left w:val="none" w:sz="0" w:space="0" w:color="auto"/>
        <w:bottom w:val="none" w:sz="0" w:space="0" w:color="auto"/>
        <w:right w:val="none" w:sz="0" w:space="0" w:color="auto"/>
      </w:divBdr>
    </w:div>
    <w:div w:id="210196990">
      <w:bodyDiv w:val="1"/>
      <w:marLeft w:val="0"/>
      <w:marRight w:val="0"/>
      <w:marTop w:val="0"/>
      <w:marBottom w:val="0"/>
      <w:divBdr>
        <w:top w:val="none" w:sz="0" w:space="0" w:color="auto"/>
        <w:left w:val="none" w:sz="0" w:space="0" w:color="auto"/>
        <w:bottom w:val="none" w:sz="0" w:space="0" w:color="auto"/>
        <w:right w:val="none" w:sz="0" w:space="0" w:color="auto"/>
      </w:divBdr>
    </w:div>
    <w:div w:id="211501886">
      <w:bodyDiv w:val="1"/>
      <w:marLeft w:val="0"/>
      <w:marRight w:val="0"/>
      <w:marTop w:val="0"/>
      <w:marBottom w:val="0"/>
      <w:divBdr>
        <w:top w:val="none" w:sz="0" w:space="0" w:color="auto"/>
        <w:left w:val="none" w:sz="0" w:space="0" w:color="auto"/>
        <w:bottom w:val="none" w:sz="0" w:space="0" w:color="auto"/>
        <w:right w:val="none" w:sz="0" w:space="0" w:color="auto"/>
      </w:divBdr>
      <w:divsChild>
        <w:div w:id="1394810048">
          <w:marLeft w:val="0"/>
          <w:marRight w:val="0"/>
          <w:marTop w:val="0"/>
          <w:marBottom w:val="0"/>
          <w:divBdr>
            <w:top w:val="none" w:sz="0" w:space="0" w:color="auto"/>
            <w:left w:val="none" w:sz="0" w:space="0" w:color="auto"/>
            <w:bottom w:val="none" w:sz="0" w:space="0" w:color="auto"/>
            <w:right w:val="none" w:sz="0" w:space="0" w:color="auto"/>
          </w:divBdr>
          <w:divsChild>
            <w:div w:id="19214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1994">
      <w:bodyDiv w:val="1"/>
      <w:marLeft w:val="0"/>
      <w:marRight w:val="0"/>
      <w:marTop w:val="0"/>
      <w:marBottom w:val="0"/>
      <w:divBdr>
        <w:top w:val="none" w:sz="0" w:space="0" w:color="auto"/>
        <w:left w:val="none" w:sz="0" w:space="0" w:color="auto"/>
        <w:bottom w:val="none" w:sz="0" w:space="0" w:color="auto"/>
        <w:right w:val="none" w:sz="0" w:space="0" w:color="auto"/>
      </w:divBdr>
    </w:div>
    <w:div w:id="221257207">
      <w:bodyDiv w:val="1"/>
      <w:marLeft w:val="0"/>
      <w:marRight w:val="0"/>
      <w:marTop w:val="0"/>
      <w:marBottom w:val="0"/>
      <w:divBdr>
        <w:top w:val="none" w:sz="0" w:space="0" w:color="auto"/>
        <w:left w:val="none" w:sz="0" w:space="0" w:color="auto"/>
        <w:bottom w:val="none" w:sz="0" w:space="0" w:color="auto"/>
        <w:right w:val="none" w:sz="0" w:space="0" w:color="auto"/>
      </w:divBdr>
    </w:div>
    <w:div w:id="230896392">
      <w:bodyDiv w:val="1"/>
      <w:marLeft w:val="0"/>
      <w:marRight w:val="0"/>
      <w:marTop w:val="0"/>
      <w:marBottom w:val="0"/>
      <w:divBdr>
        <w:top w:val="none" w:sz="0" w:space="0" w:color="auto"/>
        <w:left w:val="none" w:sz="0" w:space="0" w:color="auto"/>
        <w:bottom w:val="none" w:sz="0" w:space="0" w:color="auto"/>
        <w:right w:val="none" w:sz="0" w:space="0" w:color="auto"/>
      </w:divBdr>
    </w:div>
    <w:div w:id="233245858">
      <w:bodyDiv w:val="1"/>
      <w:marLeft w:val="0"/>
      <w:marRight w:val="0"/>
      <w:marTop w:val="0"/>
      <w:marBottom w:val="0"/>
      <w:divBdr>
        <w:top w:val="none" w:sz="0" w:space="0" w:color="auto"/>
        <w:left w:val="none" w:sz="0" w:space="0" w:color="auto"/>
        <w:bottom w:val="none" w:sz="0" w:space="0" w:color="auto"/>
        <w:right w:val="none" w:sz="0" w:space="0" w:color="auto"/>
      </w:divBdr>
    </w:div>
    <w:div w:id="236745594">
      <w:bodyDiv w:val="1"/>
      <w:marLeft w:val="0"/>
      <w:marRight w:val="0"/>
      <w:marTop w:val="0"/>
      <w:marBottom w:val="0"/>
      <w:divBdr>
        <w:top w:val="none" w:sz="0" w:space="0" w:color="auto"/>
        <w:left w:val="none" w:sz="0" w:space="0" w:color="auto"/>
        <w:bottom w:val="none" w:sz="0" w:space="0" w:color="auto"/>
        <w:right w:val="none" w:sz="0" w:space="0" w:color="auto"/>
      </w:divBdr>
      <w:divsChild>
        <w:div w:id="30344703">
          <w:marLeft w:val="0"/>
          <w:marRight w:val="0"/>
          <w:marTop w:val="0"/>
          <w:marBottom w:val="0"/>
          <w:divBdr>
            <w:top w:val="none" w:sz="0" w:space="0" w:color="auto"/>
            <w:left w:val="none" w:sz="0" w:space="0" w:color="auto"/>
            <w:bottom w:val="none" w:sz="0" w:space="0" w:color="auto"/>
            <w:right w:val="none" w:sz="0" w:space="0" w:color="auto"/>
          </w:divBdr>
          <w:divsChild>
            <w:div w:id="787236730">
              <w:marLeft w:val="0"/>
              <w:marRight w:val="0"/>
              <w:marTop w:val="0"/>
              <w:marBottom w:val="0"/>
              <w:divBdr>
                <w:top w:val="none" w:sz="0" w:space="0" w:color="auto"/>
                <w:left w:val="none" w:sz="0" w:space="0" w:color="auto"/>
                <w:bottom w:val="none" w:sz="0" w:space="0" w:color="auto"/>
                <w:right w:val="none" w:sz="0" w:space="0" w:color="auto"/>
              </w:divBdr>
            </w:div>
            <w:div w:id="877935140">
              <w:marLeft w:val="0"/>
              <w:marRight w:val="0"/>
              <w:marTop w:val="0"/>
              <w:marBottom w:val="0"/>
              <w:divBdr>
                <w:top w:val="none" w:sz="0" w:space="0" w:color="auto"/>
                <w:left w:val="none" w:sz="0" w:space="0" w:color="auto"/>
                <w:bottom w:val="none" w:sz="0" w:space="0" w:color="auto"/>
                <w:right w:val="none" w:sz="0" w:space="0" w:color="auto"/>
              </w:divBdr>
            </w:div>
          </w:divsChild>
        </w:div>
        <w:div w:id="34279749">
          <w:marLeft w:val="0"/>
          <w:marRight w:val="0"/>
          <w:marTop w:val="0"/>
          <w:marBottom w:val="0"/>
          <w:divBdr>
            <w:top w:val="none" w:sz="0" w:space="0" w:color="auto"/>
            <w:left w:val="none" w:sz="0" w:space="0" w:color="auto"/>
            <w:bottom w:val="none" w:sz="0" w:space="0" w:color="auto"/>
            <w:right w:val="none" w:sz="0" w:space="0" w:color="auto"/>
          </w:divBdr>
          <w:divsChild>
            <w:div w:id="1133670">
              <w:marLeft w:val="0"/>
              <w:marRight w:val="0"/>
              <w:marTop w:val="0"/>
              <w:marBottom w:val="0"/>
              <w:divBdr>
                <w:top w:val="none" w:sz="0" w:space="0" w:color="auto"/>
                <w:left w:val="none" w:sz="0" w:space="0" w:color="auto"/>
                <w:bottom w:val="none" w:sz="0" w:space="0" w:color="auto"/>
                <w:right w:val="none" w:sz="0" w:space="0" w:color="auto"/>
              </w:divBdr>
            </w:div>
            <w:div w:id="1847405211">
              <w:marLeft w:val="0"/>
              <w:marRight w:val="0"/>
              <w:marTop w:val="0"/>
              <w:marBottom w:val="0"/>
              <w:divBdr>
                <w:top w:val="none" w:sz="0" w:space="0" w:color="auto"/>
                <w:left w:val="none" w:sz="0" w:space="0" w:color="auto"/>
                <w:bottom w:val="none" w:sz="0" w:space="0" w:color="auto"/>
                <w:right w:val="none" w:sz="0" w:space="0" w:color="auto"/>
              </w:divBdr>
            </w:div>
          </w:divsChild>
        </w:div>
        <w:div w:id="57366611">
          <w:marLeft w:val="0"/>
          <w:marRight w:val="0"/>
          <w:marTop w:val="0"/>
          <w:marBottom w:val="0"/>
          <w:divBdr>
            <w:top w:val="none" w:sz="0" w:space="0" w:color="auto"/>
            <w:left w:val="none" w:sz="0" w:space="0" w:color="auto"/>
            <w:bottom w:val="none" w:sz="0" w:space="0" w:color="auto"/>
            <w:right w:val="none" w:sz="0" w:space="0" w:color="auto"/>
          </w:divBdr>
          <w:divsChild>
            <w:div w:id="219093494">
              <w:marLeft w:val="0"/>
              <w:marRight w:val="0"/>
              <w:marTop w:val="0"/>
              <w:marBottom w:val="0"/>
              <w:divBdr>
                <w:top w:val="none" w:sz="0" w:space="0" w:color="auto"/>
                <w:left w:val="none" w:sz="0" w:space="0" w:color="auto"/>
                <w:bottom w:val="none" w:sz="0" w:space="0" w:color="auto"/>
                <w:right w:val="none" w:sz="0" w:space="0" w:color="auto"/>
              </w:divBdr>
            </w:div>
            <w:div w:id="1574200794">
              <w:marLeft w:val="0"/>
              <w:marRight w:val="0"/>
              <w:marTop w:val="0"/>
              <w:marBottom w:val="0"/>
              <w:divBdr>
                <w:top w:val="none" w:sz="0" w:space="0" w:color="auto"/>
                <w:left w:val="none" w:sz="0" w:space="0" w:color="auto"/>
                <w:bottom w:val="none" w:sz="0" w:space="0" w:color="auto"/>
                <w:right w:val="none" w:sz="0" w:space="0" w:color="auto"/>
              </w:divBdr>
            </w:div>
          </w:divsChild>
        </w:div>
        <w:div w:id="158425218">
          <w:marLeft w:val="0"/>
          <w:marRight w:val="0"/>
          <w:marTop w:val="0"/>
          <w:marBottom w:val="0"/>
          <w:divBdr>
            <w:top w:val="none" w:sz="0" w:space="0" w:color="auto"/>
            <w:left w:val="none" w:sz="0" w:space="0" w:color="auto"/>
            <w:bottom w:val="none" w:sz="0" w:space="0" w:color="auto"/>
            <w:right w:val="none" w:sz="0" w:space="0" w:color="auto"/>
          </w:divBdr>
          <w:divsChild>
            <w:div w:id="535503665">
              <w:marLeft w:val="0"/>
              <w:marRight w:val="0"/>
              <w:marTop w:val="0"/>
              <w:marBottom w:val="0"/>
              <w:divBdr>
                <w:top w:val="none" w:sz="0" w:space="0" w:color="auto"/>
                <w:left w:val="none" w:sz="0" w:space="0" w:color="auto"/>
                <w:bottom w:val="none" w:sz="0" w:space="0" w:color="auto"/>
                <w:right w:val="none" w:sz="0" w:space="0" w:color="auto"/>
              </w:divBdr>
            </w:div>
            <w:div w:id="743259000">
              <w:marLeft w:val="0"/>
              <w:marRight w:val="0"/>
              <w:marTop w:val="0"/>
              <w:marBottom w:val="0"/>
              <w:divBdr>
                <w:top w:val="none" w:sz="0" w:space="0" w:color="auto"/>
                <w:left w:val="none" w:sz="0" w:space="0" w:color="auto"/>
                <w:bottom w:val="none" w:sz="0" w:space="0" w:color="auto"/>
                <w:right w:val="none" w:sz="0" w:space="0" w:color="auto"/>
              </w:divBdr>
            </w:div>
          </w:divsChild>
        </w:div>
        <w:div w:id="210927147">
          <w:marLeft w:val="0"/>
          <w:marRight w:val="0"/>
          <w:marTop w:val="0"/>
          <w:marBottom w:val="0"/>
          <w:divBdr>
            <w:top w:val="none" w:sz="0" w:space="0" w:color="auto"/>
            <w:left w:val="none" w:sz="0" w:space="0" w:color="auto"/>
            <w:bottom w:val="none" w:sz="0" w:space="0" w:color="auto"/>
            <w:right w:val="none" w:sz="0" w:space="0" w:color="auto"/>
          </w:divBdr>
          <w:divsChild>
            <w:div w:id="453333445">
              <w:marLeft w:val="0"/>
              <w:marRight w:val="0"/>
              <w:marTop w:val="0"/>
              <w:marBottom w:val="0"/>
              <w:divBdr>
                <w:top w:val="none" w:sz="0" w:space="0" w:color="auto"/>
                <w:left w:val="none" w:sz="0" w:space="0" w:color="auto"/>
                <w:bottom w:val="none" w:sz="0" w:space="0" w:color="auto"/>
                <w:right w:val="none" w:sz="0" w:space="0" w:color="auto"/>
              </w:divBdr>
            </w:div>
            <w:div w:id="1433744952">
              <w:marLeft w:val="0"/>
              <w:marRight w:val="0"/>
              <w:marTop w:val="0"/>
              <w:marBottom w:val="0"/>
              <w:divBdr>
                <w:top w:val="none" w:sz="0" w:space="0" w:color="auto"/>
                <w:left w:val="none" w:sz="0" w:space="0" w:color="auto"/>
                <w:bottom w:val="none" w:sz="0" w:space="0" w:color="auto"/>
                <w:right w:val="none" w:sz="0" w:space="0" w:color="auto"/>
              </w:divBdr>
            </w:div>
          </w:divsChild>
        </w:div>
        <w:div w:id="234247883">
          <w:marLeft w:val="0"/>
          <w:marRight w:val="0"/>
          <w:marTop w:val="0"/>
          <w:marBottom w:val="0"/>
          <w:divBdr>
            <w:top w:val="none" w:sz="0" w:space="0" w:color="auto"/>
            <w:left w:val="none" w:sz="0" w:space="0" w:color="auto"/>
            <w:bottom w:val="none" w:sz="0" w:space="0" w:color="auto"/>
            <w:right w:val="none" w:sz="0" w:space="0" w:color="auto"/>
          </w:divBdr>
          <w:divsChild>
            <w:div w:id="331570952">
              <w:marLeft w:val="0"/>
              <w:marRight w:val="0"/>
              <w:marTop w:val="0"/>
              <w:marBottom w:val="0"/>
              <w:divBdr>
                <w:top w:val="none" w:sz="0" w:space="0" w:color="auto"/>
                <w:left w:val="none" w:sz="0" w:space="0" w:color="auto"/>
                <w:bottom w:val="none" w:sz="0" w:space="0" w:color="auto"/>
                <w:right w:val="none" w:sz="0" w:space="0" w:color="auto"/>
              </w:divBdr>
            </w:div>
            <w:div w:id="1321500014">
              <w:marLeft w:val="0"/>
              <w:marRight w:val="0"/>
              <w:marTop w:val="0"/>
              <w:marBottom w:val="0"/>
              <w:divBdr>
                <w:top w:val="none" w:sz="0" w:space="0" w:color="auto"/>
                <w:left w:val="none" w:sz="0" w:space="0" w:color="auto"/>
                <w:bottom w:val="none" w:sz="0" w:space="0" w:color="auto"/>
                <w:right w:val="none" w:sz="0" w:space="0" w:color="auto"/>
              </w:divBdr>
            </w:div>
          </w:divsChild>
        </w:div>
        <w:div w:id="312376258">
          <w:marLeft w:val="0"/>
          <w:marRight w:val="0"/>
          <w:marTop w:val="0"/>
          <w:marBottom w:val="0"/>
          <w:divBdr>
            <w:top w:val="none" w:sz="0" w:space="0" w:color="auto"/>
            <w:left w:val="none" w:sz="0" w:space="0" w:color="auto"/>
            <w:bottom w:val="none" w:sz="0" w:space="0" w:color="auto"/>
            <w:right w:val="none" w:sz="0" w:space="0" w:color="auto"/>
          </w:divBdr>
          <w:divsChild>
            <w:div w:id="179783802">
              <w:marLeft w:val="0"/>
              <w:marRight w:val="0"/>
              <w:marTop w:val="0"/>
              <w:marBottom w:val="0"/>
              <w:divBdr>
                <w:top w:val="none" w:sz="0" w:space="0" w:color="auto"/>
                <w:left w:val="none" w:sz="0" w:space="0" w:color="auto"/>
                <w:bottom w:val="none" w:sz="0" w:space="0" w:color="auto"/>
                <w:right w:val="none" w:sz="0" w:space="0" w:color="auto"/>
              </w:divBdr>
            </w:div>
            <w:div w:id="541141148">
              <w:marLeft w:val="0"/>
              <w:marRight w:val="0"/>
              <w:marTop w:val="0"/>
              <w:marBottom w:val="0"/>
              <w:divBdr>
                <w:top w:val="none" w:sz="0" w:space="0" w:color="auto"/>
                <w:left w:val="none" w:sz="0" w:space="0" w:color="auto"/>
                <w:bottom w:val="none" w:sz="0" w:space="0" w:color="auto"/>
                <w:right w:val="none" w:sz="0" w:space="0" w:color="auto"/>
              </w:divBdr>
            </w:div>
          </w:divsChild>
        </w:div>
        <w:div w:id="358967171">
          <w:marLeft w:val="0"/>
          <w:marRight w:val="0"/>
          <w:marTop w:val="0"/>
          <w:marBottom w:val="0"/>
          <w:divBdr>
            <w:top w:val="none" w:sz="0" w:space="0" w:color="auto"/>
            <w:left w:val="none" w:sz="0" w:space="0" w:color="auto"/>
            <w:bottom w:val="none" w:sz="0" w:space="0" w:color="auto"/>
            <w:right w:val="none" w:sz="0" w:space="0" w:color="auto"/>
          </w:divBdr>
          <w:divsChild>
            <w:div w:id="1493401499">
              <w:marLeft w:val="0"/>
              <w:marRight w:val="0"/>
              <w:marTop w:val="0"/>
              <w:marBottom w:val="0"/>
              <w:divBdr>
                <w:top w:val="none" w:sz="0" w:space="0" w:color="auto"/>
                <w:left w:val="none" w:sz="0" w:space="0" w:color="auto"/>
                <w:bottom w:val="none" w:sz="0" w:space="0" w:color="auto"/>
                <w:right w:val="none" w:sz="0" w:space="0" w:color="auto"/>
              </w:divBdr>
            </w:div>
            <w:div w:id="1734429857">
              <w:marLeft w:val="0"/>
              <w:marRight w:val="0"/>
              <w:marTop w:val="0"/>
              <w:marBottom w:val="0"/>
              <w:divBdr>
                <w:top w:val="none" w:sz="0" w:space="0" w:color="auto"/>
                <w:left w:val="none" w:sz="0" w:space="0" w:color="auto"/>
                <w:bottom w:val="none" w:sz="0" w:space="0" w:color="auto"/>
                <w:right w:val="none" w:sz="0" w:space="0" w:color="auto"/>
              </w:divBdr>
            </w:div>
          </w:divsChild>
        </w:div>
        <w:div w:id="375005763">
          <w:marLeft w:val="0"/>
          <w:marRight w:val="0"/>
          <w:marTop w:val="0"/>
          <w:marBottom w:val="0"/>
          <w:divBdr>
            <w:top w:val="none" w:sz="0" w:space="0" w:color="auto"/>
            <w:left w:val="none" w:sz="0" w:space="0" w:color="auto"/>
            <w:bottom w:val="none" w:sz="0" w:space="0" w:color="auto"/>
            <w:right w:val="none" w:sz="0" w:space="0" w:color="auto"/>
          </w:divBdr>
          <w:divsChild>
            <w:div w:id="1494225692">
              <w:marLeft w:val="0"/>
              <w:marRight w:val="0"/>
              <w:marTop w:val="0"/>
              <w:marBottom w:val="0"/>
              <w:divBdr>
                <w:top w:val="none" w:sz="0" w:space="0" w:color="auto"/>
                <w:left w:val="none" w:sz="0" w:space="0" w:color="auto"/>
                <w:bottom w:val="none" w:sz="0" w:space="0" w:color="auto"/>
                <w:right w:val="none" w:sz="0" w:space="0" w:color="auto"/>
              </w:divBdr>
            </w:div>
            <w:div w:id="1574000905">
              <w:marLeft w:val="0"/>
              <w:marRight w:val="0"/>
              <w:marTop w:val="0"/>
              <w:marBottom w:val="0"/>
              <w:divBdr>
                <w:top w:val="none" w:sz="0" w:space="0" w:color="auto"/>
                <w:left w:val="none" w:sz="0" w:space="0" w:color="auto"/>
                <w:bottom w:val="none" w:sz="0" w:space="0" w:color="auto"/>
                <w:right w:val="none" w:sz="0" w:space="0" w:color="auto"/>
              </w:divBdr>
            </w:div>
          </w:divsChild>
        </w:div>
        <w:div w:id="401101329">
          <w:marLeft w:val="0"/>
          <w:marRight w:val="0"/>
          <w:marTop w:val="0"/>
          <w:marBottom w:val="0"/>
          <w:divBdr>
            <w:top w:val="none" w:sz="0" w:space="0" w:color="auto"/>
            <w:left w:val="none" w:sz="0" w:space="0" w:color="auto"/>
            <w:bottom w:val="none" w:sz="0" w:space="0" w:color="auto"/>
            <w:right w:val="none" w:sz="0" w:space="0" w:color="auto"/>
          </w:divBdr>
          <w:divsChild>
            <w:div w:id="1350184060">
              <w:marLeft w:val="0"/>
              <w:marRight w:val="0"/>
              <w:marTop w:val="0"/>
              <w:marBottom w:val="0"/>
              <w:divBdr>
                <w:top w:val="none" w:sz="0" w:space="0" w:color="auto"/>
                <w:left w:val="none" w:sz="0" w:space="0" w:color="auto"/>
                <w:bottom w:val="none" w:sz="0" w:space="0" w:color="auto"/>
                <w:right w:val="none" w:sz="0" w:space="0" w:color="auto"/>
              </w:divBdr>
            </w:div>
            <w:div w:id="2008895916">
              <w:marLeft w:val="0"/>
              <w:marRight w:val="0"/>
              <w:marTop w:val="0"/>
              <w:marBottom w:val="0"/>
              <w:divBdr>
                <w:top w:val="none" w:sz="0" w:space="0" w:color="auto"/>
                <w:left w:val="none" w:sz="0" w:space="0" w:color="auto"/>
                <w:bottom w:val="none" w:sz="0" w:space="0" w:color="auto"/>
                <w:right w:val="none" w:sz="0" w:space="0" w:color="auto"/>
              </w:divBdr>
            </w:div>
          </w:divsChild>
        </w:div>
        <w:div w:id="439228097">
          <w:marLeft w:val="0"/>
          <w:marRight w:val="0"/>
          <w:marTop w:val="0"/>
          <w:marBottom w:val="0"/>
          <w:divBdr>
            <w:top w:val="none" w:sz="0" w:space="0" w:color="auto"/>
            <w:left w:val="none" w:sz="0" w:space="0" w:color="auto"/>
            <w:bottom w:val="none" w:sz="0" w:space="0" w:color="auto"/>
            <w:right w:val="none" w:sz="0" w:space="0" w:color="auto"/>
          </w:divBdr>
          <w:divsChild>
            <w:div w:id="25641011">
              <w:marLeft w:val="0"/>
              <w:marRight w:val="0"/>
              <w:marTop w:val="0"/>
              <w:marBottom w:val="0"/>
              <w:divBdr>
                <w:top w:val="none" w:sz="0" w:space="0" w:color="auto"/>
                <w:left w:val="none" w:sz="0" w:space="0" w:color="auto"/>
                <w:bottom w:val="none" w:sz="0" w:space="0" w:color="auto"/>
                <w:right w:val="none" w:sz="0" w:space="0" w:color="auto"/>
              </w:divBdr>
            </w:div>
            <w:div w:id="2106338151">
              <w:marLeft w:val="0"/>
              <w:marRight w:val="0"/>
              <w:marTop w:val="0"/>
              <w:marBottom w:val="0"/>
              <w:divBdr>
                <w:top w:val="none" w:sz="0" w:space="0" w:color="auto"/>
                <w:left w:val="none" w:sz="0" w:space="0" w:color="auto"/>
                <w:bottom w:val="none" w:sz="0" w:space="0" w:color="auto"/>
                <w:right w:val="none" w:sz="0" w:space="0" w:color="auto"/>
              </w:divBdr>
            </w:div>
          </w:divsChild>
        </w:div>
        <w:div w:id="496504277">
          <w:marLeft w:val="0"/>
          <w:marRight w:val="0"/>
          <w:marTop w:val="0"/>
          <w:marBottom w:val="0"/>
          <w:divBdr>
            <w:top w:val="none" w:sz="0" w:space="0" w:color="auto"/>
            <w:left w:val="none" w:sz="0" w:space="0" w:color="auto"/>
            <w:bottom w:val="none" w:sz="0" w:space="0" w:color="auto"/>
            <w:right w:val="none" w:sz="0" w:space="0" w:color="auto"/>
          </w:divBdr>
          <w:divsChild>
            <w:div w:id="737678141">
              <w:marLeft w:val="0"/>
              <w:marRight w:val="0"/>
              <w:marTop w:val="0"/>
              <w:marBottom w:val="0"/>
              <w:divBdr>
                <w:top w:val="none" w:sz="0" w:space="0" w:color="auto"/>
                <w:left w:val="none" w:sz="0" w:space="0" w:color="auto"/>
                <w:bottom w:val="none" w:sz="0" w:space="0" w:color="auto"/>
                <w:right w:val="none" w:sz="0" w:space="0" w:color="auto"/>
              </w:divBdr>
            </w:div>
            <w:div w:id="1160585483">
              <w:marLeft w:val="0"/>
              <w:marRight w:val="0"/>
              <w:marTop w:val="0"/>
              <w:marBottom w:val="0"/>
              <w:divBdr>
                <w:top w:val="none" w:sz="0" w:space="0" w:color="auto"/>
                <w:left w:val="none" w:sz="0" w:space="0" w:color="auto"/>
                <w:bottom w:val="none" w:sz="0" w:space="0" w:color="auto"/>
                <w:right w:val="none" w:sz="0" w:space="0" w:color="auto"/>
              </w:divBdr>
            </w:div>
          </w:divsChild>
        </w:div>
        <w:div w:id="516307179">
          <w:marLeft w:val="0"/>
          <w:marRight w:val="0"/>
          <w:marTop w:val="0"/>
          <w:marBottom w:val="0"/>
          <w:divBdr>
            <w:top w:val="none" w:sz="0" w:space="0" w:color="auto"/>
            <w:left w:val="none" w:sz="0" w:space="0" w:color="auto"/>
            <w:bottom w:val="none" w:sz="0" w:space="0" w:color="auto"/>
            <w:right w:val="none" w:sz="0" w:space="0" w:color="auto"/>
          </w:divBdr>
          <w:divsChild>
            <w:div w:id="1046026699">
              <w:marLeft w:val="0"/>
              <w:marRight w:val="0"/>
              <w:marTop w:val="0"/>
              <w:marBottom w:val="0"/>
              <w:divBdr>
                <w:top w:val="none" w:sz="0" w:space="0" w:color="auto"/>
                <w:left w:val="none" w:sz="0" w:space="0" w:color="auto"/>
                <w:bottom w:val="none" w:sz="0" w:space="0" w:color="auto"/>
                <w:right w:val="none" w:sz="0" w:space="0" w:color="auto"/>
              </w:divBdr>
            </w:div>
          </w:divsChild>
        </w:div>
        <w:div w:id="600719458">
          <w:marLeft w:val="0"/>
          <w:marRight w:val="0"/>
          <w:marTop w:val="0"/>
          <w:marBottom w:val="0"/>
          <w:divBdr>
            <w:top w:val="none" w:sz="0" w:space="0" w:color="auto"/>
            <w:left w:val="none" w:sz="0" w:space="0" w:color="auto"/>
            <w:bottom w:val="none" w:sz="0" w:space="0" w:color="auto"/>
            <w:right w:val="none" w:sz="0" w:space="0" w:color="auto"/>
          </w:divBdr>
          <w:divsChild>
            <w:div w:id="346979544">
              <w:marLeft w:val="0"/>
              <w:marRight w:val="0"/>
              <w:marTop w:val="0"/>
              <w:marBottom w:val="0"/>
              <w:divBdr>
                <w:top w:val="none" w:sz="0" w:space="0" w:color="auto"/>
                <w:left w:val="none" w:sz="0" w:space="0" w:color="auto"/>
                <w:bottom w:val="none" w:sz="0" w:space="0" w:color="auto"/>
                <w:right w:val="none" w:sz="0" w:space="0" w:color="auto"/>
              </w:divBdr>
            </w:div>
            <w:div w:id="1753356187">
              <w:marLeft w:val="0"/>
              <w:marRight w:val="0"/>
              <w:marTop w:val="0"/>
              <w:marBottom w:val="0"/>
              <w:divBdr>
                <w:top w:val="none" w:sz="0" w:space="0" w:color="auto"/>
                <w:left w:val="none" w:sz="0" w:space="0" w:color="auto"/>
                <w:bottom w:val="none" w:sz="0" w:space="0" w:color="auto"/>
                <w:right w:val="none" w:sz="0" w:space="0" w:color="auto"/>
              </w:divBdr>
            </w:div>
          </w:divsChild>
        </w:div>
        <w:div w:id="661274693">
          <w:marLeft w:val="0"/>
          <w:marRight w:val="0"/>
          <w:marTop w:val="0"/>
          <w:marBottom w:val="0"/>
          <w:divBdr>
            <w:top w:val="none" w:sz="0" w:space="0" w:color="auto"/>
            <w:left w:val="none" w:sz="0" w:space="0" w:color="auto"/>
            <w:bottom w:val="none" w:sz="0" w:space="0" w:color="auto"/>
            <w:right w:val="none" w:sz="0" w:space="0" w:color="auto"/>
          </w:divBdr>
          <w:divsChild>
            <w:div w:id="288434837">
              <w:marLeft w:val="0"/>
              <w:marRight w:val="0"/>
              <w:marTop w:val="0"/>
              <w:marBottom w:val="0"/>
              <w:divBdr>
                <w:top w:val="none" w:sz="0" w:space="0" w:color="auto"/>
                <w:left w:val="none" w:sz="0" w:space="0" w:color="auto"/>
                <w:bottom w:val="none" w:sz="0" w:space="0" w:color="auto"/>
                <w:right w:val="none" w:sz="0" w:space="0" w:color="auto"/>
              </w:divBdr>
            </w:div>
            <w:div w:id="1886866978">
              <w:marLeft w:val="0"/>
              <w:marRight w:val="0"/>
              <w:marTop w:val="0"/>
              <w:marBottom w:val="0"/>
              <w:divBdr>
                <w:top w:val="none" w:sz="0" w:space="0" w:color="auto"/>
                <w:left w:val="none" w:sz="0" w:space="0" w:color="auto"/>
                <w:bottom w:val="none" w:sz="0" w:space="0" w:color="auto"/>
                <w:right w:val="none" w:sz="0" w:space="0" w:color="auto"/>
              </w:divBdr>
            </w:div>
          </w:divsChild>
        </w:div>
        <w:div w:id="938874956">
          <w:marLeft w:val="0"/>
          <w:marRight w:val="0"/>
          <w:marTop w:val="0"/>
          <w:marBottom w:val="0"/>
          <w:divBdr>
            <w:top w:val="none" w:sz="0" w:space="0" w:color="auto"/>
            <w:left w:val="none" w:sz="0" w:space="0" w:color="auto"/>
            <w:bottom w:val="none" w:sz="0" w:space="0" w:color="auto"/>
            <w:right w:val="none" w:sz="0" w:space="0" w:color="auto"/>
          </w:divBdr>
          <w:divsChild>
            <w:div w:id="348871461">
              <w:marLeft w:val="0"/>
              <w:marRight w:val="0"/>
              <w:marTop w:val="0"/>
              <w:marBottom w:val="0"/>
              <w:divBdr>
                <w:top w:val="none" w:sz="0" w:space="0" w:color="auto"/>
                <w:left w:val="none" w:sz="0" w:space="0" w:color="auto"/>
                <w:bottom w:val="none" w:sz="0" w:space="0" w:color="auto"/>
                <w:right w:val="none" w:sz="0" w:space="0" w:color="auto"/>
              </w:divBdr>
            </w:div>
            <w:div w:id="889459023">
              <w:marLeft w:val="0"/>
              <w:marRight w:val="0"/>
              <w:marTop w:val="0"/>
              <w:marBottom w:val="0"/>
              <w:divBdr>
                <w:top w:val="none" w:sz="0" w:space="0" w:color="auto"/>
                <w:left w:val="none" w:sz="0" w:space="0" w:color="auto"/>
                <w:bottom w:val="none" w:sz="0" w:space="0" w:color="auto"/>
                <w:right w:val="none" w:sz="0" w:space="0" w:color="auto"/>
              </w:divBdr>
            </w:div>
          </w:divsChild>
        </w:div>
        <w:div w:id="982975640">
          <w:marLeft w:val="0"/>
          <w:marRight w:val="0"/>
          <w:marTop w:val="0"/>
          <w:marBottom w:val="0"/>
          <w:divBdr>
            <w:top w:val="none" w:sz="0" w:space="0" w:color="auto"/>
            <w:left w:val="none" w:sz="0" w:space="0" w:color="auto"/>
            <w:bottom w:val="none" w:sz="0" w:space="0" w:color="auto"/>
            <w:right w:val="none" w:sz="0" w:space="0" w:color="auto"/>
          </w:divBdr>
          <w:divsChild>
            <w:div w:id="532153019">
              <w:marLeft w:val="0"/>
              <w:marRight w:val="0"/>
              <w:marTop w:val="0"/>
              <w:marBottom w:val="0"/>
              <w:divBdr>
                <w:top w:val="none" w:sz="0" w:space="0" w:color="auto"/>
                <w:left w:val="none" w:sz="0" w:space="0" w:color="auto"/>
                <w:bottom w:val="none" w:sz="0" w:space="0" w:color="auto"/>
                <w:right w:val="none" w:sz="0" w:space="0" w:color="auto"/>
              </w:divBdr>
            </w:div>
            <w:div w:id="651913067">
              <w:marLeft w:val="0"/>
              <w:marRight w:val="0"/>
              <w:marTop w:val="0"/>
              <w:marBottom w:val="0"/>
              <w:divBdr>
                <w:top w:val="none" w:sz="0" w:space="0" w:color="auto"/>
                <w:left w:val="none" w:sz="0" w:space="0" w:color="auto"/>
                <w:bottom w:val="none" w:sz="0" w:space="0" w:color="auto"/>
                <w:right w:val="none" w:sz="0" w:space="0" w:color="auto"/>
              </w:divBdr>
            </w:div>
          </w:divsChild>
        </w:div>
        <w:div w:id="1091926053">
          <w:marLeft w:val="0"/>
          <w:marRight w:val="0"/>
          <w:marTop w:val="0"/>
          <w:marBottom w:val="0"/>
          <w:divBdr>
            <w:top w:val="none" w:sz="0" w:space="0" w:color="auto"/>
            <w:left w:val="none" w:sz="0" w:space="0" w:color="auto"/>
            <w:bottom w:val="none" w:sz="0" w:space="0" w:color="auto"/>
            <w:right w:val="none" w:sz="0" w:space="0" w:color="auto"/>
          </w:divBdr>
          <w:divsChild>
            <w:div w:id="278101009">
              <w:marLeft w:val="0"/>
              <w:marRight w:val="0"/>
              <w:marTop w:val="0"/>
              <w:marBottom w:val="0"/>
              <w:divBdr>
                <w:top w:val="none" w:sz="0" w:space="0" w:color="auto"/>
                <w:left w:val="none" w:sz="0" w:space="0" w:color="auto"/>
                <w:bottom w:val="none" w:sz="0" w:space="0" w:color="auto"/>
                <w:right w:val="none" w:sz="0" w:space="0" w:color="auto"/>
              </w:divBdr>
            </w:div>
            <w:div w:id="2035418349">
              <w:marLeft w:val="0"/>
              <w:marRight w:val="0"/>
              <w:marTop w:val="0"/>
              <w:marBottom w:val="0"/>
              <w:divBdr>
                <w:top w:val="none" w:sz="0" w:space="0" w:color="auto"/>
                <w:left w:val="none" w:sz="0" w:space="0" w:color="auto"/>
                <w:bottom w:val="none" w:sz="0" w:space="0" w:color="auto"/>
                <w:right w:val="none" w:sz="0" w:space="0" w:color="auto"/>
              </w:divBdr>
            </w:div>
          </w:divsChild>
        </w:div>
        <w:div w:id="1184127867">
          <w:marLeft w:val="0"/>
          <w:marRight w:val="0"/>
          <w:marTop w:val="0"/>
          <w:marBottom w:val="0"/>
          <w:divBdr>
            <w:top w:val="none" w:sz="0" w:space="0" w:color="auto"/>
            <w:left w:val="none" w:sz="0" w:space="0" w:color="auto"/>
            <w:bottom w:val="none" w:sz="0" w:space="0" w:color="auto"/>
            <w:right w:val="none" w:sz="0" w:space="0" w:color="auto"/>
          </w:divBdr>
          <w:divsChild>
            <w:div w:id="1258520073">
              <w:marLeft w:val="0"/>
              <w:marRight w:val="0"/>
              <w:marTop w:val="0"/>
              <w:marBottom w:val="0"/>
              <w:divBdr>
                <w:top w:val="none" w:sz="0" w:space="0" w:color="auto"/>
                <w:left w:val="none" w:sz="0" w:space="0" w:color="auto"/>
                <w:bottom w:val="none" w:sz="0" w:space="0" w:color="auto"/>
                <w:right w:val="none" w:sz="0" w:space="0" w:color="auto"/>
              </w:divBdr>
            </w:div>
            <w:div w:id="1610046395">
              <w:marLeft w:val="0"/>
              <w:marRight w:val="0"/>
              <w:marTop w:val="0"/>
              <w:marBottom w:val="0"/>
              <w:divBdr>
                <w:top w:val="none" w:sz="0" w:space="0" w:color="auto"/>
                <w:left w:val="none" w:sz="0" w:space="0" w:color="auto"/>
                <w:bottom w:val="none" w:sz="0" w:space="0" w:color="auto"/>
                <w:right w:val="none" w:sz="0" w:space="0" w:color="auto"/>
              </w:divBdr>
            </w:div>
          </w:divsChild>
        </w:div>
        <w:div w:id="1259675586">
          <w:marLeft w:val="0"/>
          <w:marRight w:val="0"/>
          <w:marTop w:val="0"/>
          <w:marBottom w:val="0"/>
          <w:divBdr>
            <w:top w:val="none" w:sz="0" w:space="0" w:color="auto"/>
            <w:left w:val="none" w:sz="0" w:space="0" w:color="auto"/>
            <w:bottom w:val="none" w:sz="0" w:space="0" w:color="auto"/>
            <w:right w:val="none" w:sz="0" w:space="0" w:color="auto"/>
          </w:divBdr>
          <w:divsChild>
            <w:div w:id="595019793">
              <w:marLeft w:val="0"/>
              <w:marRight w:val="0"/>
              <w:marTop w:val="0"/>
              <w:marBottom w:val="0"/>
              <w:divBdr>
                <w:top w:val="none" w:sz="0" w:space="0" w:color="auto"/>
                <w:left w:val="none" w:sz="0" w:space="0" w:color="auto"/>
                <w:bottom w:val="none" w:sz="0" w:space="0" w:color="auto"/>
                <w:right w:val="none" w:sz="0" w:space="0" w:color="auto"/>
              </w:divBdr>
            </w:div>
            <w:div w:id="1202936954">
              <w:marLeft w:val="0"/>
              <w:marRight w:val="0"/>
              <w:marTop w:val="0"/>
              <w:marBottom w:val="0"/>
              <w:divBdr>
                <w:top w:val="none" w:sz="0" w:space="0" w:color="auto"/>
                <w:left w:val="none" w:sz="0" w:space="0" w:color="auto"/>
                <w:bottom w:val="none" w:sz="0" w:space="0" w:color="auto"/>
                <w:right w:val="none" w:sz="0" w:space="0" w:color="auto"/>
              </w:divBdr>
            </w:div>
          </w:divsChild>
        </w:div>
        <w:div w:id="1277758430">
          <w:marLeft w:val="0"/>
          <w:marRight w:val="0"/>
          <w:marTop w:val="0"/>
          <w:marBottom w:val="0"/>
          <w:divBdr>
            <w:top w:val="none" w:sz="0" w:space="0" w:color="auto"/>
            <w:left w:val="none" w:sz="0" w:space="0" w:color="auto"/>
            <w:bottom w:val="none" w:sz="0" w:space="0" w:color="auto"/>
            <w:right w:val="none" w:sz="0" w:space="0" w:color="auto"/>
          </w:divBdr>
          <w:divsChild>
            <w:div w:id="526674209">
              <w:marLeft w:val="0"/>
              <w:marRight w:val="0"/>
              <w:marTop w:val="0"/>
              <w:marBottom w:val="0"/>
              <w:divBdr>
                <w:top w:val="none" w:sz="0" w:space="0" w:color="auto"/>
                <w:left w:val="none" w:sz="0" w:space="0" w:color="auto"/>
                <w:bottom w:val="none" w:sz="0" w:space="0" w:color="auto"/>
                <w:right w:val="none" w:sz="0" w:space="0" w:color="auto"/>
              </w:divBdr>
            </w:div>
            <w:div w:id="2037776611">
              <w:marLeft w:val="0"/>
              <w:marRight w:val="0"/>
              <w:marTop w:val="0"/>
              <w:marBottom w:val="0"/>
              <w:divBdr>
                <w:top w:val="none" w:sz="0" w:space="0" w:color="auto"/>
                <w:left w:val="none" w:sz="0" w:space="0" w:color="auto"/>
                <w:bottom w:val="none" w:sz="0" w:space="0" w:color="auto"/>
                <w:right w:val="none" w:sz="0" w:space="0" w:color="auto"/>
              </w:divBdr>
            </w:div>
          </w:divsChild>
        </w:div>
        <w:div w:id="1413939620">
          <w:marLeft w:val="0"/>
          <w:marRight w:val="0"/>
          <w:marTop w:val="0"/>
          <w:marBottom w:val="0"/>
          <w:divBdr>
            <w:top w:val="none" w:sz="0" w:space="0" w:color="auto"/>
            <w:left w:val="none" w:sz="0" w:space="0" w:color="auto"/>
            <w:bottom w:val="none" w:sz="0" w:space="0" w:color="auto"/>
            <w:right w:val="none" w:sz="0" w:space="0" w:color="auto"/>
          </w:divBdr>
          <w:divsChild>
            <w:div w:id="283386391">
              <w:marLeft w:val="0"/>
              <w:marRight w:val="0"/>
              <w:marTop w:val="0"/>
              <w:marBottom w:val="0"/>
              <w:divBdr>
                <w:top w:val="none" w:sz="0" w:space="0" w:color="auto"/>
                <w:left w:val="none" w:sz="0" w:space="0" w:color="auto"/>
                <w:bottom w:val="none" w:sz="0" w:space="0" w:color="auto"/>
                <w:right w:val="none" w:sz="0" w:space="0" w:color="auto"/>
              </w:divBdr>
            </w:div>
            <w:div w:id="553661013">
              <w:marLeft w:val="0"/>
              <w:marRight w:val="0"/>
              <w:marTop w:val="0"/>
              <w:marBottom w:val="0"/>
              <w:divBdr>
                <w:top w:val="none" w:sz="0" w:space="0" w:color="auto"/>
                <w:left w:val="none" w:sz="0" w:space="0" w:color="auto"/>
                <w:bottom w:val="none" w:sz="0" w:space="0" w:color="auto"/>
                <w:right w:val="none" w:sz="0" w:space="0" w:color="auto"/>
              </w:divBdr>
            </w:div>
          </w:divsChild>
        </w:div>
        <w:div w:id="1438601693">
          <w:marLeft w:val="0"/>
          <w:marRight w:val="0"/>
          <w:marTop w:val="0"/>
          <w:marBottom w:val="0"/>
          <w:divBdr>
            <w:top w:val="none" w:sz="0" w:space="0" w:color="auto"/>
            <w:left w:val="none" w:sz="0" w:space="0" w:color="auto"/>
            <w:bottom w:val="none" w:sz="0" w:space="0" w:color="auto"/>
            <w:right w:val="none" w:sz="0" w:space="0" w:color="auto"/>
          </w:divBdr>
          <w:divsChild>
            <w:div w:id="29959393">
              <w:marLeft w:val="0"/>
              <w:marRight w:val="0"/>
              <w:marTop w:val="0"/>
              <w:marBottom w:val="0"/>
              <w:divBdr>
                <w:top w:val="none" w:sz="0" w:space="0" w:color="auto"/>
                <w:left w:val="none" w:sz="0" w:space="0" w:color="auto"/>
                <w:bottom w:val="none" w:sz="0" w:space="0" w:color="auto"/>
                <w:right w:val="none" w:sz="0" w:space="0" w:color="auto"/>
              </w:divBdr>
            </w:div>
            <w:div w:id="1340234777">
              <w:marLeft w:val="0"/>
              <w:marRight w:val="0"/>
              <w:marTop w:val="0"/>
              <w:marBottom w:val="0"/>
              <w:divBdr>
                <w:top w:val="none" w:sz="0" w:space="0" w:color="auto"/>
                <w:left w:val="none" w:sz="0" w:space="0" w:color="auto"/>
                <w:bottom w:val="none" w:sz="0" w:space="0" w:color="auto"/>
                <w:right w:val="none" w:sz="0" w:space="0" w:color="auto"/>
              </w:divBdr>
            </w:div>
          </w:divsChild>
        </w:div>
        <w:div w:id="1594628164">
          <w:marLeft w:val="0"/>
          <w:marRight w:val="0"/>
          <w:marTop w:val="0"/>
          <w:marBottom w:val="0"/>
          <w:divBdr>
            <w:top w:val="none" w:sz="0" w:space="0" w:color="auto"/>
            <w:left w:val="none" w:sz="0" w:space="0" w:color="auto"/>
            <w:bottom w:val="none" w:sz="0" w:space="0" w:color="auto"/>
            <w:right w:val="none" w:sz="0" w:space="0" w:color="auto"/>
          </w:divBdr>
          <w:divsChild>
            <w:div w:id="86192943">
              <w:marLeft w:val="0"/>
              <w:marRight w:val="0"/>
              <w:marTop w:val="0"/>
              <w:marBottom w:val="0"/>
              <w:divBdr>
                <w:top w:val="none" w:sz="0" w:space="0" w:color="auto"/>
                <w:left w:val="none" w:sz="0" w:space="0" w:color="auto"/>
                <w:bottom w:val="none" w:sz="0" w:space="0" w:color="auto"/>
                <w:right w:val="none" w:sz="0" w:space="0" w:color="auto"/>
              </w:divBdr>
            </w:div>
            <w:div w:id="543949766">
              <w:marLeft w:val="0"/>
              <w:marRight w:val="0"/>
              <w:marTop w:val="0"/>
              <w:marBottom w:val="0"/>
              <w:divBdr>
                <w:top w:val="none" w:sz="0" w:space="0" w:color="auto"/>
                <w:left w:val="none" w:sz="0" w:space="0" w:color="auto"/>
                <w:bottom w:val="none" w:sz="0" w:space="0" w:color="auto"/>
                <w:right w:val="none" w:sz="0" w:space="0" w:color="auto"/>
              </w:divBdr>
            </w:div>
          </w:divsChild>
        </w:div>
        <w:div w:id="1764763652">
          <w:marLeft w:val="0"/>
          <w:marRight w:val="0"/>
          <w:marTop w:val="0"/>
          <w:marBottom w:val="0"/>
          <w:divBdr>
            <w:top w:val="none" w:sz="0" w:space="0" w:color="auto"/>
            <w:left w:val="none" w:sz="0" w:space="0" w:color="auto"/>
            <w:bottom w:val="none" w:sz="0" w:space="0" w:color="auto"/>
            <w:right w:val="none" w:sz="0" w:space="0" w:color="auto"/>
          </w:divBdr>
          <w:divsChild>
            <w:div w:id="355232683">
              <w:marLeft w:val="0"/>
              <w:marRight w:val="0"/>
              <w:marTop w:val="0"/>
              <w:marBottom w:val="0"/>
              <w:divBdr>
                <w:top w:val="none" w:sz="0" w:space="0" w:color="auto"/>
                <w:left w:val="none" w:sz="0" w:space="0" w:color="auto"/>
                <w:bottom w:val="none" w:sz="0" w:space="0" w:color="auto"/>
                <w:right w:val="none" w:sz="0" w:space="0" w:color="auto"/>
              </w:divBdr>
            </w:div>
            <w:div w:id="805390534">
              <w:marLeft w:val="0"/>
              <w:marRight w:val="0"/>
              <w:marTop w:val="0"/>
              <w:marBottom w:val="0"/>
              <w:divBdr>
                <w:top w:val="none" w:sz="0" w:space="0" w:color="auto"/>
                <w:left w:val="none" w:sz="0" w:space="0" w:color="auto"/>
                <w:bottom w:val="none" w:sz="0" w:space="0" w:color="auto"/>
                <w:right w:val="none" w:sz="0" w:space="0" w:color="auto"/>
              </w:divBdr>
            </w:div>
          </w:divsChild>
        </w:div>
        <w:div w:id="1895696795">
          <w:marLeft w:val="0"/>
          <w:marRight w:val="0"/>
          <w:marTop w:val="0"/>
          <w:marBottom w:val="0"/>
          <w:divBdr>
            <w:top w:val="none" w:sz="0" w:space="0" w:color="auto"/>
            <w:left w:val="none" w:sz="0" w:space="0" w:color="auto"/>
            <w:bottom w:val="none" w:sz="0" w:space="0" w:color="auto"/>
            <w:right w:val="none" w:sz="0" w:space="0" w:color="auto"/>
          </w:divBdr>
          <w:divsChild>
            <w:div w:id="1131091445">
              <w:marLeft w:val="0"/>
              <w:marRight w:val="0"/>
              <w:marTop w:val="0"/>
              <w:marBottom w:val="0"/>
              <w:divBdr>
                <w:top w:val="none" w:sz="0" w:space="0" w:color="auto"/>
                <w:left w:val="none" w:sz="0" w:space="0" w:color="auto"/>
                <w:bottom w:val="none" w:sz="0" w:space="0" w:color="auto"/>
                <w:right w:val="none" w:sz="0" w:space="0" w:color="auto"/>
              </w:divBdr>
            </w:div>
            <w:div w:id="1446196260">
              <w:marLeft w:val="0"/>
              <w:marRight w:val="0"/>
              <w:marTop w:val="0"/>
              <w:marBottom w:val="0"/>
              <w:divBdr>
                <w:top w:val="none" w:sz="0" w:space="0" w:color="auto"/>
                <w:left w:val="none" w:sz="0" w:space="0" w:color="auto"/>
                <w:bottom w:val="none" w:sz="0" w:space="0" w:color="auto"/>
                <w:right w:val="none" w:sz="0" w:space="0" w:color="auto"/>
              </w:divBdr>
            </w:div>
          </w:divsChild>
        </w:div>
        <w:div w:id="1933318228">
          <w:marLeft w:val="0"/>
          <w:marRight w:val="0"/>
          <w:marTop w:val="0"/>
          <w:marBottom w:val="0"/>
          <w:divBdr>
            <w:top w:val="none" w:sz="0" w:space="0" w:color="auto"/>
            <w:left w:val="none" w:sz="0" w:space="0" w:color="auto"/>
            <w:bottom w:val="none" w:sz="0" w:space="0" w:color="auto"/>
            <w:right w:val="none" w:sz="0" w:space="0" w:color="auto"/>
          </w:divBdr>
          <w:divsChild>
            <w:div w:id="1066299596">
              <w:marLeft w:val="0"/>
              <w:marRight w:val="0"/>
              <w:marTop w:val="0"/>
              <w:marBottom w:val="0"/>
              <w:divBdr>
                <w:top w:val="none" w:sz="0" w:space="0" w:color="auto"/>
                <w:left w:val="none" w:sz="0" w:space="0" w:color="auto"/>
                <w:bottom w:val="none" w:sz="0" w:space="0" w:color="auto"/>
                <w:right w:val="none" w:sz="0" w:space="0" w:color="auto"/>
              </w:divBdr>
            </w:div>
            <w:div w:id="2069455784">
              <w:marLeft w:val="0"/>
              <w:marRight w:val="0"/>
              <w:marTop w:val="0"/>
              <w:marBottom w:val="0"/>
              <w:divBdr>
                <w:top w:val="none" w:sz="0" w:space="0" w:color="auto"/>
                <w:left w:val="none" w:sz="0" w:space="0" w:color="auto"/>
                <w:bottom w:val="none" w:sz="0" w:space="0" w:color="auto"/>
                <w:right w:val="none" w:sz="0" w:space="0" w:color="auto"/>
              </w:divBdr>
            </w:div>
          </w:divsChild>
        </w:div>
        <w:div w:id="2118675099">
          <w:marLeft w:val="0"/>
          <w:marRight w:val="0"/>
          <w:marTop w:val="0"/>
          <w:marBottom w:val="0"/>
          <w:divBdr>
            <w:top w:val="none" w:sz="0" w:space="0" w:color="auto"/>
            <w:left w:val="none" w:sz="0" w:space="0" w:color="auto"/>
            <w:bottom w:val="none" w:sz="0" w:space="0" w:color="auto"/>
            <w:right w:val="none" w:sz="0" w:space="0" w:color="auto"/>
          </w:divBdr>
          <w:divsChild>
            <w:div w:id="370810054">
              <w:marLeft w:val="0"/>
              <w:marRight w:val="0"/>
              <w:marTop w:val="0"/>
              <w:marBottom w:val="0"/>
              <w:divBdr>
                <w:top w:val="none" w:sz="0" w:space="0" w:color="auto"/>
                <w:left w:val="none" w:sz="0" w:space="0" w:color="auto"/>
                <w:bottom w:val="none" w:sz="0" w:space="0" w:color="auto"/>
                <w:right w:val="none" w:sz="0" w:space="0" w:color="auto"/>
              </w:divBdr>
            </w:div>
            <w:div w:id="1572812880">
              <w:marLeft w:val="0"/>
              <w:marRight w:val="0"/>
              <w:marTop w:val="0"/>
              <w:marBottom w:val="0"/>
              <w:divBdr>
                <w:top w:val="none" w:sz="0" w:space="0" w:color="auto"/>
                <w:left w:val="none" w:sz="0" w:space="0" w:color="auto"/>
                <w:bottom w:val="none" w:sz="0" w:space="0" w:color="auto"/>
                <w:right w:val="none" w:sz="0" w:space="0" w:color="auto"/>
              </w:divBdr>
            </w:div>
          </w:divsChild>
        </w:div>
        <w:div w:id="2119057963">
          <w:marLeft w:val="0"/>
          <w:marRight w:val="0"/>
          <w:marTop w:val="0"/>
          <w:marBottom w:val="0"/>
          <w:divBdr>
            <w:top w:val="none" w:sz="0" w:space="0" w:color="auto"/>
            <w:left w:val="none" w:sz="0" w:space="0" w:color="auto"/>
            <w:bottom w:val="none" w:sz="0" w:space="0" w:color="auto"/>
            <w:right w:val="none" w:sz="0" w:space="0" w:color="auto"/>
          </w:divBdr>
          <w:divsChild>
            <w:div w:id="260379853">
              <w:marLeft w:val="0"/>
              <w:marRight w:val="0"/>
              <w:marTop w:val="0"/>
              <w:marBottom w:val="0"/>
              <w:divBdr>
                <w:top w:val="none" w:sz="0" w:space="0" w:color="auto"/>
                <w:left w:val="none" w:sz="0" w:space="0" w:color="auto"/>
                <w:bottom w:val="none" w:sz="0" w:space="0" w:color="auto"/>
                <w:right w:val="none" w:sz="0" w:space="0" w:color="auto"/>
              </w:divBdr>
            </w:div>
            <w:div w:id="18475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3382">
      <w:bodyDiv w:val="1"/>
      <w:marLeft w:val="0"/>
      <w:marRight w:val="0"/>
      <w:marTop w:val="0"/>
      <w:marBottom w:val="0"/>
      <w:divBdr>
        <w:top w:val="none" w:sz="0" w:space="0" w:color="auto"/>
        <w:left w:val="none" w:sz="0" w:space="0" w:color="auto"/>
        <w:bottom w:val="none" w:sz="0" w:space="0" w:color="auto"/>
        <w:right w:val="none" w:sz="0" w:space="0" w:color="auto"/>
      </w:divBdr>
      <w:divsChild>
        <w:div w:id="587422276">
          <w:marLeft w:val="0"/>
          <w:marRight w:val="0"/>
          <w:marTop w:val="0"/>
          <w:marBottom w:val="0"/>
          <w:divBdr>
            <w:top w:val="none" w:sz="0" w:space="0" w:color="auto"/>
            <w:left w:val="none" w:sz="0" w:space="0" w:color="auto"/>
            <w:bottom w:val="none" w:sz="0" w:space="0" w:color="auto"/>
            <w:right w:val="none" w:sz="0" w:space="0" w:color="auto"/>
          </w:divBdr>
        </w:div>
      </w:divsChild>
    </w:div>
    <w:div w:id="294484630">
      <w:bodyDiv w:val="1"/>
      <w:marLeft w:val="0"/>
      <w:marRight w:val="0"/>
      <w:marTop w:val="0"/>
      <w:marBottom w:val="0"/>
      <w:divBdr>
        <w:top w:val="none" w:sz="0" w:space="0" w:color="auto"/>
        <w:left w:val="none" w:sz="0" w:space="0" w:color="auto"/>
        <w:bottom w:val="none" w:sz="0" w:space="0" w:color="auto"/>
        <w:right w:val="none" w:sz="0" w:space="0" w:color="auto"/>
      </w:divBdr>
    </w:div>
    <w:div w:id="301080496">
      <w:bodyDiv w:val="1"/>
      <w:marLeft w:val="0"/>
      <w:marRight w:val="0"/>
      <w:marTop w:val="0"/>
      <w:marBottom w:val="0"/>
      <w:divBdr>
        <w:top w:val="none" w:sz="0" w:space="0" w:color="auto"/>
        <w:left w:val="none" w:sz="0" w:space="0" w:color="auto"/>
        <w:bottom w:val="none" w:sz="0" w:space="0" w:color="auto"/>
        <w:right w:val="none" w:sz="0" w:space="0" w:color="auto"/>
      </w:divBdr>
    </w:div>
    <w:div w:id="304286560">
      <w:bodyDiv w:val="1"/>
      <w:marLeft w:val="0"/>
      <w:marRight w:val="0"/>
      <w:marTop w:val="0"/>
      <w:marBottom w:val="0"/>
      <w:divBdr>
        <w:top w:val="none" w:sz="0" w:space="0" w:color="auto"/>
        <w:left w:val="none" w:sz="0" w:space="0" w:color="auto"/>
        <w:bottom w:val="none" w:sz="0" w:space="0" w:color="auto"/>
        <w:right w:val="none" w:sz="0" w:space="0" w:color="auto"/>
      </w:divBdr>
    </w:div>
    <w:div w:id="333345343">
      <w:bodyDiv w:val="1"/>
      <w:marLeft w:val="0"/>
      <w:marRight w:val="0"/>
      <w:marTop w:val="0"/>
      <w:marBottom w:val="0"/>
      <w:divBdr>
        <w:top w:val="none" w:sz="0" w:space="0" w:color="auto"/>
        <w:left w:val="none" w:sz="0" w:space="0" w:color="auto"/>
        <w:bottom w:val="none" w:sz="0" w:space="0" w:color="auto"/>
        <w:right w:val="none" w:sz="0" w:space="0" w:color="auto"/>
      </w:divBdr>
    </w:div>
    <w:div w:id="334847225">
      <w:bodyDiv w:val="1"/>
      <w:marLeft w:val="0"/>
      <w:marRight w:val="0"/>
      <w:marTop w:val="0"/>
      <w:marBottom w:val="0"/>
      <w:divBdr>
        <w:top w:val="none" w:sz="0" w:space="0" w:color="auto"/>
        <w:left w:val="none" w:sz="0" w:space="0" w:color="auto"/>
        <w:bottom w:val="none" w:sz="0" w:space="0" w:color="auto"/>
        <w:right w:val="none" w:sz="0" w:space="0" w:color="auto"/>
      </w:divBdr>
    </w:div>
    <w:div w:id="335811988">
      <w:bodyDiv w:val="1"/>
      <w:marLeft w:val="0"/>
      <w:marRight w:val="0"/>
      <w:marTop w:val="0"/>
      <w:marBottom w:val="0"/>
      <w:divBdr>
        <w:top w:val="none" w:sz="0" w:space="0" w:color="auto"/>
        <w:left w:val="none" w:sz="0" w:space="0" w:color="auto"/>
        <w:bottom w:val="none" w:sz="0" w:space="0" w:color="auto"/>
        <w:right w:val="none" w:sz="0" w:space="0" w:color="auto"/>
      </w:divBdr>
    </w:div>
    <w:div w:id="342368251">
      <w:bodyDiv w:val="1"/>
      <w:marLeft w:val="0"/>
      <w:marRight w:val="0"/>
      <w:marTop w:val="0"/>
      <w:marBottom w:val="0"/>
      <w:divBdr>
        <w:top w:val="none" w:sz="0" w:space="0" w:color="auto"/>
        <w:left w:val="none" w:sz="0" w:space="0" w:color="auto"/>
        <w:bottom w:val="none" w:sz="0" w:space="0" w:color="auto"/>
        <w:right w:val="none" w:sz="0" w:space="0" w:color="auto"/>
      </w:divBdr>
      <w:divsChild>
        <w:div w:id="11347511">
          <w:marLeft w:val="0"/>
          <w:marRight w:val="0"/>
          <w:marTop w:val="0"/>
          <w:marBottom w:val="0"/>
          <w:divBdr>
            <w:top w:val="none" w:sz="0" w:space="0" w:color="auto"/>
            <w:left w:val="none" w:sz="0" w:space="0" w:color="auto"/>
            <w:bottom w:val="none" w:sz="0" w:space="0" w:color="auto"/>
            <w:right w:val="none" w:sz="0" w:space="0" w:color="auto"/>
          </w:divBdr>
        </w:div>
        <w:div w:id="346760364">
          <w:marLeft w:val="0"/>
          <w:marRight w:val="0"/>
          <w:marTop w:val="0"/>
          <w:marBottom w:val="0"/>
          <w:divBdr>
            <w:top w:val="none" w:sz="0" w:space="0" w:color="auto"/>
            <w:left w:val="none" w:sz="0" w:space="0" w:color="auto"/>
            <w:bottom w:val="none" w:sz="0" w:space="0" w:color="auto"/>
            <w:right w:val="none" w:sz="0" w:space="0" w:color="auto"/>
          </w:divBdr>
        </w:div>
        <w:div w:id="355734527">
          <w:marLeft w:val="0"/>
          <w:marRight w:val="0"/>
          <w:marTop w:val="0"/>
          <w:marBottom w:val="0"/>
          <w:divBdr>
            <w:top w:val="none" w:sz="0" w:space="0" w:color="auto"/>
            <w:left w:val="none" w:sz="0" w:space="0" w:color="auto"/>
            <w:bottom w:val="none" w:sz="0" w:space="0" w:color="auto"/>
            <w:right w:val="none" w:sz="0" w:space="0" w:color="auto"/>
          </w:divBdr>
        </w:div>
        <w:div w:id="419527595">
          <w:marLeft w:val="0"/>
          <w:marRight w:val="0"/>
          <w:marTop w:val="0"/>
          <w:marBottom w:val="0"/>
          <w:divBdr>
            <w:top w:val="none" w:sz="0" w:space="0" w:color="auto"/>
            <w:left w:val="none" w:sz="0" w:space="0" w:color="auto"/>
            <w:bottom w:val="none" w:sz="0" w:space="0" w:color="auto"/>
            <w:right w:val="none" w:sz="0" w:space="0" w:color="auto"/>
          </w:divBdr>
        </w:div>
        <w:div w:id="599024833">
          <w:marLeft w:val="0"/>
          <w:marRight w:val="0"/>
          <w:marTop w:val="0"/>
          <w:marBottom w:val="0"/>
          <w:divBdr>
            <w:top w:val="none" w:sz="0" w:space="0" w:color="auto"/>
            <w:left w:val="none" w:sz="0" w:space="0" w:color="auto"/>
            <w:bottom w:val="none" w:sz="0" w:space="0" w:color="auto"/>
            <w:right w:val="none" w:sz="0" w:space="0" w:color="auto"/>
          </w:divBdr>
        </w:div>
        <w:div w:id="645553946">
          <w:marLeft w:val="0"/>
          <w:marRight w:val="0"/>
          <w:marTop w:val="0"/>
          <w:marBottom w:val="0"/>
          <w:divBdr>
            <w:top w:val="none" w:sz="0" w:space="0" w:color="auto"/>
            <w:left w:val="none" w:sz="0" w:space="0" w:color="auto"/>
            <w:bottom w:val="none" w:sz="0" w:space="0" w:color="auto"/>
            <w:right w:val="none" w:sz="0" w:space="0" w:color="auto"/>
          </w:divBdr>
        </w:div>
        <w:div w:id="780296111">
          <w:marLeft w:val="0"/>
          <w:marRight w:val="0"/>
          <w:marTop w:val="0"/>
          <w:marBottom w:val="0"/>
          <w:divBdr>
            <w:top w:val="none" w:sz="0" w:space="0" w:color="auto"/>
            <w:left w:val="none" w:sz="0" w:space="0" w:color="auto"/>
            <w:bottom w:val="none" w:sz="0" w:space="0" w:color="auto"/>
            <w:right w:val="none" w:sz="0" w:space="0" w:color="auto"/>
          </w:divBdr>
        </w:div>
        <w:div w:id="875047140">
          <w:marLeft w:val="0"/>
          <w:marRight w:val="0"/>
          <w:marTop w:val="0"/>
          <w:marBottom w:val="0"/>
          <w:divBdr>
            <w:top w:val="none" w:sz="0" w:space="0" w:color="auto"/>
            <w:left w:val="none" w:sz="0" w:space="0" w:color="auto"/>
            <w:bottom w:val="none" w:sz="0" w:space="0" w:color="auto"/>
            <w:right w:val="none" w:sz="0" w:space="0" w:color="auto"/>
          </w:divBdr>
        </w:div>
        <w:div w:id="909466354">
          <w:marLeft w:val="0"/>
          <w:marRight w:val="0"/>
          <w:marTop w:val="0"/>
          <w:marBottom w:val="0"/>
          <w:divBdr>
            <w:top w:val="none" w:sz="0" w:space="0" w:color="auto"/>
            <w:left w:val="none" w:sz="0" w:space="0" w:color="auto"/>
            <w:bottom w:val="none" w:sz="0" w:space="0" w:color="auto"/>
            <w:right w:val="none" w:sz="0" w:space="0" w:color="auto"/>
          </w:divBdr>
        </w:div>
        <w:div w:id="959454801">
          <w:marLeft w:val="0"/>
          <w:marRight w:val="0"/>
          <w:marTop w:val="0"/>
          <w:marBottom w:val="0"/>
          <w:divBdr>
            <w:top w:val="none" w:sz="0" w:space="0" w:color="auto"/>
            <w:left w:val="none" w:sz="0" w:space="0" w:color="auto"/>
            <w:bottom w:val="none" w:sz="0" w:space="0" w:color="auto"/>
            <w:right w:val="none" w:sz="0" w:space="0" w:color="auto"/>
          </w:divBdr>
        </w:div>
        <w:div w:id="1372800259">
          <w:marLeft w:val="0"/>
          <w:marRight w:val="0"/>
          <w:marTop w:val="0"/>
          <w:marBottom w:val="0"/>
          <w:divBdr>
            <w:top w:val="none" w:sz="0" w:space="0" w:color="auto"/>
            <w:left w:val="none" w:sz="0" w:space="0" w:color="auto"/>
            <w:bottom w:val="none" w:sz="0" w:space="0" w:color="auto"/>
            <w:right w:val="none" w:sz="0" w:space="0" w:color="auto"/>
          </w:divBdr>
        </w:div>
        <w:div w:id="1606425088">
          <w:marLeft w:val="0"/>
          <w:marRight w:val="0"/>
          <w:marTop w:val="0"/>
          <w:marBottom w:val="0"/>
          <w:divBdr>
            <w:top w:val="none" w:sz="0" w:space="0" w:color="auto"/>
            <w:left w:val="none" w:sz="0" w:space="0" w:color="auto"/>
            <w:bottom w:val="none" w:sz="0" w:space="0" w:color="auto"/>
            <w:right w:val="none" w:sz="0" w:space="0" w:color="auto"/>
          </w:divBdr>
        </w:div>
        <w:div w:id="1735855206">
          <w:marLeft w:val="0"/>
          <w:marRight w:val="0"/>
          <w:marTop w:val="0"/>
          <w:marBottom w:val="0"/>
          <w:divBdr>
            <w:top w:val="none" w:sz="0" w:space="0" w:color="auto"/>
            <w:left w:val="none" w:sz="0" w:space="0" w:color="auto"/>
            <w:bottom w:val="none" w:sz="0" w:space="0" w:color="auto"/>
            <w:right w:val="none" w:sz="0" w:space="0" w:color="auto"/>
          </w:divBdr>
        </w:div>
        <w:div w:id="1778138367">
          <w:marLeft w:val="0"/>
          <w:marRight w:val="0"/>
          <w:marTop w:val="0"/>
          <w:marBottom w:val="0"/>
          <w:divBdr>
            <w:top w:val="none" w:sz="0" w:space="0" w:color="auto"/>
            <w:left w:val="none" w:sz="0" w:space="0" w:color="auto"/>
            <w:bottom w:val="none" w:sz="0" w:space="0" w:color="auto"/>
            <w:right w:val="none" w:sz="0" w:space="0" w:color="auto"/>
          </w:divBdr>
        </w:div>
        <w:div w:id="1900282625">
          <w:marLeft w:val="0"/>
          <w:marRight w:val="0"/>
          <w:marTop w:val="0"/>
          <w:marBottom w:val="0"/>
          <w:divBdr>
            <w:top w:val="none" w:sz="0" w:space="0" w:color="auto"/>
            <w:left w:val="none" w:sz="0" w:space="0" w:color="auto"/>
            <w:bottom w:val="none" w:sz="0" w:space="0" w:color="auto"/>
            <w:right w:val="none" w:sz="0" w:space="0" w:color="auto"/>
          </w:divBdr>
        </w:div>
        <w:div w:id="2076970789">
          <w:marLeft w:val="0"/>
          <w:marRight w:val="0"/>
          <w:marTop w:val="0"/>
          <w:marBottom w:val="0"/>
          <w:divBdr>
            <w:top w:val="none" w:sz="0" w:space="0" w:color="auto"/>
            <w:left w:val="none" w:sz="0" w:space="0" w:color="auto"/>
            <w:bottom w:val="none" w:sz="0" w:space="0" w:color="auto"/>
            <w:right w:val="none" w:sz="0" w:space="0" w:color="auto"/>
          </w:divBdr>
        </w:div>
        <w:div w:id="2118475599">
          <w:marLeft w:val="0"/>
          <w:marRight w:val="0"/>
          <w:marTop w:val="0"/>
          <w:marBottom w:val="0"/>
          <w:divBdr>
            <w:top w:val="none" w:sz="0" w:space="0" w:color="auto"/>
            <w:left w:val="none" w:sz="0" w:space="0" w:color="auto"/>
            <w:bottom w:val="none" w:sz="0" w:space="0" w:color="auto"/>
            <w:right w:val="none" w:sz="0" w:space="0" w:color="auto"/>
          </w:divBdr>
        </w:div>
      </w:divsChild>
    </w:div>
    <w:div w:id="391775060">
      <w:bodyDiv w:val="1"/>
      <w:marLeft w:val="0"/>
      <w:marRight w:val="0"/>
      <w:marTop w:val="0"/>
      <w:marBottom w:val="0"/>
      <w:divBdr>
        <w:top w:val="none" w:sz="0" w:space="0" w:color="auto"/>
        <w:left w:val="none" w:sz="0" w:space="0" w:color="auto"/>
        <w:bottom w:val="none" w:sz="0" w:space="0" w:color="auto"/>
        <w:right w:val="none" w:sz="0" w:space="0" w:color="auto"/>
      </w:divBdr>
      <w:divsChild>
        <w:div w:id="1203519730">
          <w:marLeft w:val="706"/>
          <w:marRight w:val="0"/>
          <w:marTop w:val="0"/>
          <w:marBottom w:val="0"/>
          <w:divBdr>
            <w:top w:val="none" w:sz="0" w:space="0" w:color="auto"/>
            <w:left w:val="none" w:sz="0" w:space="0" w:color="auto"/>
            <w:bottom w:val="none" w:sz="0" w:space="0" w:color="auto"/>
            <w:right w:val="none" w:sz="0" w:space="0" w:color="auto"/>
          </w:divBdr>
        </w:div>
        <w:div w:id="2098359911">
          <w:marLeft w:val="706"/>
          <w:marRight w:val="0"/>
          <w:marTop w:val="0"/>
          <w:marBottom w:val="0"/>
          <w:divBdr>
            <w:top w:val="none" w:sz="0" w:space="0" w:color="auto"/>
            <w:left w:val="none" w:sz="0" w:space="0" w:color="auto"/>
            <w:bottom w:val="none" w:sz="0" w:space="0" w:color="auto"/>
            <w:right w:val="none" w:sz="0" w:space="0" w:color="auto"/>
          </w:divBdr>
        </w:div>
      </w:divsChild>
    </w:div>
    <w:div w:id="410659456">
      <w:bodyDiv w:val="1"/>
      <w:marLeft w:val="0"/>
      <w:marRight w:val="0"/>
      <w:marTop w:val="0"/>
      <w:marBottom w:val="0"/>
      <w:divBdr>
        <w:top w:val="none" w:sz="0" w:space="0" w:color="auto"/>
        <w:left w:val="none" w:sz="0" w:space="0" w:color="auto"/>
        <w:bottom w:val="none" w:sz="0" w:space="0" w:color="auto"/>
        <w:right w:val="none" w:sz="0" w:space="0" w:color="auto"/>
      </w:divBdr>
      <w:divsChild>
        <w:div w:id="1737513714">
          <w:marLeft w:val="0"/>
          <w:marRight w:val="0"/>
          <w:marTop w:val="0"/>
          <w:marBottom w:val="0"/>
          <w:divBdr>
            <w:top w:val="none" w:sz="0" w:space="0" w:color="auto"/>
            <w:left w:val="none" w:sz="0" w:space="0" w:color="auto"/>
            <w:bottom w:val="none" w:sz="0" w:space="0" w:color="auto"/>
            <w:right w:val="none" w:sz="0" w:space="0" w:color="auto"/>
          </w:divBdr>
          <w:divsChild>
            <w:div w:id="531921094">
              <w:marLeft w:val="0"/>
              <w:marRight w:val="0"/>
              <w:marTop w:val="0"/>
              <w:marBottom w:val="0"/>
              <w:divBdr>
                <w:top w:val="none" w:sz="0" w:space="0" w:color="auto"/>
                <w:left w:val="none" w:sz="0" w:space="0" w:color="auto"/>
                <w:bottom w:val="none" w:sz="0" w:space="0" w:color="auto"/>
                <w:right w:val="none" w:sz="0" w:space="0" w:color="auto"/>
              </w:divBdr>
              <w:divsChild>
                <w:div w:id="1546403031">
                  <w:marLeft w:val="0"/>
                  <w:marRight w:val="0"/>
                  <w:marTop w:val="0"/>
                  <w:marBottom w:val="0"/>
                  <w:divBdr>
                    <w:top w:val="none" w:sz="0" w:space="0" w:color="auto"/>
                    <w:left w:val="none" w:sz="0" w:space="0" w:color="auto"/>
                    <w:bottom w:val="none" w:sz="0" w:space="0" w:color="auto"/>
                    <w:right w:val="none" w:sz="0" w:space="0" w:color="auto"/>
                  </w:divBdr>
                  <w:divsChild>
                    <w:div w:id="9753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122826">
      <w:bodyDiv w:val="1"/>
      <w:marLeft w:val="0"/>
      <w:marRight w:val="0"/>
      <w:marTop w:val="0"/>
      <w:marBottom w:val="0"/>
      <w:divBdr>
        <w:top w:val="none" w:sz="0" w:space="0" w:color="auto"/>
        <w:left w:val="none" w:sz="0" w:space="0" w:color="auto"/>
        <w:bottom w:val="none" w:sz="0" w:space="0" w:color="auto"/>
        <w:right w:val="none" w:sz="0" w:space="0" w:color="auto"/>
      </w:divBdr>
    </w:div>
    <w:div w:id="430198431">
      <w:bodyDiv w:val="1"/>
      <w:marLeft w:val="0"/>
      <w:marRight w:val="0"/>
      <w:marTop w:val="0"/>
      <w:marBottom w:val="0"/>
      <w:divBdr>
        <w:top w:val="none" w:sz="0" w:space="0" w:color="auto"/>
        <w:left w:val="none" w:sz="0" w:space="0" w:color="auto"/>
        <w:bottom w:val="none" w:sz="0" w:space="0" w:color="auto"/>
        <w:right w:val="none" w:sz="0" w:space="0" w:color="auto"/>
      </w:divBdr>
    </w:div>
    <w:div w:id="433940731">
      <w:bodyDiv w:val="1"/>
      <w:marLeft w:val="0"/>
      <w:marRight w:val="0"/>
      <w:marTop w:val="0"/>
      <w:marBottom w:val="0"/>
      <w:divBdr>
        <w:top w:val="none" w:sz="0" w:space="0" w:color="auto"/>
        <w:left w:val="none" w:sz="0" w:space="0" w:color="auto"/>
        <w:bottom w:val="none" w:sz="0" w:space="0" w:color="auto"/>
        <w:right w:val="none" w:sz="0" w:space="0" w:color="auto"/>
      </w:divBdr>
    </w:div>
    <w:div w:id="447773436">
      <w:bodyDiv w:val="1"/>
      <w:marLeft w:val="0"/>
      <w:marRight w:val="0"/>
      <w:marTop w:val="0"/>
      <w:marBottom w:val="0"/>
      <w:divBdr>
        <w:top w:val="none" w:sz="0" w:space="0" w:color="auto"/>
        <w:left w:val="none" w:sz="0" w:space="0" w:color="auto"/>
        <w:bottom w:val="none" w:sz="0" w:space="0" w:color="auto"/>
        <w:right w:val="none" w:sz="0" w:space="0" w:color="auto"/>
      </w:divBdr>
    </w:div>
    <w:div w:id="454369340">
      <w:bodyDiv w:val="1"/>
      <w:marLeft w:val="0"/>
      <w:marRight w:val="0"/>
      <w:marTop w:val="0"/>
      <w:marBottom w:val="0"/>
      <w:divBdr>
        <w:top w:val="none" w:sz="0" w:space="0" w:color="auto"/>
        <w:left w:val="none" w:sz="0" w:space="0" w:color="auto"/>
        <w:bottom w:val="none" w:sz="0" w:space="0" w:color="auto"/>
        <w:right w:val="none" w:sz="0" w:space="0" w:color="auto"/>
      </w:divBdr>
    </w:div>
    <w:div w:id="465783627">
      <w:bodyDiv w:val="1"/>
      <w:marLeft w:val="0"/>
      <w:marRight w:val="0"/>
      <w:marTop w:val="0"/>
      <w:marBottom w:val="0"/>
      <w:divBdr>
        <w:top w:val="none" w:sz="0" w:space="0" w:color="auto"/>
        <w:left w:val="none" w:sz="0" w:space="0" w:color="auto"/>
        <w:bottom w:val="none" w:sz="0" w:space="0" w:color="auto"/>
        <w:right w:val="none" w:sz="0" w:space="0" w:color="auto"/>
      </w:divBdr>
    </w:div>
    <w:div w:id="479157458">
      <w:bodyDiv w:val="1"/>
      <w:marLeft w:val="0"/>
      <w:marRight w:val="0"/>
      <w:marTop w:val="0"/>
      <w:marBottom w:val="0"/>
      <w:divBdr>
        <w:top w:val="none" w:sz="0" w:space="0" w:color="auto"/>
        <w:left w:val="none" w:sz="0" w:space="0" w:color="auto"/>
        <w:bottom w:val="none" w:sz="0" w:space="0" w:color="auto"/>
        <w:right w:val="none" w:sz="0" w:space="0" w:color="auto"/>
      </w:divBdr>
      <w:divsChild>
        <w:div w:id="1109395110">
          <w:marLeft w:val="0"/>
          <w:marRight w:val="0"/>
          <w:marTop w:val="0"/>
          <w:marBottom w:val="0"/>
          <w:divBdr>
            <w:top w:val="none" w:sz="0" w:space="0" w:color="auto"/>
            <w:left w:val="none" w:sz="0" w:space="0" w:color="auto"/>
            <w:bottom w:val="none" w:sz="0" w:space="0" w:color="auto"/>
            <w:right w:val="none" w:sz="0" w:space="0" w:color="auto"/>
          </w:divBdr>
        </w:div>
      </w:divsChild>
    </w:div>
    <w:div w:id="479880159">
      <w:bodyDiv w:val="1"/>
      <w:marLeft w:val="0"/>
      <w:marRight w:val="0"/>
      <w:marTop w:val="0"/>
      <w:marBottom w:val="0"/>
      <w:divBdr>
        <w:top w:val="none" w:sz="0" w:space="0" w:color="auto"/>
        <w:left w:val="none" w:sz="0" w:space="0" w:color="auto"/>
        <w:bottom w:val="none" w:sz="0" w:space="0" w:color="auto"/>
        <w:right w:val="none" w:sz="0" w:space="0" w:color="auto"/>
      </w:divBdr>
    </w:div>
    <w:div w:id="483089650">
      <w:bodyDiv w:val="1"/>
      <w:marLeft w:val="0"/>
      <w:marRight w:val="0"/>
      <w:marTop w:val="0"/>
      <w:marBottom w:val="0"/>
      <w:divBdr>
        <w:top w:val="none" w:sz="0" w:space="0" w:color="auto"/>
        <w:left w:val="none" w:sz="0" w:space="0" w:color="auto"/>
        <w:bottom w:val="none" w:sz="0" w:space="0" w:color="auto"/>
        <w:right w:val="none" w:sz="0" w:space="0" w:color="auto"/>
      </w:divBdr>
    </w:div>
    <w:div w:id="496070745">
      <w:bodyDiv w:val="1"/>
      <w:marLeft w:val="0"/>
      <w:marRight w:val="0"/>
      <w:marTop w:val="0"/>
      <w:marBottom w:val="0"/>
      <w:divBdr>
        <w:top w:val="none" w:sz="0" w:space="0" w:color="auto"/>
        <w:left w:val="none" w:sz="0" w:space="0" w:color="auto"/>
        <w:bottom w:val="none" w:sz="0" w:space="0" w:color="auto"/>
        <w:right w:val="none" w:sz="0" w:space="0" w:color="auto"/>
      </w:divBdr>
    </w:div>
    <w:div w:id="498229723">
      <w:bodyDiv w:val="1"/>
      <w:marLeft w:val="0"/>
      <w:marRight w:val="0"/>
      <w:marTop w:val="0"/>
      <w:marBottom w:val="0"/>
      <w:divBdr>
        <w:top w:val="none" w:sz="0" w:space="0" w:color="auto"/>
        <w:left w:val="none" w:sz="0" w:space="0" w:color="auto"/>
        <w:bottom w:val="none" w:sz="0" w:space="0" w:color="auto"/>
        <w:right w:val="none" w:sz="0" w:space="0" w:color="auto"/>
      </w:divBdr>
    </w:div>
    <w:div w:id="525099998">
      <w:bodyDiv w:val="1"/>
      <w:marLeft w:val="0"/>
      <w:marRight w:val="0"/>
      <w:marTop w:val="0"/>
      <w:marBottom w:val="0"/>
      <w:divBdr>
        <w:top w:val="none" w:sz="0" w:space="0" w:color="auto"/>
        <w:left w:val="none" w:sz="0" w:space="0" w:color="auto"/>
        <w:bottom w:val="none" w:sz="0" w:space="0" w:color="auto"/>
        <w:right w:val="none" w:sz="0" w:space="0" w:color="auto"/>
      </w:divBdr>
    </w:div>
    <w:div w:id="550114877">
      <w:bodyDiv w:val="1"/>
      <w:marLeft w:val="0"/>
      <w:marRight w:val="0"/>
      <w:marTop w:val="0"/>
      <w:marBottom w:val="0"/>
      <w:divBdr>
        <w:top w:val="none" w:sz="0" w:space="0" w:color="auto"/>
        <w:left w:val="none" w:sz="0" w:space="0" w:color="auto"/>
        <w:bottom w:val="none" w:sz="0" w:space="0" w:color="auto"/>
        <w:right w:val="none" w:sz="0" w:space="0" w:color="auto"/>
      </w:divBdr>
    </w:div>
    <w:div w:id="556358648">
      <w:bodyDiv w:val="1"/>
      <w:marLeft w:val="0"/>
      <w:marRight w:val="0"/>
      <w:marTop w:val="0"/>
      <w:marBottom w:val="0"/>
      <w:divBdr>
        <w:top w:val="none" w:sz="0" w:space="0" w:color="auto"/>
        <w:left w:val="none" w:sz="0" w:space="0" w:color="auto"/>
        <w:bottom w:val="none" w:sz="0" w:space="0" w:color="auto"/>
        <w:right w:val="none" w:sz="0" w:space="0" w:color="auto"/>
      </w:divBdr>
    </w:div>
    <w:div w:id="572735418">
      <w:bodyDiv w:val="1"/>
      <w:marLeft w:val="0"/>
      <w:marRight w:val="0"/>
      <w:marTop w:val="0"/>
      <w:marBottom w:val="0"/>
      <w:divBdr>
        <w:top w:val="none" w:sz="0" w:space="0" w:color="auto"/>
        <w:left w:val="none" w:sz="0" w:space="0" w:color="auto"/>
        <w:bottom w:val="none" w:sz="0" w:space="0" w:color="auto"/>
        <w:right w:val="none" w:sz="0" w:space="0" w:color="auto"/>
      </w:divBdr>
    </w:div>
    <w:div w:id="576016527">
      <w:bodyDiv w:val="1"/>
      <w:marLeft w:val="0"/>
      <w:marRight w:val="0"/>
      <w:marTop w:val="0"/>
      <w:marBottom w:val="0"/>
      <w:divBdr>
        <w:top w:val="none" w:sz="0" w:space="0" w:color="auto"/>
        <w:left w:val="none" w:sz="0" w:space="0" w:color="auto"/>
        <w:bottom w:val="none" w:sz="0" w:space="0" w:color="auto"/>
        <w:right w:val="none" w:sz="0" w:space="0" w:color="auto"/>
      </w:divBdr>
    </w:div>
    <w:div w:id="632712663">
      <w:bodyDiv w:val="1"/>
      <w:marLeft w:val="0"/>
      <w:marRight w:val="0"/>
      <w:marTop w:val="0"/>
      <w:marBottom w:val="0"/>
      <w:divBdr>
        <w:top w:val="none" w:sz="0" w:space="0" w:color="auto"/>
        <w:left w:val="none" w:sz="0" w:space="0" w:color="auto"/>
        <w:bottom w:val="none" w:sz="0" w:space="0" w:color="auto"/>
        <w:right w:val="none" w:sz="0" w:space="0" w:color="auto"/>
      </w:divBdr>
    </w:div>
    <w:div w:id="634678237">
      <w:bodyDiv w:val="1"/>
      <w:marLeft w:val="0"/>
      <w:marRight w:val="0"/>
      <w:marTop w:val="0"/>
      <w:marBottom w:val="0"/>
      <w:divBdr>
        <w:top w:val="none" w:sz="0" w:space="0" w:color="auto"/>
        <w:left w:val="none" w:sz="0" w:space="0" w:color="auto"/>
        <w:bottom w:val="none" w:sz="0" w:space="0" w:color="auto"/>
        <w:right w:val="none" w:sz="0" w:space="0" w:color="auto"/>
      </w:divBdr>
    </w:div>
    <w:div w:id="645016887">
      <w:bodyDiv w:val="1"/>
      <w:marLeft w:val="0"/>
      <w:marRight w:val="0"/>
      <w:marTop w:val="0"/>
      <w:marBottom w:val="0"/>
      <w:divBdr>
        <w:top w:val="none" w:sz="0" w:space="0" w:color="auto"/>
        <w:left w:val="none" w:sz="0" w:space="0" w:color="auto"/>
        <w:bottom w:val="none" w:sz="0" w:space="0" w:color="auto"/>
        <w:right w:val="none" w:sz="0" w:space="0" w:color="auto"/>
      </w:divBdr>
    </w:div>
    <w:div w:id="646399411">
      <w:bodyDiv w:val="1"/>
      <w:marLeft w:val="0"/>
      <w:marRight w:val="0"/>
      <w:marTop w:val="0"/>
      <w:marBottom w:val="0"/>
      <w:divBdr>
        <w:top w:val="none" w:sz="0" w:space="0" w:color="auto"/>
        <w:left w:val="none" w:sz="0" w:space="0" w:color="auto"/>
        <w:bottom w:val="none" w:sz="0" w:space="0" w:color="auto"/>
        <w:right w:val="none" w:sz="0" w:space="0" w:color="auto"/>
      </w:divBdr>
      <w:divsChild>
        <w:div w:id="148448409">
          <w:marLeft w:val="1800"/>
          <w:marRight w:val="0"/>
          <w:marTop w:val="0"/>
          <w:marBottom w:val="0"/>
          <w:divBdr>
            <w:top w:val="none" w:sz="0" w:space="0" w:color="auto"/>
            <w:left w:val="none" w:sz="0" w:space="0" w:color="auto"/>
            <w:bottom w:val="none" w:sz="0" w:space="0" w:color="auto"/>
            <w:right w:val="none" w:sz="0" w:space="0" w:color="auto"/>
          </w:divBdr>
        </w:div>
        <w:div w:id="249197477">
          <w:marLeft w:val="547"/>
          <w:marRight w:val="0"/>
          <w:marTop w:val="0"/>
          <w:marBottom w:val="0"/>
          <w:divBdr>
            <w:top w:val="none" w:sz="0" w:space="0" w:color="auto"/>
            <w:left w:val="none" w:sz="0" w:space="0" w:color="auto"/>
            <w:bottom w:val="none" w:sz="0" w:space="0" w:color="auto"/>
            <w:right w:val="none" w:sz="0" w:space="0" w:color="auto"/>
          </w:divBdr>
        </w:div>
        <w:div w:id="1233585362">
          <w:marLeft w:val="1800"/>
          <w:marRight w:val="0"/>
          <w:marTop w:val="0"/>
          <w:marBottom w:val="0"/>
          <w:divBdr>
            <w:top w:val="none" w:sz="0" w:space="0" w:color="auto"/>
            <w:left w:val="none" w:sz="0" w:space="0" w:color="auto"/>
            <w:bottom w:val="none" w:sz="0" w:space="0" w:color="auto"/>
            <w:right w:val="none" w:sz="0" w:space="0" w:color="auto"/>
          </w:divBdr>
        </w:div>
        <w:div w:id="2072919229">
          <w:marLeft w:val="1166"/>
          <w:marRight w:val="0"/>
          <w:marTop w:val="0"/>
          <w:marBottom w:val="0"/>
          <w:divBdr>
            <w:top w:val="none" w:sz="0" w:space="0" w:color="auto"/>
            <w:left w:val="none" w:sz="0" w:space="0" w:color="auto"/>
            <w:bottom w:val="none" w:sz="0" w:space="0" w:color="auto"/>
            <w:right w:val="none" w:sz="0" w:space="0" w:color="auto"/>
          </w:divBdr>
        </w:div>
      </w:divsChild>
    </w:div>
    <w:div w:id="651064772">
      <w:bodyDiv w:val="1"/>
      <w:marLeft w:val="0"/>
      <w:marRight w:val="0"/>
      <w:marTop w:val="0"/>
      <w:marBottom w:val="0"/>
      <w:divBdr>
        <w:top w:val="none" w:sz="0" w:space="0" w:color="auto"/>
        <w:left w:val="none" w:sz="0" w:space="0" w:color="auto"/>
        <w:bottom w:val="none" w:sz="0" w:space="0" w:color="auto"/>
        <w:right w:val="none" w:sz="0" w:space="0" w:color="auto"/>
      </w:divBdr>
      <w:divsChild>
        <w:div w:id="645278150">
          <w:marLeft w:val="0"/>
          <w:marRight w:val="0"/>
          <w:marTop w:val="0"/>
          <w:marBottom w:val="0"/>
          <w:divBdr>
            <w:top w:val="none" w:sz="0" w:space="0" w:color="auto"/>
            <w:left w:val="none" w:sz="0" w:space="0" w:color="auto"/>
            <w:bottom w:val="none" w:sz="0" w:space="0" w:color="auto"/>
            <w:right w:val="none" w:sz="0" w:space="0" w:color="auto"/>
          </w:divBdr>
          <w:divsChild>
            <w:div w:id="1753044515">
              <w:marLeft w:val="0"/>
              <w:marRight w:val="0"/>
              <w:marTop w:val="0"/>
              <w:marBottom w:val="0"/>
              <w:divBdr>
                <w:top w:val="none" w:sz="0" w:space="0" w:color="auto"/>
                <w:left w:val="none" w:sz="0" w:space="0" w:color="auto"/>
                <w:bottom w:val="none" w:sz="0" w:space="0" w:color="auto"/>
                <w:right w:val="none" w:sz="0" w:space="0" w:color="auto"/>
              </w:divBdr>
              <w:divsChild>
                <w:div w:id="20477334">
                  <w:marLeft w:val="0"/>
                  <w:marRight w:val="0"/>
                  <w:marTop w:val="0"/>
                  <w:marBottom w:val="0"/>
                  <w:divBdr>
                    <w:top w:val="none" w:sz="0" w:space="0" w:color="auto"/>
                    <w:left w:val="none" w:sz="0" w:space="0" w:color="auto"/>
                    <w:bottom w:val="none" w:sz="0" w:space="0" w:color="auto"/>
                    <w:right w:val="none" w:sz="0" w:space="0" w:color="auto"/>
                  </w:divBdr>
                </w:div>
                <w:div w:id="40909723">
                  <w:marLeft w:val="0"/>
                  <w:marRight w:val="0"/>
                  <w:marTop w:val="0"/>
                  <w:marBottom w:val="0"/>
                  <w:divBdr>
                    <w:top w:val="none" w:sz="0" w:space="0" w:color="auto"/>
                    <w:left w:val="none" w:sz="0" w:space="0" w:color="auto"/>
                    <w:bottom w:val="none" w:sz="0" w:space="0" w:color="auto"/>
                    <w:right w:val="none" w:sz="0" w:space="0" w:color="auto"/>
                  </w:divBdr>
                </w:div>
                <w:div w:id="61955724">
                  <w:marLeft w:val="0"/>
                  <w:marRight w:val="0"/>
                  <w:marTop w:val="0"/>
                  <w:marBottom w:val="0"/>
                  <w:divBdr>
                    <w:top w:val="none" w:sz="0" w:space="0" w:color="auto"/>
                    <w:left w:val="none" w:sz="0" w:space="0" w:color="auto"/>
                    <w:bottom w:val="none" w:sz="0" w:space="0" w:color="auto"/>
                    <w:right w:val="none" w:sz="0" w:space="0" w:color="auto"/>
                  </w:divBdr>
                </w:div>
                <w:div w:id="62798364">
                  <w:marLeft w:val="0"/>
                  <w:marRight w:val="0"/>
                  <w:marTop w:val="0"/>
                  <w:marBottom w:val="0"/>
                  <w:divBdr>
                    <w:top w:val="none" w:sz="0" w:space="0" w:color="auto"/>
                    <w:left w:val="none" w:sz="0" w:space="0" w:color="auto"/>
                    <w:bottom w:val="none" w:sz="0" w:space="0" w:color="auto"/>
                    <w:right w:val="none" w:sz="0" w:space="0" w:color="auto"/>
                  </w:divBdr>
                </w:div>
                <w:div w:id="64844259">
                  <w:marLeft w:val="0"/>
                  <w:marRight w:val="0"/>
                  <w:marTop w:val="0"/>
                  <w:marBottom w:val="0"/>
                  <w:divBdr>
                    <w:top w:val="none" w:sz="0" w:space="0" w:color="auto"/>
                    <w:left w:val="none" w:sz="0" w:space="0" w:color="auto"/>
                    <w:bottom w:val="none" w:sz="0" w:space="0" w:color="auto"/>
                    <w:right w:val="none" w:sz="0" w:space="0" w:color="auto"/>
                  </w:divBdr>
                </w:div>
                <w:div w:id="68845082">
                  <w:marLeft w:val="0"/>
                  <w:marRight w:val="0"/>
                  <w:marTop w:val="0"/>
                  <w:marBottom w:val="0"/>
                  <w:divBdr>
                    <w:top w:val="none" w:sz="0" w:space="0" w:color="auto"/>
                    <w:left w:val="none" w:sz="0" w:space="0" w:color="auto"/>
                    <w:bottom w:val="none" w:sz="0" w:space="0" w:color="auto"/>
                    <w:right w:val="none" w:sz="0" w:space="0" w:color="auto"/>
                  </w:divBdr>
                </w:div>
                <w:div w:id="97912550">
                  <w:marLeft w:val="0"/>
                  <w:marRight w:val="0"/>
                  <w:marTop w:val="0"/>
                  <w:marBottom w:val="0"/>
                  <w:divBdr>
                    <w:top w:val="none" w:sz="0" w:space="0" w:color="auto"/>
                    <w:left w:val="none" w:sz="0" w:space="0" w:color="auto"/>
                    <w:bottom w:val="none" w:sz="0" w:space="0" w:color="auto"/>
                    <w:right w:val="none" w:sz="0" w:space="0" w:color="auto"/>
                  </w:divBdr>
                </w:div>
                <w:div w:id="111096270">
                  <w:marLeft w:val="0"/>
                  <w:marRight w:val="0"/>
                  <w:marTop w:val="0"/>
                  <w:marBottom w:val="0"/>
                  <w:divBdr>
                    <w:top w:val="none" w:sz="0" w:space="0" w:color="auto"/>
                    <w:left w:val="none" w:sz="0" w:space="0" w:color="auto"/>
                    <w:bottom w:val="none" w:sz="0" w:space="0" w:color="auto"/>
                    <w:right w:val="none" w:sz="0" w:space="0" w:color="auto"/>
                  </w:divBdr>
                </w:div>
                <w:div w:id="130487855">
                  <w:marLeft w:val="0"/>
                  <w:marRight w:val="0"/>
                  <w:marTop w:val="0"/>
                  <w:marBottom w:val="0"/>
                  <w:divBdr>
                    <w:top w:val="none" w:sz="0" w:space="0" w:color="auto"/>
                    <w:left w:val="none" w:sz="0" w:space="0" w:color="auto"/>
                    <w:bottom w:val="none" w:sz="0" w:space="0" w:color="auto"/>
                    <w:right w:val="none" w:sz="0" w:space="0" w:color="auto"/>
                  </w:divBdr>
                </w:div>
                <w:div w:id="133836715">
                  <w:marLeft w:val="0"/>
                  <w:marRight w:val="0"/>
                  <w:marTop w:val="0"/>
                  <w:marBottom w:val="0"/>
                  <w:divBdr>
                    <w:top w:val="none" w:sz="0" w:space="0" w:color="auto"/>
                    <w:left w:val="none" w:sz="0" w:space="0" w:color="auto"/>
                    <w:bottom w:val="none" w:sz="0" w:space="0" w:color="auto"/>
                    <w:right w:val="none" w:sz="0" w:space="0" w:color="auto"/>
                  </w:divBdr>
                </w:div>
                <w:div w:id="141119315">
                  <w:marLeft w:val="0"/>
                  <w:marRight w:val="0"/>
                  <w:marTop w:val="0"/>
                  <w:marBottom w:val="0"/>
                  <w:divBdr>
                    <w:top w:val="none" w:sz="0" w:space="0" w:color="auto"/>
                    <w:left w:val="none" w:sz="0" w:space="0" w:color="auto"/>
                    <w:bottom w:val="none" w:sz="0" w:space="0" w:color="auto"/>
                    <w:right w:val="none" w:sz="0" w:space="0" w:color="auto"/>
                  </w:divBdr>
                </w:div>
                <w:div w:id="187187646">
                  <w:marLeft w:val="0"/>
                  <w:marRight w:val="0"/>
                  <w:marTop w:val="0"/>
                  <w:marBottom w:val="0"/>
                  <w:divBdr>
                    <w:top w:val="none" w:sz="0" w:space="0" w:color="auto"/>
                    <w:left w:val="none" w:sz="0" w:space="0" w:color="auto"/>
                    <w:bottom w:val="none" w:sz="0" w:space="0" w:color="auto"/>
                    <w:right w:val="none" w:sz="0" w:space="0" w:color="auto"/>
                  </w:divBdr>
                </w:div>
                <w:div w:id="189152998">
                  <w:marLeft w:val="0"/>
                  <w:marRight w:val="0"/>
                  <w:marTop w:val="0"/>
                  <w:marBottom w:val="0"/>
                  <w:divBdr>
                    <w:top w:val="none" w:sz="0" w:space="0" w:color="auto"/>
                    <w:left w:val="none" w:sz="0" w:space="0" w:color="auto"/>
                    <w:bottom w:val="none" w:sz="0" w:space="0" w:color="auto"/>
                    <w:right w:val="none" w:sz="0" w:space="0" w:color="auto"/>
                  </w:divBdr>
                </w:div>
                <w:div w:id="254245254">
                  <w:marLeft w:val="0"/>
                  <w:marRight w:val="0"/>
                  <w:marTop w:val="0"/>
                  <w:marBottom w:val="0"/>
                  <w:divBdr>
                    <w:top w:val="none" w:sz="0" w:space="0" w:color="auto"/>
                    <w:left w:val="none" w:sz="0" w:space="0" w:color="auto"/>
                    <w:bottom w:val="none" w:sz="0" w:space="0" w:color="auto"/>
                    <w:right w:val="none" w:sz="0" w:space="0" w:color="auto"/>
                  </w:divBdr>
                </w:div>
                <w:div w:id="269582078">
                  <w:marLeft w:val="0"/>
                  <w:marRight w:val="0"/>
                  <w:marTop w:val="0"/>
                  <w:marBottom w:val="0"/>
                  <w:divBdr>
                    <w:top w:val="none" w:sz="0" w:space="0" w:color="auto"/>
                    <w:left w:val="none" w:sz="0" w:space="0" w:color="auto"/>
                    <w:bottom w:val="none" w:sz="0" w:space="0" w:color="auto"/>
                    <w:right w:val="none" w:sz="0" w:space="0" w:color="auto"/>
                  </w:divBdr>
                </w:div>
                <w:div w:id="302740451">
                  <w:marLeft w:val="0"/>
                  <w:marRight w:val="0"/>
                  <w:marTop w:val="0"/>
                  <w:marBottom w:val="0"/>
                  <w:divBdr>
                    <w:top w:val="none" w:sz="0" w:space="0" w:color="auto"/>
                    <w:left w:val="none" w:sz="0" w:space="0" w:color="auto"/>
                    <w:bottom w:val="none" w:sz="0" w:space="0" w:color="auto"/>
                    <w:right w:val="none" w:sz="0" w:space="0" w:color="auto"/>
                  </w:divBdr>
                </w:div>
                <w:div w:id="365838535">
                  <w:marLeft w:val="0"/>
                  <w:marRight w:val="0"/>
                  <w:marTop w:val="0"/>
                  <w:marBottom w:val="0"/>
                  <w:divBdr>
                    <w:top w:val="none" w:sz="0" w:space="0" w:color="auto"/>
                    <w:left w:val="none" w:sz="0" w:space="0" w:color="auto"/>
                    <w:bottom w:val="none" w:sz="0" w:space="0" w:color="auto"/>
                    <w:right w:val="none" w:sz="0" w:space="0" w:color="auto"/>
                  </w:divBdr>
                </w:div>
                <w:div w:id="392704787">
                  <w:marLeft w:val="0"/>
                  <w:marRight w:val="0"/>
                  <w:marTop w:val="0"/>
                  <w:marBottom w:val="0"/>
                  <w:divBdr>
                    <w:top w:val="none" w:sz="0" w:space="0" w:color="auto"/>
                    <w:left w:val="none" w:sz="0" w:space="0" w:color="auto"/>
                    <w:bottom w:val="none" w:sz="0" w:space="0" w:color="auto"/>
                    <w:right w:val="none" w:sz="0" w:space="0" w:color="auto"/>
                  </w:divBdr>
                </w:div>
                <w:div w:id="415785261">
                  <w:marLeft w:val="0"/>
                  <w:marRight w:val="0"/>
                  <w:marTop w:val="0"/>
                  <w:marBottom w:val="0"/>
                  <w:divBdr>
                    <w:top w:val="none" w:sz="0" w:space="0" w:color="auto"/>
                    <w:left w:val="none" w:sz="0" w:space="0" w:color="auto"/>
                    <w:bottom w:val="none" w:sz="0" w:space="0" w:color="auto"/>
                    <w:right w:val="none" w:sz="0" w:space="0" w:color="auto"/>
                  </w:divBdr>
                </w:div>
                <w:div w:id="422071635">
                  <w:marLeft w:val="0"/>
                  <w:marRight w:val="0"/>
                  <w:marTop w:val="0"/>
                  <w:marBottom w:val="0"/>
                  <w:divBdr>
                    <w:top w:val="none" w:sz="0" w:space="0" w:color="auto"/>
                    <w:left w:val="none" w:sz="0" w:space="0" w:color="auto"/>
                    <w:bottom w:val="none" w:sz="0" w:space="0" w:color="auto"/>
                    <w:right w:val="none" w:sz="0" w:space="0" w:color="auto"/>
                  </w:divBdr>
                </w:div>
                <w:div w:id="424227363">
                  <w:marLeft w:val="0"/>
                  <w:marRight w:val="0"/>
                  <w:marTop w:val="0"/>
                  <w:marBottom w:val="0"/>
                  <w:divBdr>
                    <w:top w:val="none" w:sz="0" w:space="0" w:color="auto"/>
                    <w:left w:val="none" w:sz="0" w:space="0" w:color="auto"/>
                    <w:bottom w:val="none" w:sz="0" w:space="0" w:color="auto"/>
                    <w:right w:val="none" w:sz="0" w:space="0" w:color="auto"/>
                  </w:divBdr>
                </w:div>
                <w:div w:id="522548496">
                  <w:marLeft w:val="0"/>
                  <w:marRight w:val="0"/>
                  <w:marTop w:val="0"/>
                  <w:marBottom w:val="0"/>
                  <w:divBdr>
                    <w:top w:val="none" w:sz="0" w:space="0" w:color="auto"/>
                    <w:left w:val="none" w:sz="0" w:space="0" w:color="auto"/>
                    <w:bottom w:val="none" w:sz="0" w:space="0" w:color="auto"/>
                    <w:right w:val="none" w:sz="0" w:space="0" w:color="auto"/>
                  </w:divBdr>
                </w:div>
                <w:div w:id="568657417">
                  <w:marLeft w:val="0"/>
                  <w:marRight w:val="0"/>
                  <w:marTop w:val="0"/>
                  <w:marBottom w:val="0"/>
                  <w:divBdr>
                    <w:top w:val="none" w:sz="0" w:space="0" w:color="auto"/>
                    <w:left w:val="none" w:sz="0" w:space="0" w:color="auto"/>
                    <w:bottom w:val="none" w:sz="0" w:space="0" w:color="auto"/>
                    <w:right w:val="none" w:sz="0" w:space="0" w:color="auto"/>
                  </w:divBdr>
                </w:div>
                <w:div w:id="590503491">
                  <w:marLeft w:val="0"/>
                  <w:marRight w:val="0"/>
                  <w:marTop w:val="0"/>
                  <w:marBottom w:val="0"/>
                  <w:divBdr>
                    <w:top w:val="none" w:sz="0" w:space="0" w:color="auto"/>
                    <w:left w:val="none" w:sz="0" w:space="0" w:color="auto"/>
                    <w:bottom w:val="none" w:sz="0" w:space="0" w:color="auto"/>
                    <w:right w:val="none" w:sz="0" w:space="0" w:color="auto"/>
                  </w:divBdr>
                </w:div>
                <w:div w:id="615790003">
                  <w:marLeft w:val="0"/>
                  <w:marRight w:val="0"/>
                  <w:marTop w:val="0"/>
                  <w:marBottom w:val="0"/>
                  <w:divBdr>
                    <w:top w:val="none" w:sz="0" w:space="0" w:color="auto"/>
                    <w:left w:val="none" w:sz="0" w:space="0" w:color="auto"/>
                    <w:bottom w:val="none" w:sz="0" w:space="0" w:color="auto"/>
                    <w:right w:val="none" w:sz="0" w:space="0" w:color="auto"/>
                  </w:divBdr>
                </w:div>
                <w:div w:id="632298866">
                  <w:marLeft w:val="0"/>
                  <w:marRight w:val="0"/>
                  <w:marTop w:val="0"/>
                  <w:marBottom w:val="0"/>
                  <w:divBdr>
                    <w:top w:val="none" w:sz="0" w:space="0" w:color="auto"/>
                    <w:left w:val="none" w:sz="0" w:space="0" w:color="auto"/>
                    <w:bottom w:val="none" w:sz="0" w:space="0" w:color="auto"/>
                    <w:right w:val="none" w:sz="0" w:space="0" w:color="auto"/>
                  </w:divBdr>
                </w:div>
                <w:div w:id="639261294">
                  <w:marLeft w:val="0"/>
                  <w:marRight w:val="0"/>
                  <w:marTop w:val="0"/>
                  <w:marBottom w:val="0"/>
                  <w:divBdr>
                    <w:top w:val="none" w:sz="0" w:space="0" w:color="auto"/>
                    <w:left w:val="none" w:sz="0" w:space="0" w:color="auto"/>
                    <w:bottom w:val="none" w:sz="0" w:space="0" w:color="auto"/>
                    <w:right w:val="none" w:sz="0" w:space="0" w:color="auto"/>
                  </w:divBdr>
                </w:div>
                <w:div w:id="663244097">
                  <w:marLeft w:val="0"/>
                  <w:marRight w:val="0"/>
                  <w:marTop w:val="0"/>
                  <w:marBottom w:val="0"/>
                  <w:divBdr>
                    <w:top w:val="none" w:sz="0" w:space="0" w:color="auto"/>
                    <w:left w:val="none" w:sz="0" w:space="0" w:color="auto"/>
                    <w:bottom w:val="none" w:sz="0" w:space="0" w:color="auto"/>
                    <w:right w:val="none" w:sz="0" w:space="0" w:color="auto"/>
                  </w:divBdr>
                </w:div>
                <w:div w:id="673339507">
                  <w:marLeft w:val="0"/>
                  <w:marRight w:val="0"/>
                  <w:marTop w:val="0"/>
                  <w:marBottom w:val="0"/>
                  <w:divBdr>
                    <w:top w:val="none" w:sz="0" w:space="0" w:color="auto"/>
                    <w:left w:val="none" w:sz="0" w:space="0" w:color="auto"/>
                    <w:bottom w:val="none" w:sz="0" w:space="0" w:color="auto"/>
                    <w:right w:val="none" w:sz="0" w:space="0" w:color="auto"/>
                  </w:divBdr>
                </w:div>
                <w:div w:id="702943421">
                  <w:marLeft w:val="0"/>
                  <w:marRight w:val="0"/>
                  <w:marTop w:val="0"/>
                  <w:marBottom w:val="0"/>
                  <w:divBdr>
                    <w:top w:val="none" w:sz="0" w:space="0" w:color="auto"/>
                    <w:left w:val="none" w:sz="0" w:space="0" w:color="auto"/>
                    <w:bottom w:val="none" w:sz="0" w:space="0" w:color="auto"/>
                    <w:right w:val="none" w:sz="0" w:space="0" w:color="auto"/>
                  </w:divBdr>
                </w:div>
                <w:div w:id="706444902">
                  <w:marLeft w:val="0"/>
                  <w:marRight w:val="0"/>
                  <w:marTop w:val="0"/>
                  <w:marBottom w:val="0"/>
                  <w:divBdr>
                    <w:top w:val="none" w:sz="0" w:space="0" w:color="auto"/>
                    <w:left w:val="none" w:sz="0" w:space="0" w:color="auto"/>
                    <w:bottom w:val="none" w:sz="0" w:space="0" w:color="auto"/>
                    <w:right w:val="none" w:sz="0" w:space="0" w:color="auto"/>
                  </w:divBdr>
                </w:div>
                <w:div w:id="723456574">
                  <w:marLeft w:val="0"/>
                  <w:marRight w:val="0"/>
                  <w:marTop w:val="0"/>
                  <w:marBottom w:val="0"/>
                  <w:divBdr>
                    <w:top w:val="none" w:sz="0" w:space="0" w:color="auto"/>
                    <w:left w:val="none" w:sz="0" w:space="0" w:color="auto"/>
                    <w:bottom w:val="none" w:sz="0" w:space="0" w:color="auto"/>
                    <w:right w:val="none" w:sz="0" w:space="0" w:color="auto"/>
                  </w:divBdr>
                </w:div>
                <w:div w:id="727385421">
                  <w:marLeft w:val="0"/>
                  <w:marRight w:val="0"/>
                  <w:marTop w:val="0"/>
                  <w:marBottom w:val="0"/>
                  <w:divBdr>
                    <w:top w:val="none" w:sz="0" w:space="0" w:color="auto"/>
                    <w:left w:val="none" w:sz="0" w:space="0" w:color="auto"/>
                    <w:bottom w:val="none" w:sz="0" w:space="0" w:color="auto"/>
                    <w:right w:val="none" w:sz="0" w:space="0" w:color="auto"/>
                  </w:divBdr>
                </w:div>
                <w:div w:id="731973155">
                  <w:marLeft w:val="0"/>
                  <w:marRight w:val="0"/>
                  <w:marTop w:val="0"/>
                  <w:marBottom w:val="0"/>
                  <w:divBdr>
                    <w:top w:val="none" w:sz="0" w:space="0" w:color="auto"/>
                    <w:left w:val="none" w:sz="0" w:space="0" w:color="auto"/>
                    <w:bottom w:val="none" w:sz="0" w:space="0" w:color="auto"/>
                    <w:right w:val="none" w:sz="0" w:space="0" w:color="auto"/>
                  </w:divBdr>
                </w:div>
                <w:div w:id="791441274">
                  <w:marLeft w:val="0"/>
                  <w:marRight w:val="0"/>
                  <w:marTop w:val="0"/>
                  <w:marBottom w:val="0"/>
                  <w:divBdr>
                    <w:top w:val="none" w:sz="0" w:space="0" w:color="auto"/>
                    <w:left w:val="none" w:sz="0" w:space="0" w:color="auto"/>
                    <w:bottom w:val="none" w:sz="0" w:space="0" w:color="auto"/>
                    <w:right w:val="none" w:sz="0" w:space="0" w:color="auto"/>
                  </w:divBdr>
                </w:div>
                <w:div w:id="796528075">
                  <w:marLeft w:val="0"/>
                  <w:marRight w:val="0"/>
                  <w:marTop w:val="0"/>
                  <w:marBottom w:val="0"/>
                  <w:divBdr>
                    <w:top w:val="none" w:sz="0" w:space="0" w:color="auto"/>
                    <w:left w:val="none" w:sz="0" w:space="0" w:color="auto"/>
                    <w:bottom w:val="none" w:sz="0" w:space="0" w:color="auto"/>
                    <w:right w:val="none" w:sz="0" w:space="0" w:color="auto"/>
                  </w:divBdr>
                </w:div>
                <w:div w:id="817693887">
                  <w:marLeft w:val="0"/>
                  <w:marRight w:val="0"/>
                  <w:marTop w:val="0"/>
                  <w:marBottom w:val="0"/>
                  <w:divBdr>
                    <w:top w:val="none" w:sz="0" w:space="0" w:color="auto"/>
                    <w:left w:val="none" w:sz="0" w:space="0" w:color="auto"/>
                    <w:bottom w:val="none" w:sz="0" w:space="0" w:color="auto"/>
                    <w:right w:val="none" w:sz="0" w:space="0" w:color="auto"/>
                  </w:divBdr>
                </w:div>
                <w:div w:id="853495915">
                  <w:marLeft w:val="0"/>
                  <w:marRight w:val="0"/>
                  <w:marTop w:val="0"/>
                  <w:marBottom w:val="0"/>
                  <w:divBdr>
                    <w:top w:val="none" w:sz="0" w:space="0" w:color="auto"/>
                    <w:left w:val="none" w:sz="0" w:space="0" w:color="auto"/>
                    <w:bottom w:val="none" w:sz="0" w:space="0" w:color="auto"/>
                    <w:right w:val="none" w:sz="0" w:space="0" w:color="auto"/>
                  </w:divBdr>
                </w:div>
                <w:div w:id="930701528">
                  <w:marLeft w:val="0"/>
                  <w:marRight w:val="0"/>
                  <w:marTop w:val="0"/>
                  <w:marBottom w:val="0"/>
                  <w:divBdr>
                    <w:top w:val="none" w:sz="0" w:space="0" w:color="auto"/>
                    <w:left w:val="none" w:sz="0" w:space="0" w:color="auto"/>
                    <w:bottom w:val="none" w:sz="0" w:space="0" w:color="auto"/>
                    <w:right w:val="none" w:sz="0" w:space="0" w:color="auto"/>
                  </w:divBdr>
                </w:div>
                <w:div w:id="991711755">
                  <w:marLeft w:val="0"/>
                  <w:marRight w:val="0"/>
                  <w:marTop w:val="0"/>
                  <w:marBottom w:val="0"/>
                  <w:divBdr>
                    <w:top w:val="none" w:sz="0" w:space="0" w:color="auto"/>
                    <w:left w:val="none" w:sz="0" w:space="0" w:color="auto"/>
                    <w:bottom w:val="none" w:sz="0" w:space="0" w:color="auto"/>
                    <w:right w:val="none" w:sz="0" w:space="0" w:color="auto"/>
                  </w:divBdr>
                </w:div>
                <w:div w:id="1042708279">
                  <w:marLeft w:val="0"/>
                  <w:marRight w:val="0"/>
                  <w:marTop w:val="0"/>
                  <w:marBottom w:val="0"/>
                  <w:divBdr>
                    <w:top w:val="none" w:sz="0" w:space="0" w:color="auto"/>
                    <w:left w:val="none" w:sz="0" w:space="0" w:color="auto"/>
                    <w:bottom w:val="none" w:sz="0" w:space="0" w:color="auto"/>
                    <w:right w:val="none" w:sz="0" w:space="0" w:color="auto"/>
                  </w:divBdr>
                </w:div>
                <w:div w:id="1062633437">
                  <w:marLeft w:val="0"/>
                  <w:marRight w:val="0"/>
                  <w:marTop w:val="0"/>
                  <w:marBottom w:val="0"/>
                  <w:divBdr>
                    <w:top w:val="none" w:sz="0" w:space="0" w:color="auto"/>
                    <w:left w:val="none" w:sz="0" w:space="0" w:color="auto"/>
                    <w:bottom w:val="none" w:sz="0" w:space="0" w:color="auto"/>
                    <w:right w:val="none" w:sz="0" w:space="0" w:color="auto"/>
                  </w:divBdr>
                </w:div>
                <w:div w:id="1064908014">
                  <w:marLeft w:val="0"/>
                  <w:marRight w:val="0"/>
                  <w:marTop w:val="0"/>
                  <w:marBottom w:val="0"/>
                  <w:divBdr>
                    <w:top w:val="none" w:sz="0" w:space="0" w:color="auto"/>
                    <w:left w:val="none" w:sz="0" w:space="0" w:color="auto"/>
                    <w:bottom w:val="none" w:sz="0" w:space="0" w:color="auto"/>
                    <w:right w:val="none" w:sz="0" w:space="0" w:color="auto"/>
                  </w:divBdr>
                </w:div>
                <w:div w:id="1073164994">
                  <w:marLeft w:val="0"/>
                  <w:marRight w:val="0"/>
                  <w:marTop w:val="0"/>
                  <w:marBottom w:val="0"/>
                  <w:divBdr>
                    <w:top w:val="none" w:sz="0" w:space="0" w:color="auto"/>
                    <w:left w:val="none" w:sz="0" w:space="0" w:color="auto"/>
                    <w:bottom w:val="none" w:sz="0" w:space="0" w:color="auto"/>
                    <w:right w:val="none" w:sz="0" w:space="0" w:color="auto"/>
                  </w:divBdr>
                </w:div>
                <w:div w:id="1075854430">
                  <w:marLeft w:val="0"/>
                  <w:marRight w:val="0"/>
                  <w:marTop w:val="0"/>
                  <w:marBottom w:val="0"/>
                  <w:divBdr>
                    <w:top w:val="none" w:sz="0" w:space="0" w:color="auto"/>
                    <w:left w:val="none" w:sz="0" w:space="0" w:color="auto"/>
                    <w:bottom w:val="none" w:sz="0" w:space="0" w:color="auto"/>
                    <w:right w:val="none" w:sz="0" w:space="0" w:color="auto"/>
                  </w:divBdr>
                </w:div>
                <w:div w:id="1094277935">
                  <w:marLeft w:val="0"/>
                  <w:marRight w:val="0"/>
                  <w:marTop w:val="0"/>
                  <w:marBottom w:val="0"/>
                  <w:divBdr>
                    <w:top w:val="none" w:sz="0" w:space="0" w:color="auto"/>
                    <w:left w:val="none" w:sz="0" w:space="0" w:color="auto"/>
                    <w:bottom w:val="none" w:sz="0" w:space="0" w:color="auto"/>
                    <w:right w:val="none" w:sz="0" w:space="0" w:color="auto"/>
                  </w:divBdr>
                </w:div>
                <w:div w:id="1102066173">
                  <w:marLeft w:val="0"/>
                  <w:marRight w:val="0"/>
                  <w:marTop w:val="0"/>
                  <w:marBottom w:val="0"/>
                  <w:divBdr>
                    <w:top w:val="none" w:sz="0" w:space="0" w:color="auto"/>
                    <w:left w:val="none" w:sz="0" w:space="0" w:color="auto"/>
                    <w:bottom w:val="none" w:sz="0" w:space="0" w:color="auto"/>
                    <w:right w:val="none" w:sz="0" w:space="0" w:color="auto"/>
                  </w:divBdr>
                </w:div>
                <w:div w:id="1171023443">
                  <w:marLeft w:val="0"/>
                  <w:marRight w:val="0"/>
                  <w:marTop w:val="0"/>
                  <w:marBottom w:val="0"/>
                  <w:divBdr>
                    <w:top w:val="none" w:sz="0" w:space="0" w:color="auto"/>
                    <w:left w:val="none" w:sz="0" w:space="0" w:color="auto"/>
                    <w:bottom w:val="none" w:sz="0" w:space="0" w:color="auto"/>
                    <w:right w:val="none" w:sz="0" w:space="0" w:color="auto"/>
                  </w:divBdr>
                </w:div>
                <w:div w:id="1206984559">
                  <w:marLeft w:val="0"/>
                  <w:marRight w:val="0"/>
                  <w:marTop w:val="0"/>
                  <w:marBottom w:val="0"/>
                  <w:divBdr>
                    <w:top w:val="none" w:sz="0" w:space="0" w:color="auto"/>
                    <w:left w:val="none" w:sz="0" w:space="0" w:color="auto"/>
                    <w:bottom w:val="none" w:sz="0" w:space="0" w:color="auto"/>
                    <w:right w:val="none" w:sz="0" w:space="0" w:color="auto"/>
                  </w:divBdr>
                </w:div>
                <w:div w:id="1212812038">
                  <w:marLeft w:val="0"/>
                  <w:marRight w:val="0"/>
                  <w:marTop w:val="0"/>
                  <w:marBottom w:val="0"/>
                  <w:divBdr>
                    <w:top w:val="none" w:sz="0" w:space="0" w:color="auto"/>
                    <w:left w:val="none" w:sz="0" w:space="0" w:color="auto"/>
                    <w:bottom w:val="none" w:sz="0" w:space="0" w:color="auto"/>
                    <w:right w:val="none" w:sz="0" w:space="0" w:color="auto"/>
                  </w:divBdr>
                </w:div>
                <w:div w:id="1241525136">
                  <w:marLeft w:val="0"/>
                  <w:marRight w:val="0"/>
                  <w:marTop w:val="0"/>
                  <w:marBottom w:val="0"/>
                  <w:divBdr>
                    <w:top w:val="none" w:sz="0" w:space="0" w:color="auto"/>
                    <w:left w:val="none" w:sz="0" w:space="0" w:color="auto"/>
                    <w:bottom w:val="none" w:sz="0" w:space="0" w:color="auto"/>
                    <w:right w:val="none" w:sz="0" w:space="0" w:color="auto"/>
                  </w:divBdr>
                </w:div>
                <w:div w:id="1269846962">
                  <w:marLeft w:val="0"/>
                  <w:marRight w:val="0"/>
                  <w:marTop w:val="0"/>
                  <w:marBottom w:val="0"/>
                  <w:divBdr>
                    <w:top w:val="none" w:sz="0" w:space="0" w:color="auto"/>
                    <w:left w:val="none" w:sz="0" w:space="0" w:color="auto"/>
                    <w:bottom w:val="none" w:sz="0" w:space="0" w:color="auto"/>
                    <w:right w:val="none" w:sz="0" w:space="0" w:color="auto"/>
                  </w:divBdr>
                </w:div>
                <w:div w:id="1286540162">
                  <w:marLeft w:val="0"/>
                  <w:marRight w:val="0"/>
                  <w:marTop w:val="0"/>
                  <w:marBottom w:val="0"/>
                  <w:divBdr>
                    <w:top w:val="none" w:sz="0" w:space="0" w:color="auto"/>
                    <w:left w:val="none" w:sz="0" w:space="0" w:color="auto"/>
                    <w:bottom w:val="none" w:sz="0" w:space="0" w:color="auto"/>
                    <w:right w:val="none" w:sz="0" w:space="0" w:color="auto"/>
                  </w:divBdr>
                </w:div>
                <w:div w:id="1301378828">
                  <w:marLeft w:val="0"/>
                  <w:marRight w:val="0"/>
                  <w:marTop w:val="0"/>
                  <w:marBottom w:val="0"/>
                  <w:divBdr>
                    <w:top w:val="none" w:sz="0" w:space="0" w:color="auto"/>
                    <w:left w:val="none" w:sz="0" w:space="0" w:color="auto"/>
                    <w:bottom w:val="none" w:sz="0" w:space="0" w:color="auto"/>
                    <w:right w:val="none" w:sz="0" w:space="0" w:color="auto"/>
                  </w:divBdr>
                </w:div>
                <w:div w:id="1327979723">
                  <w:marLeft w:val="0"/>
                  <w:marRight w:val="0"/>
                  <w:marTop w:val="0"/>
                  <w:marBottom w:val="0"/>
                  <w:divBdr>
                    <w:top w:val="none" w:sz="0" w:space="0" w:color="auto"/>
                    <w:left w:val="none" w:sz="0" w:space="0" w:color="auto"/>
                    <w:bottom w:val="none" w:sz="0" w:space="0" w:color="auto"/>
                    <w:right w:val="none" w:sz="0" w:space="0" w:color="auto"/>
                  </w:divBdr>
                </w:div>
                <w:div w:id="1329138238">
                  <w:marLeft w:val="0"/>
                  <w:marRight w:val="0"/>
                  <w:marTop w:val="0"/>
                  <w:marBottom w:val="0"/>
                  <w:divBdr>
                    <w:top w:val="none" w:sz="0" w:space="0" w:color="auto"/>
                    <w:left w:val="none" w:sz="0" w:space="0" w:color="auto"/>
                    <w:bottom w:val="none" w:sz="0" w:space="0" w:color="auto"/>
                    <w:right w:val="none" w:sz="0" w:space="0" w:color="auto"/>
                  </w:divBdr>
                </w:div>
                <w:div w:id="1339693846">
                  <w:marLeft w:val="0"/>
                  <w:marRight w:val="0"/>
                  <w:marTop w:val="0"/>
                  <w:marBottom w:val="0"/>
                  <w:divBdr>
                    <w:top w:val="none" w:sz="0" w:space="0" w:color="auto"/>
                    <w:left w:val="none" w:sz="0" w:space="0" w:color="auto"/>
                    <w:bottom w:val="none" w:sz="0" w:space="0" w:color="auto"/>
                    <w:right w:val="none" w:sz="0" w:space="0" w:color="auto"/>
                  </w:divBdr>
                </w:div>
                <w:div w:id="1362584448">
                  <w:marLeft w:val="0"/>
                  <w:marRight w:val="0"/>
                  <w:marTop w:val="0"/>
                  <w:marBottom w:val="0"/>
                  <w:divBdr>
                    <w:top w:val="none" w:sz="0" w:space="0" w:color="auto"/>
                    <w:left w:val="none" w:sz="0" w:space="0" w:color="auto"/>
                    <w:bottom w:val="none" w:sz="0" w:space="0" w:color="auto"/>
                    <w:right w:val="none" w:sz="0" w:space="0" w:color="auto"/>
                  </w:divBdr>
                </w:div>
                <w:div w:id="1368676011">
                  <w:marLeft w:val="0"/>
                  <w:marRight w:val="0"/>
                  <w:marTop w:val="0"/>
                  <w:marBottom w:val="0"/>
                  <w:divBdr>
                    <w:top w:val="none" w:sz="0" w:space="0" w:color="auto"/>
                    <w:left w:val="none" w:sz="0" w:space="0" w:color="auto"/>
                    <w:bottom w:val="none" w:sz="0" w:space="0" w:color="auto"/>
                    <w:right w:val="none" w:sz="0" w:space="0" w:color="auto"/>
                  </w:divBdr>
                </w:div>
                <w:div w:id="1372224850">
                  <w:marLeft w:val="0"/>
                  <w:marRight w:val="0"/>
                  <w:marTop w:val="0"/>
                  <w:marBottom w:val="0"/>
                  <w:divBdr>
                    <w:top w:val="none" w:sz="0" w:space="0" w:color="auto"/>
                    <w:left w:val="none" w:sz="0" w:space="0" w:color="auto"/>
                    <w:bottom w:val="none" w:sz="0" w:space="0" w:color="auto"/>
                    <w:right w:val="none" w:sz="0" w:space="0" w:color="auto"/>
                  </w:divBdr>
                </w:div>
                <w:div w:id="1398818971">
                  <w:marLeft w:val="0"/>
                  <w:marRight w:val="0"/>
                  <w:marTop w:val="0"/>
                  <w:marBottom w:val="0"/>
                  <w:divBdr>
                    <w:top w:val="none" w:sz="0" w:space="0" w:color="auto"/>
                    <w:left w:val="none" w:sz="0" w:space="0" w:color="auto"/>
                    <w:bottom w:val="none" w:sz="0" w:space="0" w:color="auto"/>
                    <w:right w:val="none" w:sz="0" w:space="0" w:color="auto"/>
                  </w:divBdr>
                </w:div>
                <w:div w:id="1403331258">
                  <w:marLeft w:val="0"/>
                  <w:marRight w:val="0"/>
                  <w:marTop w:val="0"/>
                  <w:marBottom w:val="0"/>
                  <w:divBdr>
                    <w:top w:val="none" w:sz="0" w:space="0" w:color="auto"/>
                    <w:left w:val="none" w:sz="0" w:space="0" w:color="auto"/>
                    <w:bottom w:val="none" w:sz="0" w:space="0" w:color="auto"/>
                    <w:right w:val="none" w:sz="0" w:space="0" w:color="auto"/>
                  </w:divBdr>
                </w:div>
                <w:div w:id="1414207956">
                  <w:marLeft w:val="0"/>
                  <w:marRight w:val="0"/>
                  <w:marTop w:val="0"/>
                  <w:marBottom w:val="0"/>
                  <w:divBdr>
                    <w:top w:val="none" w:sz="0" w:space="0" w:color="auto"/>
                    <w:left w:val="none" w:sz="0" w:space="0" w:color="auto"/>
                    <w:bottom w:val="none" w:sz="0" w:space="0" w:color="auto"/>
                    <w:right w:val="none" w:sz="0" w:space="0" w:color="auto"/>
                  </w:divBdr>
                </w:div>
                <w:div w:id="1452746538">
                  <w:marLeft w:val="0"/>
                  <w:marRight w:val="0"/>
                  <w:marTop w:val="0"/>
                  <w:marBottom w:val="0"/>
                  <w:divBdr>
                    <w:top w:val="none" w:sz="0" w:space="0" w:color="auto"/>
                    <w:left w:val="none" w:sz="0" w:space="0" w:color="auto"/>
                    <w:bottom w:val="none" w:sz="0" w:space="0" w:color="auto"/>
                    <w:right w:val="none" w:sz="0" w:space="0" w:color="auto"/>
                  </w:divBdr>
                </w:div>
                <w:div w:id="1471942358">
                  <w:marLeft w:val="0"/>
                  <w:marRight w:val="0"/>
                  <w:marTop w:val="0"/>
                  <w:marBottom w:val="0"/>
                  <w:divBdr>
                    <w:top w:val="none" w:sz="0" w:space="0" w:color="auto"/>
                    <w:left w:val="none" w:sz="0" w:space="0" w:color="auto"/>
                    <w:bottom w:val="none" w:sz="0" w:space="0" w:color="auto"/>
                    <w:right w:val="none" w:sz="0" w:space="0" w:color="auto"/>
                  </w:divBdr>
                </w:div>
                <w:div w:id="1477527142">
                  <w:marLeft w:val="0"/>
                  <w:marRight w:val="0"/>
                  <w:marTop w:val="0"/>
                  <w:marBottom w:val="0"/>
                  <w:divBdr>
                    <w:top w:val="none" w:sz="0" w:space="0" w:color="auto"/>
                    <w:left w:val="none" w:sz="0" w:space="0" w:color="auto"/>
                    <w:bottom w:val="none" w:sz="0" w:space="0" w:color="auto"/>
                    <w:right w:val="none" w:sz="0" w:space="0" w:color="auto"/>
                  </w:divBdr>
                </w:div>
                <w:div w:id="1622102635">
                  <w:marLeft w:val="0"/>
                  <w:marRight w:val="0"/>
                  <w:marTop w:val="0"/>
                  <w:marBottom w:val="0"/>
                  <w:divBdr>
                    <w:top w:val="none" w:sz="0" w:space="0" w:color="auto"/>
                    <w:left w:val="none" w:sz="0" w:space="0" w:color="auto"/>
                    <w:bottom w:val="none" w:sz="0" w:space="0" w:color="auto"/>
                    <w:right w:val="none" w:sz="0" w:space="0" w:color="auto"/>
                  </w:divBdr>
                </w:div>
                <w:div w:id="1633362560">
                  <w:marLeft w:val="0"/>
                  <w:marRight w:val="0"/>
                  <w:marTop w:val="0"/>
                  <w:marBottom w:val="0"/>
                  <w:divBdr>
                    <w:top w:val="none" w:sz="0" w:space="0" w:color="auto"/>
                    <w:left w:val="none" w:sz="0" w:space="0" w:color="auto"/>
                    <w:bottom w:val="none" w:sz="0" w:space="0" w:color="auto"/>
                    <w:right w:val="none" w:sz="0" w:space="0" w:color="auto"/>
                  </w:divBdr>
                </w:div>
                <w:div w:id="1693535947">
                  <w:marLeft w:val="0"/>
                  <w:marRight w:val="0"/>
                  <w:marTop w:val="0"/>
                  <w:marBottom w:val="0"/>
                  <w:divBdr>
                    <w:top w:val="none" w:sz="0" w:space="0" w:color="auto"/>
                    <w:left w:val="none" w:sz="0" w:space="0" w:color="auto"/>
                    <w:bottom w:val="none" w:sz="0" w:space="0" w:color="auto"/>
                    <w:right w:val="none" w:sz="0" w:space="0" w:color="auto"/>
                  </w:divBdr>
                </w:div>
                <w:div w:id="1719013199">
                  <w:marLeft w:val="0"/>
                  <w:marRight w:val="0"/>
                  <w:marTop w:val="0"/>
                  <w:marBottom w:val="0"/>
                  <w:divBdr>
                    <w:top w:val="none" w:sz="0" w:space="0" w:color="auto"/>
                    <w:left w:val="none" w:sz="0" w:space="0" w:color="auto"/>
                    <w:bottom w:val="none" w:sz="0" w:space="0" w:color="auto"/>
                    <w:right w:val="none" w:sz="0" w:space="0" w:color="auto"/>
                  </w:divBdr>
                </w:div>
                <w:div w:id="1720084638">
                  <w:marLeft w:val="0"/>
                  <w:marRight w:val="0"/>
                  <w:marTop w:val="0"/>
                  <w:marBottom w:val="0"/>
                  <w:divBdr>
                    <w:top w:val="none" w:sz="0" w:space="0" w:color="auto"/>
                    <w:left w:val="none" w:sz="0" w:space="0" w:color="auto"/>
                    <w:bottom w:val="none" w:sz="0" w:space="0" w:color="auto"/>
                    <w:right w:val="none" w:sz="0" w:space="0" w:color="auto"/>
                  </w:divBdr>
                </w:div>
                <w:div w:id="1733769078">
                  <w:marLeft w:val="0"/>
                  <w:marRight w:val="0"/>
                  <w:marTop w:val="0"/>
                  <w:marBottom w:val="0"/>
                  <w:divBdr>
                    <w:top w:val="none" w:sz="0" w:space="0" w:color="auto"/>
                    <w:left w:val="none" w:sz="0" w:space="0" w:color="auto"/>
                    <w:bottom w:val="none" w:sz="0" w:space="0" w:color="auto"/>
                    <w:right w:val="none" w:sz="0" w:space="0" w:color="auto"/>
                  </w:divBdr>
                </w:div>
                <w:div w:id="1758090808">
                  <w:marLeft w:val="0"/>
                  <w:marRight w:val="0"/>
                  <w:marTop w:val="0"/>
                  <w:marBottom w:val="0"/>
                  <w:divBdr>
                    <w:top w:val="none" w:sz="0" w:space="0" w:color="auto"/>
                    <w:left w:val="none" w:sz="0" w:space="0" w:color="auto"/>
                    <w:bottom w:val="none" w:sz="0" w:space="0" w:color="auto"/>
                    <w:right w:val="none" w:sz="0" w:space="0" w:color="auto"/>
                  </w:divBdr>
                </w:div>
                <w:div w:id="1779716173">
                  <w:marLeft w:val="0"/>
                  <w:marRight w:val="0"/>
                  <w:marTop w:val="0"/>
                  <w:marBottom w:val="0"/>
                  <w:divBdr>
                    <w:top w:val="none" w:sz="0" w:space="0" w:color="auto"/>
                    <w:left w:val="none" w:sz="0" w:space="0" w:color="auto"/>
                    <w:bottom w:val="none" w:sz="0" w:space="0" w:color="auto"/>
                    <w:right w:val="none" w:sz="0" w:space="0" w:color="auto"/>
                  </w:divBdr>
                </w:div>
                <w:div w:id="1792631626">
                  <w:marLeft w:val="0"/>
                  <w:marRight w:val="0"/>
                  <w:marTop w:val="0"/>
                  <w:marBottom w:val="0"/>
                  <w:divBdr>
                    <w:top w:val="none" w:sz="0" w:space="0" w:color="auto"/>
                    <w:left w:val="none" w:sz="0" w:space="0" w:color="auto"/>
                    <w:bottom w:val="none" w:sz="0" w:space="0" w:color="auto"/>
                    <w:right w:val="none" w:sz="0" w:space="0" w:color="auto"/>
                  </w:divBdr>
                </w:div>
                <w:div w:id="1840386757">
                  <w:marLeft w:val="0"/>
                  <w:marRight w:val="0"/>
                  <w:marTop w:val="0"/>
                  <w:marBottom w:val="0"/>
                  <w:divBdr>
                    <w:top w:val="none" w:sz="0" w:space="0" w:color="auto"/>
                    <w:left w:val="none" w:sz="0" w:space="0" w:color="auto"/>
                    <w:bottom w:val="none" w:sz="0" w:space="0" w:color="auto"/>
                    <w:right w:val="none" w:sz="0" w:space="0" w:color="auto"/>
                  </w:divBdr>
                </w:div>
                <w:div w:id="1913928358">
                  <w:marLeft w:val="0"/>
                  <w:marRight w:val="0"/>
                  <w:marTop w:val="0"/>
                  <w:marBottom w:val="0"/>
                  <w:divBdr>
                    <w:top w:val="none" w:sz="0" w:space="0" w:color="auto"/>
                    <w:left w:val="none" w:sz="0" w:space="0" w:color="auto"/>
                    <w:bottom w:val="none" w:sz="0" w:space="0" w:color="auto"/>
                    <w:right w:val="none" w:sz="0" w:space="0" w:color="auto"/>
                  </w:divBdr>
                </w:div>
                <w:div w:id="1920749149">
                  <w:marLeft w:val="0"/>
                  <w:marRight w:val="0"/>
                  <w:marTop w:val="0"/>
                  <w:marBottom w:val="0"/>
                  <w:divBdr>
                    <w:top w:val="none" w:sz="0" w:space="0" w:color="auto"/>
                    <w:left w:val="none" w:sz="0" w:space="0" w:color="auto"/>
                    <w:bottom w:val="none" w:sz="0" w:space="0" w:color="auto"/>
                    <w:right w:val="none" w:sz="0" w:space="0" w:color="auto"/>
                  </w:divBdr>
                </w:div>
                <w:div w:id="2006974888">
                  <w:marLeft w:val="0"/>
                  <w:marRight w:val="0"/>
                  <w:marTop w:val="0"/>
                  <w:marBottom w:val="0"/>
                  <w:divBdr>
                    <w:top w:val="none" w:sz="0" w:space="0" w:color="auto"/>
                    <w:left w:val="none" w:sz="0" w:space="0" w:color="auto"/>
                    <w:bottom w:val="none" w:sz="0" w:space="0" w:color="auto"/>
                    <w:right w:val="none" w:sz="0" w:space="0" w:color="auto"/>
                  </w:divBdr>
                </w:div>
                <w:div w:id="2076390948">
                  <w:marLeft w:val="0"/>
                  <w:marRight w:val="0"/>
                  <w:marTop w:val="0"/>
                  <w:marBottom w:val="0"/>
                  <w:divBdr>
                    <w:top w:val="none" w:sz="0" w:space="0" w:color="auto"/>
                    <w:left w:val="none" w:sz="0" w:space="0" w:color="auto"/>
                    <w:bottom w:val="none" w:sz="0" w:space="0" w:color="auto"/>
                    <w:right w:val="none" w:sz="0" w:space="0" w:color="auto"/>
                  </w:divBdr>
                </w:div>
                <w:div w:id="2120754707">
                  <w:marLeft w:val="0"/>
                  <w:marRight w:val="0"/>
                  <w:marTop w:val="0"/>
                  <w:marBottom w:val="0"/>
                  <w:divBdr>
                    <w:top w:val="none" w:sz="0" w:space="0" w:color="auto"/>
                    <w:left w:val="none" w:sz="0" w:space="0" w:color="auto"/>
                    <w:bottom w:val="none" w:sz="0" w:space="0" w:color="auto"/>
                    <w:right w:val="none" w:sz="0" w:space="0" w:color="auto"/>
                  </w:divBdr>
                </w:div>
                <w:div w:id="2130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48103">
          <w:marLeft w:val="0"/>
          <w:marRight w:val="0"/>
          <w:marTop w:val="0"/>
          <w:marBottom w:val="0"/>
          <w:divBdr>
            <w:top w:val="none" w:sz="0" w:space="0" w:color="auto"/>
            <w:left w:val="none" w:sz="0" w:space="0" w:color="auto"/>
            <w:bottom w:val="none" w:sz="0" w:space="0" w:color="auto"/>
            <w:right w:val="none" w:sz="0" w:space="0" w:color="auto"/>
          </w:divBdr>
          <w:divsChild>
            <w:div w:id="787354330">
              <w:marLeft w:val="0"/>
              <w:marRight w:val="0"/>
              <w:marTop w:val="0"/>
              <w:marBottom w:val="0"/>
              <w:divBdr>
                <w:top w:val="none" w:sz="0" w:space="0" w:color="auto"/>
                <w:left w:val="none" w:sz="0" w:space="0" w:color="auto"/>
                <w:bottom w:val="none" w:sz="0" w:space="0" w:color="auto"/>
                <w:right w:val="none" w:sz="0" w:space="0" w:color="auto"/>
              </w:divBdr>
              <w:divsChild>
                <w:div w:id="5980082">
                  <w:marLeft w:val="0"/>
                  <w:marRight w:val="0"/>
                  <w:marTop w:val="0"/>
                  <w:marBottom w:val="0"/>
                  <w:divBdr>
                    <w:top w:val="none" w:sz="0" w:space="0" w:color="auto"/>
                    <w:left w:val="none" w:sz="0" w:space="0" w:color="auto"/>
                    <w:bottom w:val="none" w:sz="0" w:space="0" w:color="auto"/>
                    <w:right w:val="none" w:sz="0" w:space="0" w:color="auto"/>
                  </w:divBdr>
                </w:div>
                <w:div w:id="11734347">
                  <w:marLeft w:val="0"/>
                  <w:marRight w:val="0"/>
                  <w:marTop w:val="0"/>
                  <w:marBottom w:val="0"/>
                  <w:divBdr>
                    <w:top w:val="none" w:sz="0" w:space="0" w:color="auto"/>
                    <w:left w:val="none" w:sz="0" w:space="0" w:color="auto"/>
                    <w:bottom w:val="none" w:sz="0" w:space="0" w:color="auto"/>
                    <w:right w:val="none" w:sz="0" w:space="0" w:color="auto"/>
                  </w:divBdr>
                </w:div>
                <w:div w:id="15889696">
                  <w:marLeft w:val="0"/>
                  <w:marRight w:val="0"/>
                  <w:marTop w:val="0"/>
                  <w:marBottom w:val="0"/>
                  <w:divBdr>
                    <w:top w:val="none" w:sz="0" w:space="0" w:color="auto"/>
                    <w:left w:val="none" w:sz="0" w:space="0" w:color="auto"/>
                    <w:bottom w:val="none" w:sz="0" w:space="0" w:color="auto"/>
                    <w:right w:val="none" w:sz="0" w:space="0" w:color="auto"/>
                  </w:divBdr>
                </w:div>
                <w:div w:id="25525409">
                  <w:marLeft w:val="0"/>
                  <w:marRight w:val="0"/>
                  <w:marTop w:val="0"/>
                  <w:marBottom w:val="0"/>
                  <w:divBdr>
                    <w:top w:val="none" w:sz="0" w:space="0" w:color="auto"/>
                    <w:left w:val="none" w:sz="0" w:space="0" w:color="auto"/>
                    <w:bottom w:val="none" w:sz="0" w:space="0" w:color="auto"/>
                    <w:right w:val="none" w:sz="0" w:space="0" w:color="auto"/>
                  </w:divBdr>
                </w:div>
                <w:div w:id="58292003">
                  <w:marLeft w:val="0"/>
                  <w:marRight w:val="0"/>
                  <w:marTop w:val="0"/>
                  <w:marBottom w:val="0"/>
                  <w:divBdr>
                    <w:top w:val="none" w:sz="0" w:space="0" w:color="auto"/>
                    <w:left w:val="none" w:sz="0" w:space="0" w:color="auto"/>
                    <w:bottom w:val="none" w:sz="0" w:space="0" w:color="auto"/>
                    <w:right w:val="none" w:sz="0" w:space="0" w:color="auto"/>
                  </w:divBdr>
                </w:div>
                <w:div w:id="62336900">
                  <w:marLeft w:val="0"/>
                  <w:marRight w:val="0"/>
                  <w:marTop w:val="0"/>
                  <w:marBottom w:val="0"/>
                  <w:divBdr>
                    <w:top w:val="none" w:sz="0" w:space="0" w:color="auto"/>
                    <w:left w:val="none" w:sz="0" w:space="0" w:color="auto"/>
                    <w:bottom w:val="none" w:sz="0" w:space="0" w:color="auto"/>
                    <w:right w:val="none" w:sz="0" w:space="0" w:color="auto"/>
                  </w:divBdr>
                </w:div>
                <w:div w:id="67268621">
                  <w:marLeft w:val="0"/>
                  <w:marRight w:val="0"/>
                  <w:marTop w:val="0"/>
                  <w:marBottom w:val="0"/>
                  <w:divBdr>
                    <w:top w:val="none" w:sz="0" w:space="0" w:color="auto"/>
                    <w:left w:val="none" w:sz="0" w:space="0" w:color="auto"/>
                    <w:bottom w:val="none" w:sz="0" w:space="0" w:color="auto"/>
                    <w:right w:val="none" w:sz="0" w:space="0" w:color="auto"/>
                  </w:divBdr>
                </w:div>
                <w:div w:id="72361640">
                  <w:marLeft w:val="0"/>
                  <w:marRight w:val="0"/>
                  <w:marTop w:val="0"/>
                  <w:marBottom w:val="0"/>
                  <w:divBdr>
                    <w:top w:val="none" w:sz="0" w:space="0" w:color="auto"/>
                    <w:left w:val="none" w:sz="0" w:space="0" w:color="auto"/>
                    <w:bottom w:val="none" w:sz="0" w:space="0" w:color="auto"/>
                    <w:right w:val="none" w:sz="0" w:space="0" w:color="auto"/>
                  </w:divBdr>
                </w:div>
                <w:div w:id="79763767">
                  <w:marLeft w:val="0"/>
                  <w:marRight w:val="0"/>
                  <w:marTop w:val="0"/>
                  <w:marBottom w:val="0"/>
                  <w:divBdr>
                    <w:top w:val="none" w:sz="0" w:space="0" w:color="auto"/>
                    <w:left w:val="none" w:sz="0" w:space="0" w:color="auto"/>
                    <w:bottom w:val="none" w:sz="0" w:space="0" w:color="auto"/>
                    <w:right w:val="none" w:sz="0" w:space="0" w:color="auto"/>
                  </w:divBdr>
                </w:div>
                <w:div w:id="126049382">
                  <w:marLeft w:val="0"/>
                  <w:marRight w:val="0"/>
                  <w:marTop w:val="0"/>
                  <w:marBottom w:val="0"/>
                  <w:divBdr>
                    <w:top w:val="none" w:sz="0" w:space="0" w:color="auto"/>
                    <w:left w:val="none" w:sz="0" w:space="0" w:color="auto"/>
                    <w:bottom w:val="none" w:sz="0" w:space="0" w:color="auto"/>
                    <w:right w:val="none" w:sz="0" w:space="0" w:color="auto"/>
                  </w:divBdr>
                </w:div>
                <w:div w:id="133957587">
                  <w:marLeft w:val="0"/>
                  <w:marRight w:val="0"/>
                  <w:marTop w:val="0"/>
                  <w:marBottom w:val="0"/>
                  <w:divBdr>
                    <w:top w:val="none" w:sz="0" w:space="0" w:color="auto"/>
                    <w:left w:val="none" w:sz="0" w:space="0" w:color="auto"/>
                    <w:bottom w:val="none" w:sz="0" w:space="0" w:color="auto"/>
                    <w:right w:val="none" w:sz="0" w:space="0" w:color="auto"/>
                  </w:divBdr>
                </w:div>
                <w:div w:id="156263967">
                  <w:marLeft w:val="0"/>
                  <w:marRight w:val="0"/>
                  <w:marTop w:val="0"/>
                  <w:marBottom w:val="0"/>
                  <w:divBdr>
                    <w:top w:val="none" w:sz="0" w:space="0" w:color="auto"/>
                    <w:left w:val="none" w:sz="0" w:space="0" w:color="auto"/>
                    <w:bottom w:val="none" w:sz="0" w:space="0" w:color="auto"/>
                    <w:right w:val="none" w:sz="0" w:space="0" w:color="auto"/>
                  </w:divBdr>
                </w:div>
                <w:div w:id="161163926">
                  <w:marLeft w:val="0"/>
                  <w:marRight w:val="0"/>
                  <w:marTop w:val="0"/>
                  <w:marBottom w:val="0"/>
                  <w:divBdr>
                    <w:top w:val="none" w:sz="0" w:space="0" w:color="auto"/>
                    <w:left w:val="none" w:sz="0" w:space="0" w:color="auto"/>
                    <w:bottom w:val="none" w:sz="0" w:space="0" w:color="auto"/>
                    <w:right w:val="none" w:sz="0" w:space="0" w:color="auto"/>
                  </w:divBdr>
                </w:div>
                <w:div w:id="171578338">
                  <w:marLeft w:val="0"/>
                  <w:marRight w:val="0"/>
                  <w:marTop w:val="0"/>
                  <w:marBottom w:val="0"/>
                  <w:divBdr>
                    <w:top w:val="none" w:sz="0" w:space="0" w:color="auto"/>
                    <w:left w:val="none" w:sz="0" w:space="0" w:color="auto"/>
                    <w:bottom w:val="none" w:sz="0" w:space="0" w:color="auto"/>
                    <w:right w:val="none" w:sz="0" w:space="0" w:color="auto"/>
                  </w:divBdr>
                </w:div>
                <w:div w:id="177235610">
                  <w:marLeft w:val="0"/>
                  <w:marRight w:val="0"/>
                  <w:marTop w:val="0"/>
                  <w:marBottom w:val="0"/>
                  <w:divBdr>
                    <w:top w:val="none" w:sz="0" w:space="0" w:color="auto"/>
                    <w:left w:val="none" w:sz="0" w:space="0" w:color="auto"/>
                    <w:bottom w:val="none" w:sz="0" w:space="0" w:color="auto"/>
                    <w:right w:val="none" w:sz="0" w:space="0" w:color="auto"/>
                  </w:divBdr>
                </w:div>
                <w:div w:id="189497191">
                  <w:marLeft w:val="0"/>
                  <w:marRight w:val="0"/>
                  <w:marTop w:val="0"/>
                  <w:marBottom w:val="0"/>
                  <w:divBdr>
                    <w:top w:val="none" w:sz="0" w:space="0" w:color="auto"/>
                    <w:left w:val="none" w:sz="0" w:space="0" w:color="auto"/>
                    <w:bottom w:val="none" w:sz="0" w:space="0" w:color="auto"/>
                    <w:right w:val="none" w:sz="0" w:space="0" w:color="auto"/>
                  </w:divBdr>
                </w:div>
                <w:div w:id="224075548">
                  <w:marLeft w:val="0"/>
                  <w:marRight w:val="0"/>
                  <w:marTop w:val="0"/>
                  <w:marBottom w:val="0"/>
                  <w:divBdr>
                    <w:top w:val="none" w:sz="0" w:space="0" w:color="auto"/>
                    <w:left w:val="none" w:sz="0" w:space="0" w:color="auto"/>
                    <w:bottom w:val="none" w:sz="0" w:space="0" w:color="auto"/>
                    <w:right w:val="none" w:sz="0" w:space="0" w:color="auto"/>
                  </w:divBdr>
                </w:div>
                <w:div w:id="243496849">
                  <w:marLeft w:val="0"/>
                  <w:marRight w:val="0"/>
                  <w:marTop w:val="0"/>
                  <w:marBottom w:val="0"/>
                  <w:divBdr>
                    <w:top w:val="none" w:sz="0" w:space="0" w:color="auto"/>
                    <w:left w:val="none" w:sz="0" w:space="0" w:color="auto"/>
                    <w:bottom w:val="none" w:sz="0" w:space="0" w:color="auto"/>
                    <w:right w:val="none" w:sz="0" w:space="0" w:color="auto"/>
                  </w:divBdr>
                </w:div>
                <w:div w:id="244146452">
                  <w:marLeft w:val="0"/>
                  <w:marRight w:val="0"/>
                  <w:marTop w:val="0"/>
                  <w:marBottom w:val="0"/>
                  <w:divBdr>
                    <w:top w:val="none" w:sz="0" w:space="0" w:color="auto"/>
                    <w:left w:val="none" w:sz="0" w:space="0" w:color="auto"/>
                    <w:bottom w:val="none" w:sz="0" w:space="0" w:color="auto"/>
                    <w:right w:val="none" w:sz="0" w:space="0" w:color="auto"/>
                  </w:divBdr>
                </w:div>
                <w:div w:id="253781851">
                  <w:marLeft w:val="0"/>
                  <w:marRight w:val="0"/>
                  <w:marTop w:val="0"/>
                  <w:marBottom w:val="0"/>
                  <w:divBdr>
                    <w:top w:val="none" w:sz="0" w:space="0" w:color="auto"/>
                    <w:left w:val="none" w:sz="0" w:space="0" w:color="auto"/>
                    <w:bottom w:val="none" w:sz="0" w:space="0" w:color="auto"/>
                    <w:right w:val="none" w:sz="0" w:space="0" w:color="auto"/>
                  </w:divBdr>
                </w:div>
                <w:div w:id="265845226">
                  <w:marLeft w:val="0"/>
                  <w:marRight w:val="0"/>
                  <w:marTop w:val="0"/>
                  <w:marBottom w:val="0"/>
                  <w:divBdr>
                    <w:top w:val="none" w:sz="0" w:space="0" w:color="auto"/>
                    <w:left w:val="none" w:sz="0" w:space="0" w:color="auto"/>
                    <w:bottom w:val="none" w:sz="0" w:space="0" w:color="auto"/>
                    <w:right w:val="none" w:sz="0" w:space="0" w:color="auto"/>
                  </w:divBdr>
                </w:div>
                <w:div w:id="315693673">
                  <w:marLeft w:val="0"/>
                  <w:marRight w:val="0"/>
                  <w:marTop w:val="0"/>
                  <w:marBottom w:val="0"/>
                  <w:divBdr>
                    <w:top w:val="none" w:sz="0" w:space="0" w:color="auto"/>
                    <w:left w:val="none" w:sz="0" w:space="0" w:color="auto"/>
                    <w:bottom w:val="none" w:sz="0" w:space="0" w:color="auto"/>
                    <w:right w:val="none" w:sz="0" w:space="0" w:color="auto"/>
                  </w:divBdr>
                </w:div>
                <w:div w:id="327833243">
                  <w:marLeft w:val="0"/>
                  <w:marRight w:val="0"/>
                  <w:marTop w:val="0"/>
                  <w:marBottom w:val="0"/>
                  <w:divBdr>
                    <w:top w:val="none" w:sz="0" w:space="0" w:color="auto"/>
                    <w:left w:val="none" w:sz="0" w:space="0" w:color="auto"/>
                    <w:bottom w:val="none" w:sz="0" w:space="0" w:color="auto"/>
                    <w:right w:val="none" w:sz="0" w:space="0" w:color="auto"/>
                  </w:divBdr>
                </w:div>
                <w:div w:id="339157951">
                  <w:marLeft w:val="0"/>
                  <w:marRight w:val="0"/>
                  <w:marTop w:val="0"/>
                  <w:marBottom w:val="0"/>
                  <w:divBdr>
                    <w:top w:val="none" w:sz="0" w:space="0" w:color="auto"/>
                    <w:left w:val="none" w:sz="0" w:space="0" w:color="auto"/>
                    <w:bottom w:val="none" w:sz="0" w:space="0" w:color="auto"/>
                    <w:right w:val="none" w:sz="0" w:space="0" w:color="auto"/>
                  </w:divBdr>
                </w:div>
                <w:div w:id="352801552">
                  <w:marLeft w:val="0"/>
                  <w:marRight w:val="0"/>
                  <w:marTop w:val="0"/>
                  <w:marBottom w:val="0"/>
                  <w:divBdr>
                    <w:top w:val="none" w:sz="0" w:space="0" w:color="auto"/>
                    <w:left w:val="none" w:sz="0" w:space="0" w:color="auto"/>
                    <w:bottom w:val="none" w:sz="0" w:space="0" w:color="auto"/>
                    <w:right w:val="none" w:sz="0" w:space="0" w:color="auto"/>
                  </w:divBdr>
                </w:div>
                <w:div w:id="365059015">
                  <w:marLeft w:val="0"/>
                  <w:marRight w:val="0"/>
                  <w:marTop w:val="0"/>
                  <w:marBottom w:val="0"/>
                  <w:divBdr>
                    <w:top w:val="none" w:sz="0" w:space="0" w:color="auto"/>
                    <w:left w:val="none" w:sz="0" w:space="0" w:color="auto"/>
                    <w:bottom w:val="none" w:sz="0" w:space="0" w:color="auto"/>
                    <w:right w:val="none" w:sz="0" w:space="0" w:color="auto"/>
                  </w:divBdr>
                </w:div>
                <w:div w:id="374893891">
                  <w:marLeft w:val="0"/>
                  <w:marRight w:val="0"/>
                  <w:marTop w:val="0"/>
                  <w:marBottom w:val="0"/>
                  <w:divBdr>
                    <w:top w:val="none" w:sz="0" w:space="0" w:color="auto"/>
                    <w:left w:val="none" w:sz="0" w:space="0" w:color="auto"/>
                    <w:bottom w:val="none" w:sz="0" w:space="0" w:color="auto"/>
                    <w:right w:val="none" w:sz="0" w:space="0" w:color="auto"/>
                  </w:divBdr>
                </w:div>
                <w:div w:id="388578224">
                  <w:marLeft w:val="0"/>
                  <w:marRight w:val="0"/>
                  <w:marTop w:val="0"/>
                  <w:marBottom w:val="0"/>
                  <w:divBdr>
                    <w:top w:val="none" w:sz="0" w:space="0" w:color="auto"/>
                    <w:left w:val="none" w:sz="0" w:space="0" w:color="auto"/>
                    <w:bottom w:val="none" w:sz="0" w:space="0" w:color="auto"/>
                    <w:right w:val="none" w:sz="0" w:space="0" w:color="auto"/>
                  </w:divBdr>
                </w:div>
                <w:div w:id="394670437">
                  <w:marLeft w:val="0"/>
                  <w:marRight w:val="0"/>
                  <w:marTop w:val="0"/>
                  <w:marBottom w:val="0"/>
                  <w:divBdr>
                    <w:top w:val="none" w:sz="0" w:space="0" w:color="auto"/>
                    <w:left w:val="none" w:sz="0" w:space="0" w:color="auto"/>
                    <w:bottom w:val="none" w:sz="0" w:space="0" w:color="auto"/>
                    <w:right w:val="none" w:sz="0" w:space="0" w:color="auto"/>
                  </w:divBdr>
                </w:div>
                <w:div w:id="398941588">
                  <w:marLeft w:val="0"/>
                  <w:marRight w:val="0"/>
                  <w:marTop w:val="0"/>
                  <w:marBottom w:val="0"/>
                  <w:divBdr>
                    <w:top w:val="none" w:sz="0" w:space="0" w:color="auto"/>
                    <w:left w:val="none" w:sz="0" w:space="0" w:color="auto"/>
                    <w:bottom w:val="none" w:sz="0" w:space="0" w:color="auto"/>
                    <w:right w:val="none" w:sz="0" w:space="0" w:color="auto"/>
                  </w:divBdr>
                </w:div>
                <w:div w:id="420415018">
                  <w:marLeft w:val="0"/>
                  <w:marRight w:val="0"/>
                  <w:marTop w:val="0"/>
                  <w:marBottom w:val="0"/>
                  <w:divBdr>
                    <w:top w:val="none" w:sz="0" w:space="0" w:color="auto"/>
                    <w:left w:val="none" w:sz="0" w:space="0" w:color="auto"/>
                    <w:bottom w:val="none" w:sz="0" w:space="0" w:color="auto"/>
                    <w:right w:val="none" w:sz="0" w:space="0" w:color="auto"/>
                  </w:divBdr>
                </w:div>
                <w:div w:id="430205544">
                  <w:marLeft w:val="0"/>
                  <w:marRight w:val="0"/>
                  <w:marTop w:val="0"/>
                  <w:marBottom w:val="0"/>
                  <w:divBdr>
                    <w:top w:val="none" w:sz="0" w:space="0" w:color="auto"/>
                    <w:left w:val="none" w:sz="0" w:space="0" w:color="auto"/>
                    <w:bottom w:val="none" w:sz="0" w:space="0" w:color="auto"/>
                    <w:right w:val="none" w:sz="0" w:space="0" w:color="auto"/>
                  </w:divBdr>
                </w:div>
                <w:div w:id="441412829">
                  <w:marLeft w:val="0"/>
                  <w:marRight w:val="0"/>
                  <w:marTop w:val="0"/>
                  <w:marBottom w:val="0"/>
                  <w:divBdr>
                    <w:top w:val="none" w:sz="0" w:space="0" w:color="auto"/>
                    <w:left w:val="none" w:sz="0" w:space="0" w:color="auto"/>
                    <w:bottom w:val="none" w:sz="0" w:space="0" w:color="auto"/>
                    <w:right w:val="none" w:sz="0" w:space="0" w:color="auto"/>
                  </w:divBdr>
                </w:div>
                <w:div w:id="474220637">
                  <w:marLeft w:val="0"/>
                  <w:marRight w:val="0"/>
                  <w:marTop w:val="0"/>
                  <w:marBottom w:val="0"/>
                  <w:divBdr>
                    <w:top w:val="none" w:sz="0" w:space="0" w:color="auto"/>
                    <w:left w:val="none" w:sz="0" w:space="0" w:color="auto"/>
                    <w:bottom w:val="none" w:sz="0" w:space="0" w:color="auto"/>
                    <w:right w:val="none" w:sz="0" w:space="0" w:color="auto"/>
                  </w:divBdr>
                </w:div>
                <w:div w:id="483856232">
                  <w:marLeft w:val="0"/>
                  <w:marRight w:val="0"/>
                  <w:marTop w:val="0"/>
                  <w:marBottom w:val="0"/>
                  <w:divBdr>
                    <w:top w:val="none" w:sz="0" w:space="0" w:color="auto"/>
                    <w:left w:val="none" w:sz="0" w:space="0" w:color="auto"/>
                    <w:bottom w:val="none" w:sz="0" w:space="0" w:color="auto"/>
                    <w:right w:val="none" w:sz="0" w:space="0" w:color="auto"/>
                  </w:divBdr>
                </w:div>
                <w:div w:id="497229914">
                  <w:marLeft w:val="0"/>
                  <w:marRight w:val="0"/>
                  <w:marTop w:val="0"/>
                  <w:marBottom w:val="0"/>
                  <w:divBdr>
                    <w:top w:val="none" w:sz="0" w:space="0" w:color="auto"/>
                    <w:left w:val="none" w:sz="0" w:space="0" w:color="auto"/>
                    <w:bottom w:val="none" w:sz="0" w:space="0" w:color="auto"/>
                    <w:right w:val="none" w:sz="0" w:space="0" w:color="auto"/>
                  </w:divBdr>
                </w:div>
                <w:div w:id="519441690">
                  <w:marLeft w:val="0"/>
                  <w:marRight w:val="0"/>
                  <w:marTop w:val="0"/>
                  <w:marBottom w:val="0"/>
                  <w:divBdr>
                    <w:top w:val="none" w:sz="0" w:space="0" w:color="auto"/>
                    <w:left w:val="none" w:sz="0" w:space="0" w:color="auto"/>
                    <w:bottom w:val="none" w:sz="0" w:space="0" w:color="auto"/>
                    <w:right w:val="none" w:sz="0" w:space="0" w:color="auto"/>
                  </w:divBdr>
                </w:div>
                <w:div w:id="536701347">
                  <w:marLeft w:val="0"/>
                  <w:marRight w:val="0"/>
                  <w:marTop w:val="0"/>
                  <w:marBottom w:val="0"/>
                  <w:divBdr>
                    <w:top w:val="none" w:sz="0" w:space="0" w:color="auto"/>
                    <w:left w:val="none" w:sz="0" w:space="0" w:color="auto"/>
                    <w:bottom w:val="none" w:sz="0" w:space="0" w:color="auto"/>
                    <w:right w:val="none" w:sz="0" w:space="0" w:color="auto"/>
                  </w:divBdr>
                </w:div>
                <w:div w:id="556863579">
                  <w:marLeft w:val="0"/>
                  <w:marRight w:val="0"/>
                  <w:marTop w:val="0"/>
                  <w:marBottom w:val="0"/>
                  <w:divBdr>
                    <w:top w:val="none" w:sz="0" w:space="0" w:color="auto"/>
                    <w:left w:val="none" w:sz="0" w:space="0" w:color="auto"/>
                    <w:bottom w:val="none" w:sz="0" w:space="0" w:color="auto"/>
                    <w:right w:val="none" w:sz="0" w:space="0" w:color="auto"/>
                  </w:divBdr>
                </w:div>
                <w:div w:id="586228023">
                  <w:marLeft w:val="0"/>
                  <w:marRight w:val="0"/>
                  <w:marTop w:val="0"/>
                  <w:marBottom w:val="0"/>
                  <w:divBdr>
                    <w:top w:val="none" w:sz="0" w:space="0" w:color="auto"/>
                    <w:left w:val="none" w:sz="0" w:space="0" w:color="auto"/>
                    <w:bottom w:val="none" w:sz="0" w:space="0" w:color="auto"/>
                    <w:right w:val="none" w:sz="0" w:space="0" w:color="auto"/>
                  </w:divBdr>
                </w:div>
                <w:div w:id="588661391">
                  <w:marLeft w:val="0"/>
                  <w:marRight w:val="0"/>
                  <w:marTop w:val="0"/>
                  <w:marBottom w:val="0"/>
                  <w:divBdr>
                    <w:top w:val="none" w:sz="0" w:space="0" w:color="auto"/>
                    <w:left w:val="none" w:sz="0" w:space="0" w:color="auto"/>
                    <w:bottom w:val="none" w:sz="0" w:space="0" w:color="auto"/>
                    <w:right w:val="none" w:sz="0" w:space="0" w:color="auto"/>
                  </w:divBdr>
                </w:div>
                <w:div w:id="593167202">
                  <w:marLeft w:val="0"/>
                  <w:marRight w:val="0"/>
                  <w:marTop w:val="0"/>
                  <w:marBottom w:val="0"/>
                  <w:divBdr>
                    <w:top w:val="none" w:sz="0" w:space="0" w:color="auto"/>
                    <w:left w:val="none" w:sz="0" w:space="0" w:color="auto"/>
                    <w:bottom w:val="none" w:sz="0" w:space="0" w:color="auto"/>
                    <w:right w:val="none" w:sz="0" w:space="0" w:color="auto"/>
                  </w:divBdr>
                </w:div>
                <w:div w:id="599216635">
                  <w:marLeft w:val="0"/>
                  <w:marRight w:val="0"/>
                  <w:marTop w:val="0"/>
                  <w:marBottom w:val="0"/>
                  <w:divBdr>
                    <w:top w:val="none" w:sz="0" w:space="0" w:color="auto"/>
                    <w:left w:val="none" w:sz="0" w:space="0" w:color="auto"/>
                    <w:bottom w:val="none" w:sz="0" w:space="0" w:color="auto"/>
                    <w:right w:val="none" w:sz="0" w:space="0" w:color="auto"/>
                  </w:divBdr>
                </w:div>
                <w:div w:id="617415649">
                  <w:marLeft w:val="0"/>
                  <w:marRight w:val="0"/>
                  <w:marTop w:val="0"/>
                  <w:marBottom w:val="0"/>
                  <w:divBdr>
                    <w:top w:val="none" w:sz="0" w:space="0" w:color="auto"/>
                    <w:left w:val="none" w:sz="0" w:space="0" w:color="auto"/>
                    <w:bottom w:val="none" w:sz="0" w:space="0" w:color="auto"/>
                    <w:right w:val="none" w:sz="0" w:space="0" w:color="auto"/>
                  </w:divBdr>
                </w:div>
                <w:div w:id="637220850">
                  <w:marLeft w:val="0"/>
                  <w:marRight w:val="0"/>
                  <w:marTop w:val="0"/>
                  <w:marBottom w:val="0"/>
                  <w:divBdr>
                    <w:top w:val="none" w:sz="0" w:space="0" w:color="auto"/>
                    <w:left w:val="none" w:sz="0" w:space="0" w:color="auto"/>
                    <w:bottom w:val="none" w:sz="0" w:space="0" w:color="auto"/>
                    <w:right w:val="none" w:sz="0" w:space="0" w:color="auto"/>
                  </w:divBdr>
                </w:div>
                <w:div w:id="640690016">
                  <w:marLeft w:val="0"/>
                  <w:marRight w:val="0"/>
                  <w:marTop w:val="0"/>
                  <w:marBottom w:val="0"/>
                  <w:divBdr>
                    <w:top w:val="none" w:sz="0" w:space="0" w:color="auto"/>
                    <w:left w:val="none" w:sz="0" w:space="0" w:color="auto"/>
                    <w:bottom w:val="none" w:sz="0" w:space="0" w:color="auto"/>
                    <w:right w:val="none" w:sz="0" w:space="0" w:color="auto"/>
                  </w:divBdr>
                </w:div>
                <w:div w:id="656494386">
                  <w:marLeft w:val="0"/>
                  <w:marRight w:val="0"/>
                  <w:marTop w:val="0"/>
                  <w:marBottom w:val="0"/>
                  <w:divBdr>
                    <w:top w:val="none" w:sz="0" w:space="0" w:color="auto"/>
                    <w:left w:val="none" w:sz="0" w:space="0" w:color="auto"/>
                    <w:bottom w:val="none" w:sz="0" w:space="0" w:color="auto"/>
                    <w:right w:val="none" w:sz="0" w:space="0" w:color="auto"/>
                  </w:divBdr>
                </w:div>
                <w:div w:id="661861314">
                  <w:marLeft w:val="0"/>
                  <w:marRight w:val="0"/>
                  <w:marTop w:val="0"/>
                  <w:marBottom w:val="0"/>
                  <w:divBdr>
                    <w:top w:val="none" w:sz="0" w:space="0" w:color="auto"/>
                    <w:left w:val="none" w:sz="0" w:space="0" w:color="auto"/>
                    <w:bottom w:val="none" w:sz="0" w:space="0" w:color="auto"/>
                    <w:right w:val="none" w:sz="0" w:space="0" w:color="auto"/>
                  </w:divBdr>
                </w:div>
                <w:div w:id="668294637">
                  <w:marLeft w:val="0"/>
                  <w:marRight w:val="0"/>
                  <w:marTop w:val="0"/>
                  <w:marBottom w:val="0"/>
                  <w:divBdr>
                    <w:top w:val="none" w:sz="0" w:space="0" w:color="auto"/>
                    <w:left w:val="none" w:sz="0" w:space="0" w:color="auto"/>
                    <w:bottom w:val="none" w:sz="0" w:space="0" w:color="auto"/>
                    <w:right w:val="none" w:sz="0" w:space="0" w:color="auto"/>
                  </w:divBdr>
                </w:div>
                <w:div w:id="674920563">
                  <w:marLeft w:val="0"/>
                  <w:marRight w:val="0"/>
                  <w:marTop w:val="0"/>
                  <w:marBottom w:val="0"/>
                  <w:divBdr>
                    <w:top w:val="none" w:sz="0" w:space="0" w:color="auto"/>
                    <w:left w:val="none" w:sz="0" w:space="0" w:color="auto"/>
                    <w:bottom w:val="none" w:sz="0" w:space="0" w:color="auto"/>
                    <w:right w:val="none" w:sz="0" w:space="0" w:color="auto"/>
                  </w:divBdr>
                </w:div>
                <w:div w:id="683365357">
                  <w:marLeft w:val="0"/>
                  <w:marRight w:val="0"/>
                  <w:marTop w:val="0"/>
                  <w:marBottom w:val="0"/>
                  <w:divBdr>
                    <w:top w:val="none" w:sz="0" w:space="0" w:color="auto"/>
                    <w:left w:val="none" w:sz="0" w:space="0" w:color="auto"/>
                    <w:bottom w:val="none" w:sz="0" w:space="0" w:color="auto"/>
                    <w:right w:val="none" w:sz="0" w:space="0" w:color="auto"/>
                  </w:divBdr>
                </w:div>
                <w:div w:id="696738907">
                  <w:marLeft w:val="0"/>
                  <w:marRight w:val="0"/>
                  <w:marTop w:val="0"/>
                  <w:marBottom w:val="0"/>
                  <w:divBdr>
                    <w:top w:val="none" w:sz="0" w:space="0" w:color="auto"/>
                    <w:left w:val="none" w:sz="0" w:space="0" w:color="auto"/>
                    <w:bottom w:val="none" w:sz="0" w:space="0" w:color="auto"/>
                    <w:right w:val="none" w:sz="0" w:space="0" w:color="auto"/>
                  </w:divBdr>
                </w:div>
                <w:div w:id="697198583">
                  <w:marLeft w:val="0"/>
                  <w:marRight w:val="0"/>
                  <w:marTop w:val="0"/>
                  <w:marBottom w:val="0"/>
                  <w:divBdr>
                    <w:top w:val="none" w:sz="0" w:space="0" w:color="auto"/>
                    <w:left w:val="none" w:sz="0" w:space="0" w:color="auto"/>
                    <w:bottom w:val="none" w:sz="0" w:space="0" w:color="auto"/>
                    <w:right w:val="none" w:sz="0" w:space="0" w:color="auto"/>
                  </w:divBdr>
                </w:div>
                <w:div w:id="714352446">
                  <w:marLeft w:val="0"/>
                  <w:marRight w:val="0"/>
                  <w:marTop w:val="0"/>
                  <w:marBottom w:val="0"/>
                  <w:divBdr>
                    <w:top w:val="none" w:sz="0" w:space="0" w:color="auto"/>
                    <w:left w:val="none" w:sz="0" w:space="0" w:color="auto"/>
                    <w:bottom w:val="none" w:sz="0" w:space="0" w:color="auto"/>
                    <w:right w:val="none" w:sz="0" w:space="0" w:color="auto"/>
                  </w:divBdr>
                </w:div>
                <w:div w:id="782262682">
                  <w:marLeft w:val="0"/>
                  <w:marRight w:val="0"/>
                  <w:marTop w:val="0"/>
                  <w:marBottom w:val="0"/>
                  <w:divBdr>
                    <w:top w:val="none" w:sz="0" w:space="0" w:color="auto"/>
                    <w:left w:val="none" w:sz="0" w:space="0" w:color="auto"/>
                    <w:bottom w:val="none" w:sz="0" w:space="0" w:color="auto"/>
                    <w:right w:val="none" w:sz="0" w:space="0" w:color="auto"/>
                  </w:divBdr>
                </w:div>
                <w:div w:id="806169596">
                  <w:marLeft w:val="0"/>
                  <w:marRight w:val="0"/>
                  <w:marTop w:val="0"/>
                  <w:marBottom w:val="0"/>
                  <w:divBdr>
                    <w:top w:val="none" w:sz="0" w:space="0" w:color="auto"/>
                    <w:left w:val="none" w:sz="0" w:space="0" w:color="auto"/>
                    <w:bottom w:val="none" w:sz="0" w:space="0" w:color="auto"/>
                    <w:right w:val="none" w:sz="0" w:space="0" w:color="auto"/>
                  </w:divBdr>
                </w:div>
                <w:div w:id="809589016">
                  <w:marLeft w:val="0"/>
                  <w:marRight w:val="0"/>
                  <w:marTop w:val="0"/>
                  <w:marBottom w:val="0"/>
                  <w:divBdr>
                    <w:top w:val="none" w:sz="0" w:space="0" w:color="auto"/>
                    <w:left w:val="none" w:sz="0" w:space="0" w:color="auto"/>
                    <w:bottom w:val="none" w:sz="0" w:space="0" w:color="auto"/>
                    <w:right w:val="none" w:sz="0" w:space="0" w:color="auto"/>
                  </w:divBdr>
                </w:div>
                <w:div w:id="812210314">
                  <w:marLeft w:val="0"/>
                  <w:marRight w:val="0"/>
                  <w:marTop w:val="0"/>
                  <w:marBottom w:val="0"/>
                  <w:divBdr>
                    <w:top w:val="none" w:sz="0" w:space="0" w:color="auto"/>
                    <w:left w:val="none" w:sz="0" w:space="0" w:color="auto"/>
                    <w:bottom w:val="none" w:sz="0" w:space="0" w:color="auto"/>
                    <w:right w:val="none" w:sz="0" w:space="0" w:color="auto"/>
                  </w:divBdr>
                </w:div>
                <w:div w:id="813987074">
                  <w:marLeft w:val="0"/>
                  <w:marRight w:val="0"/>
                  <w:marTop w:val="0"/>
                  <w:marBottom w:val="0"/>
                  <w:divBdr>
                    <w:top w:val="none" w:sz="0" w:space="0" w:color="auto"/>
                    <w:left w:val="none" w:sz="0" w:space="0" w:color="auto"/>
                    <w:bottom w:val="none" w:sz="0" w:space="0" w:color="auto"/>
                    <w:right w:val="none" w:sz="0" w:space="0" w:color="auto"/>
                  </w:divBdr>
                </w:div>
                <w:div w:id="821577208">
                  <w:marLeft w:val="0"/>
                  <w:marRight w:val="0"/>
                  <w:marTop w:val="0"/>
                  <w:marBottom w:val="0"/>
                  <w:divBdr>
                    <w:top w:val="none" w:sz="0" w:space="0" w:color="auto"/>
                    <w:left w:val="none" w:sz="0" w:space="0" w:color="auto"/>
                    <w:bottom w:val="none" w:sz="0" w:space="0" w:color="auto"/>
                    <w:right w:val="none" w:sz="0" w:space="0" w:color="auto"/>
                  </w:divBdr>
                </w:div>
                <w:div w:id="830947728">
                  <w:marLeft w:val="0"/>
                  <w:marRight w:val="0"/>
                  <w:marTop w:val="0"/>
                  <w:marBottom w:val="0"/>
                  <w:divBdr>
                    <w:top w:val="none" w:sz="0" w:space="0" w:color="auto"/>
                    <w:left w:val="none" w:sz="0" w:space="0" w:color="auto"/>
                    <w:bottom w:val="none" w:sz="0" w:space="0" w:color="auto"/>
                    <w:right w:val="none" w:sz="0" w:space="0" w:color="auto"/>
                  </w:divBdr>
                </w:div>
                <w:div w:id="844440969">
                  <w:marLeft w:val="0"/>
                  <w:marRight w:val="0"/>
                  <w:marTop w:val="0"/>
                  <w:marBottom w:val="0"/>
                  <w:divBdr>
                    <w:top w:val="none" w:sz="0" w:space="0" w:color="auto"/>
                    <w:left w:val="none" w:sz="0" w:space="0" w:color="auto"/>
                    <w:bottom w:val="none" w:sz="0" w:space="0" w:color="auto"/>
                    <w:right w:val="none" w:sz="0" w:space="0" w:color="auto"/>
                  </w:divBdr>
                </w:div>
                <w:div w:id="854152471">
                  <w:marLeft w:val="0"/>
                  <w:marRight w:val="0"/>
                  <w:marTop w:val="0"/>
                  <w:marBottom w:val="0"/>
                  <w:divBdr>
                    <w:top w:val="none" w:sz="0" w:space="0" w:color="auto"/>
                    <w:left w:val="none" w:sz="0" w:space="0" w:color="auto"/>
                    <w:bottom w:val="none" w:sz="0" w:space="0" w:color="auto"/>
                    <w:right w:val="none" w:sz="0" w:space="0" w:color="auto"/>
                  </w:divBdr>
                </w:div>
                <w:div w:id="860360580">
                  <w:marLeft w:val="0"/>
                  <w:marRight w:val="0"/>
                  <w:marTop w:val="0"/>
                  <w:marBottom w:val="0"/>
                  <w:divBdr>
                    <w:top w:val="none" w:sz="0" w:space="0" w:color="auto"/>
                    <w:left w:val="none" w:sz="0" w:space="0" w:color="auto"/>
                    <w:bottom w:val="none" w:sz="0" w:space="0" w:color="auto"/>
                    <w:right w:val="none" w:sz="0" w:space="0" w:color="auto"/>
                  </w:divBdr>
                </w:div>
                <w:div w:id="917982922">
                  <w:marLeft w:val="0"/>
                  <w:marRight w:val="0"/>
                  <w:marTop w:val="0"/>
                  <w:marBottom w:val="0"/>
                  <w:divBdr>
                    <w:top w:val="none" w:sz="0" w:space="0" w:color="auto"/>
                    <w:left w:val="none" w:sz="0" w:space="0" w:color="auto"/>
                    <w:bottom w:val="none" w:sz="0" w:space="0" w:color="auto"/>
                    <w:right w:val="none" w:sz="0" w:space="0" w:color="auto"/>
                  </w:divBdr>
                </w:div>
                <w:div w:id="945161036">
                  <w:marLeft w:val="0"/>
                  <w:marRight w:val="0"/>
                  <w:marTop w:val="0"/>
                  <w:marBottom w:val="0"/>
                  <w:divBdr>
                    <w:top w:val="none" w:sz="0" w:space="0" w:color="auto"/>
                    <w:left w:val="none" w:sz="0" w:space="0" w:color="auto"/>
                    <w:bottom w:val="none" w:sz="0" w:space="0" w:color="auto"/>
                    <w:right w:val="none" w:sz="0" w:space="0" w:color="auto"/>
                  </w:divBdr>
                </w:div>
                <w:div w:id="962272308">
                  <w:marLeft w:val="0"/>
                  <w:marRight w:val="0"/>
                  <w:marTop w:val="0"/>
                  <w:marBottom w:val="0"/>
                  <w:divBdr>
                    <w:top w:val="none" w:sz="0" w:space="0" w:color="auto"/>
                    <w:left w:val="none" w:sz="0" w:space="0" w:color="auto"/>
                    <w:bottom w:val="none" w:sz="0" w:space="0" w:color="auto"/>
                    <w:right w:val="none" w:sz="0" w:space="0" w:color="auto"/>
                  </w:divBdr>
                </w:div>
                <w:div w:id="966469349">
                  <w:marLeft w:val="0"/>
                  <w:marRight w:val="0"/>
                  <w:marTop w:val="0"/>
                  <w:marBottom w:val="0"/>
                  <w:divBdr>
                    <w:top w:val="none" w:sz="0" w:space="0" w:color="auto"/>
                    <w:left w:val="none" w:sz="0" w:space="0" w:color="auto"/>
                    <w:bottom w:val="none" w:sz="0" w:space="0" w:color="auto"/>
                    <w:right w:val="none" w:sz="0" w:space="0" w:color="auto"/>
                  </w:divBdr>
                </w:div>
                <w:div w:id="973021009">
                  <w:marLeft w:val="0"/>
                  <w:marRight w:val="0"/>
                  <w:marTop w:val="0"/>
                  <w:marBottom w:val="0"/>
                  <w:divBdr>
                    <w:top w:val="none" w:sz="0" w:space="0" w:color="auto"/>
                    <w:left w:val="none" w:sz="0" w:space="0" w:color="auto"/>
                    <w:bottom w:val="none" w:sz="0" w:space="0" w:color="auto"/>
                    <w:right w:val="none" w:sz="0" w:space="0" w:color="auto"/>
                  </w:divBdr>
                </w:div>
                <w:div w:id="983393633">
                  <w:marLeft w:val="0"/>
                  <w:marRight w:val="0"/>
                  <w:marTop w:val="0"/>
                  <w:marBottom w:val="0"/>
                  <w:divBdr>
                    <w:top w:val="none" w:sz="0" w:space="0" w:color="auto"/>
                    <w:left w:val="none" w:sz="0" w:space="0" w:color="auto"/>
                    <w:bottom w:val="none" w:sz="0" w:space="0" w:color="auto"/>
                    <w:right w:val="none" w:sz="0" w:space="0" w:color="auto"/>
                  </w:divBdr>
                </w:div>
                <w:div w:id="985545958">
                  <w:marLeft w:val="0"/>
                  <w:marRight w:val="0"/>
                  <w:marTop w:val="0"/>
                  <w:marBottom w:val="0"/>
                  <w:divBdr>
                    <w:top w:val="none" w:sz="0" w:space="0" w:color="auto"/>
                    <w:left w:val="none" w:sz="0" w:space="0" w:color="auto"/>
                    <w:bottom w:val="none" w:sz="0" w:space="0" w:color="auto"/>
                    <w:right w:val="none" w:sz="0" w:space="0" w:color="auto"/>
                  </w:divBdr>
                </w:div>
                <w:div w:id="1056853828">
                  <w:marLeft w:val="0"/>
                  <w:marRight w:val="0"/>
                  <w:marTop w:val="0"/>
                  <w:marBottom w:val="0"/>
                  <w:divBdr>
                    <w:top w:val="none" w:sz="0" w:space="0" w:color="auto"/>
                    <w:left w:val="none" w:sz="0" w:space="0" w:color="auto"/>
                    <w:bottom w:val="none" w:sz="0" w:space="0" w:color="auto"/>
                    <w:right w:val="none" w:sz="0" w:space="0" w:color="auto"/>
                  </w:divBdr>
                </w:div>
                <w:div w:id="1064183325">
                  <w:marLeft w:val="0"/>
                  <w:marRight w:val="0"/>
                  <w:marTop w:val="0"/>
                  <w:marBottom w:val="0"/>
                  <w:divBdr>
                    <w:top w:val="none" w:sz="0" w:space="0" w:color="auto"/>
                    <w:left w:val="none" w:sz="0" w:space="0" w:color="auto"/>
                    <w:bottom w:val="none" w:sz="0" w:space="0" w:color="auto"/>
                    <w:right w:val="none" w:sz="0" w:space="0" w:color="auto"/>
                  </w:divBdr>
                </w:div>
                <w:div w:id="1065373275">
                  <w:marLeft w:val="0"/>
                  <w:marRight w:val="0"/>
                  <w:marTop w:val="0"/>
                  <w:marBottom w:val="0"/>
                  <w:divBdr>
                    <w:top w:val="none" w:sz="0" w:space="0" w:color="auto"/>
                    <w:left w:val="none" w:sz="0" w:space="0" w:color="auto"/>
                    <w:bottom w:val="none" w:sz="0" w:space="0" w:color="auto"/>
                    <w:right w:val="none" w:sz="0" w:space="0" w:color="auto"/>
                  </w:divBdr>
                </w:div>
                <w:div w:id="1075204533">
                  <w:marLeft w:val="0"/>
                  <w:marRight w:val="0"/>
                  <w:marTop w:val="0"/>
                  <w:marBottom w:val="0"/>
                  <w:divBdr>
                    <w:top w:val="none" w:sz="0" w:space="0" w:color="auto"/>
                    <w:left w:val="none" w:sz="0" w:space="0" w:color="auto"/>
                    <w:bottom w:val="none" w:sz="0" w:space="0" w:color="auto"/>
                    <w:right w:val="none" w:sz="0" w:space="0" w:color="auto"/>
                  </w:divBdr>
                </w:div>
                <w:div w:id="1103570884">
                  <w:marLeft w:val="0"/>
                  <w:marRight w:val="0"/>
                  <w:marTop w:val="0"/>
                  <w:marBottom w:val="0"/>
                  <w:divBdr>
                    <w:top w:val="none" w:sz="0" w:space="0" w:color="auto"/>
                    <w:left w:val="none" w:sz="0" w:space="0" w:color="auto"/>
                    <w:bottom w:val="none" w:sz="0" w:space="0" w:color="auto"/>
                    <w:right w:val="none" w:sz="0" w:space="0" w:color="auto"/>
                  </w:divBdr>
                </w:div>
                <w:div w:id="1111509128">
                  <w:marLeft w:val="0"/>
                  <w:marRight w:val="0"/>
                  <w:marTop w:val="0"/>
                  <w:marBottom w:val="0"/>
                  <w:divBdr>
                    <w:top w:val="none" w:sz="0" w:space="0" w:color="auto"/>
                    <w:left w:val="none" w:sz="0" w:space="0" w:color="auto"/>
                    <w:bottom w:val="none" w:sz="0" w:space="0" w:color="auto"/>
                    <w:right w:val="none" w:sz="0" w:space="0" w:color="auto"/>
                  </w:divBdr>
                </w:div>
                <w:div w:id="1126656459">
                  <w:marLeft w:val="0"/>
                  <w:marRight w:val="0"/>
                  <w:marTop w:val="0"/>
                  <w:marBottom w:val="0"/>
                  <w:divBdr>
                    <w:top w:val="none" w:sz="0" w:space="0" w:color="auto"/>
                    <w:left w:val="none" w:sz="0" w:space="0" w:color="auto"/>
                    <w:bottom w:val="none" w:sz="0" w:space="0" w:color="auto"/>
                    <w:right w:val="none" w:sz="0" w:space="0" w:color="auto"/>
                  </w:divBdr>
                </w:div>
                <w:div w:id="1130200625">
                  <w:marLeft w:val="0"/>
                  <w:marRight w:val="0"/>
                  <w:marTop w:val="0"/>
                  <w:marBottom w:val="0"/>
                  <w:divBdr>
                    <w:top w:val="none" w:sz="0" w:space="0" w:color="auto"/>
                    <w:left w:val="none" w:sz="0" w:space="0" w:color="auto"/>
                    <w:bottom w:val="none" w:sz="0" w:space="0" w:color="auto"/>
                    <w:right w:val="none" w:sz="0" w:space="0" w:color="auto"/>
                  </w:divBdr>
                </w:div>
                <w:div w:id="1137844610">
                  <w:marLeft w:val="0"/>
                  <w:marRight w:val="0"/>
                  <w:marTop w:val="0"/>
                  <w:marBottom w:val="0"/>
                  <w:divBdr>
                    <w:top w:val="none" w:sz="0" w:space="0" w:color="auto"/>
                    <w:left w:val="none" w:sz="0" w:space="0" w:color="auto"/>
                    <w:bottom w:val="none" w:sz="0" w:space="0" w:color="auto"/>
                    <w:right w:val="none" w:sz="0" w:space="0" w:color="auto"/>
                  </w:divBdr>
                </w:div>
                <w:div w:id="1195197686">
                  <w:marLeft w:val="0"/>
                  <w:marRight w:val="0"/>
                  <w:marTop w:val="0"/>
                  <w:marBottom w:val="0"/>
                  <w:divBdr>
                    <w:top w:val="none" w:sz="0" w:space="0" w:color="auto"/>
                    <w:left w:val="none" w:sz="0" w:space="0" w:color="auto"/>
                    <w:bottom w:val="none" w:sz="0" w:space="0" w:color="auto"/>
                    <w:right w:val="none" w:sz="0" w:space="0" w:color="auto"/>
                  </w:divBdr>
                </w:div>
                <w:div w:id="1213884489">
                  <w:marLeft w:val="0"/>
                  <w:marRight w:val="0"/>
                  <w:marTop w:val="0"/>
                  <w:marBottom w:val="0"/>
                  <w:divBdr>
                    <w:top w:val="none" w:sz="0" w:space="0" w:color="auto"/>
                    <w:left w:val="none" w:sz="0" w:space="0" w:color="auto"/>
                    <w:bottom w:val="none" w:sz="0" w:space="0" w:color="auto"/>
                    <w:right w:val="none" w:sz="0" w:space="0" w:color="auto"/>
                  </w:divBdr>
                </w:div>
                <w:div w:id="1234584862">
                  <w:marLeft w:val="0"/>
                  <w:marRight w:val="0"/>
                  <w:marTop w:val="0"/>
                  <w:marBottom w:val="0"/>
                  <w:divBdr>
                    <w:top w:val="none" w:sz="0" w:space="0" w:color="auto"/>
                    <w:left w:val="none" w:sz="0" w:space="0" w:color="auto"/>
                    <w:bottom w:val="none" w:sz="0" w:space="0" w:color="auto"/>
                    <w:right w:val="none" w:sz="0" w:space="0" w:color="auto"/>
                  </w:divBdr>
                </w:div>
                <w:div w:id="1249848450">
                  <w:marLeft w:val="0"/>
                  <w:marRight w:val="0"/>
                  <w:marTop w:val="0"/>
                  <w:marBottom w:val="0"/>
                  <w:divBdr>
                    <w:top w:val="none" w:sz="0" w:space="0" w:color="auto"/>
                    <w:left w:val="none" w:sz="0" w:space="0" w:color="auto"/>
                    <w:bottom w:val="none" w:sz="0" w:space="0" w:color="auto"/>
                    <w:right w:val="none" w:sz="0" w:space="0" w:color="auto"/>
                  </w:divBdr>
                </w:div>
                <w:div w:id="1251042581">
                  <w:marLeft w:val="0"/>
                  <w:marRight w:val="0"/>
                  <w:marTop w:val="0"/>
                  <w:marBottom w:val="0"/>
                  <w:divBdr>
                    <w:top w:val="none" w:sz="0" w:space="0" w:color="auto"/>
                    <w:left w:val="none" w:sz="0" w:space="0" w:color="auto"/>
                    <w:bottom w:val="none" w:sz="0" w:space="0" w:color="auto"/>
                    <w:right w:val="none" w:sz="0" w:space="0" w:color="auto"/>
                  </w:divBdr>
                </w:div>
                <w:div w:id="1255165879">
                  <w:marLeft w:val="0"/>
                  <w:marRight w:val="0"/>
                  <w:marTop w:val="0"/>
                  <w:marBottom w:val="0"/>
                  <w:divBdr>
                    <w:top w:val="none" w:sz="0" w:space="0" w:color="auto"/>
                    <w:left w:val="none" w:sz="0" w:space="0" w:color="auto"/>
                    <w:bottom w:val="none" w:sz="0" w:space="0" w:color="auto"/>
                    <w:right w:val="none" w:sz="0" w:space="0" w:color="auto"/>
                  </w:divBdr>
                </w:div>
                <w:div w:id="1255823406">
                  <w:marLeft w:val="0"/>
                  <w:marRight w:val="0"/>
                  <w:marTop w:val="0"/>
                  <w:marBottom w:val="0"/>
                  <w:divBdr>
                    <w:top w:val="none" w:sz="0" w:space="0" w:color="auto"/>
                    <w:left w:val="none" w:sz="0" w:space="0" w:color="auto"/>
                    <w:bottom w:val="none" w:sz="0" w:space="0" w:color="auto"/>
                    <w:right w:val="none" w:sz="0" w:space="0" w:color="auto"/>
                  </w:divBdr>
                </w:div>
                <w:div w:id="1277829873">
                  <w:marLeft w:val="0"/>
                  <w:marRight w:val="0"/>
                  <w:marTop w:val="0"/>
                  <w:marBottom w:val="0"/>
                  <w:divBdr>
                    <w:top w:val="none" w:sz="0" w:space="0" w:color="auto"/>
                    <w:left w:val="none" w:sz="0" w:space="0" w:color="auto"/>
                    <w:bottom w:val="none" w:sz="0" w:space="0" w:color="auto"/>
                    <w:right w:val="none" w:sz="0" w:space="0" w:color="auto"/>
                  </w:divBdr>
                </w:div>
                <w:div w:id="1288004491">
                  <w:marLeft w:val="0"/>
                  <w:marRight w:val="0"/>
                  <w:marTop w:val="0"/>
                  <w:marBottom w:val="0"/>
                  <w:divBdr>
                    <w:top w:val="none" w:sz="0" w:space="0" w:color="auto"/>
                    <w:left w:val="none" w:sz="0" w:space="0" w:color="auto"/>
                    <w:bottom w:val="none" w:sz="0" w:space="0" w:color="auto"/>
                    <w:right w:val="none" w:sz="0" w:space="0" w:color="auto"/>
                  </w:divBdr>
                </w:div>
                <w:div w:id="1326517081">
                  <w:marLeft w:val="0"/>
                  <w:marRight w:val="0"/>
                  <w:marTop w:val="0"/>
                  <w:marBottom w:val="0"/>
                  <w:divBdr>
                    <w:top w:val="none" w:sz="0" w:space="0" w:color="auto"/>
                    <w:left w:val="none" w:sz="0" w:space="0" w:color="auto"/>
                    <w:bottom w:val="none" w:sz="0" w:space="0" w:color="auto"/>
                    <w:right w:val="none" w:sz="0" w:space="0" w:color="auto"/>
                  </w:divBdr>
                </w:div>
                <w:div w:id="1344625168">
                  <w:marLeft w:val="0"/>
                  <w:marRight w:val="0"/>
                  <w:marTop w:val="0"/>
                  <w:marBottom w:val="0"/>
                  <w:divBdr>
                    <w:top w:val="none" w:sz="0" w:space="0" w:color="auto"/>
                    <w:left w:val="none" w:sz="0" w:space="0" w:color="auto"/>
                    <w:bottom w:val="none" w:sz="0" w:space="0" w:color="auto"/>
                    <w:right w:val="none" w:sz="0" w:space="0" w:color="auto"/>
                  </w:divBdr>
                </w:div>
                <w:div w:id="1368796069">
                  <w:marLeft w:val="0"/>
                  <w:marRight w:val="0"/>
                  <w:marTop w:val="0"/>
                  <w:marBottom w:val="0"/>
                  <w:divBdr>
                    <w:top w:val="none" w:sz="0" w:space="0" w:color="auto"/>
                    <w:left w:val="none" w:sz="0" w:space="0" w:color="auto"/>
                    <w:bottom w:val="none" w:sz="0" w:space="0" w:color="auto"/>
                    <w:right w:val="none" w:sz="0" w:space="0" w:color="auto"/>
                  </w:divBdr>
                </w:div>
                <w:div w:id="1415014047">
                  <w:marLeft w:val="0"/>
                  <w:marRight w:val="0"/>
                  <w:marTop w:val="0"/>
                  <w:marBottom w:val="0"/>
                  <w:divBdr>
                    <w:top w:val="none" w:sz="0" w:space="0" w:color="auto"/>
                    <w:left w:val="none" w:sz="0" w:space="0" w:color="auto"/>
                    <w:bottom w:val="none" w:sz="0" w:space="0" w:color="auto"/>
                    <w:right w:val="none" w:sz="0" w:space="0" w:color="auto"/>
                  </w:divBdr>
                </w:div>
                <w:div w:id="1416315922">
                  <w:marLeft w:val="0"/>
                  <w:marRight w:val="0"/>
                  <w:marTop w:val="0"/>
                  <w:marBottom w:val="0"/>
                  <w:divBdr>
                    <w:top w:val="none" w:sz="0" w:space="0" w:color="auto"/>
                    <w:left w:val="none" w:sz="0" w:space="0" w:color="auto"/>
                    <w:bottom w:val="none" w:sz="0" w:space="0" w:color="auto"/>
                    <w:right w:val="none" w:sz="0" w:space="0" w:color="auto"/>
                  </w:divBdr>
                </w:div>
                <w:div w:id="1442841799">
                  <w:marLeft w:val="0"/>
                  <w:marRight w:val="0"/>
                  <w:marTop w:val="0"/>
                  <w:marBottom w:val="0"/>
                  <w:divBdr>
                    <w:top w:val="none" w:sz="0" w:space="0" w:color="auto"/>
                    <w:left w:val="none" w:sz="0" w:space="0" w:color="auto"/>
                    <w:bottom w:val="none" w:sz="0" w:space="0" w:color="auto"/>
                    <w:right w:val="none" w:sz="0" w:space="0" w:color="auto"/>
                  </w:divBdr>
                </w:div>
                <w:div w:id="1453554849">
                  <w:marLeft w:val="0"/>
                  <w:marRight w:val="0"/>
                  <w:marTop w:val="0"/>
                  <w:marBottom w:val="0"/>
                  <w:divBdr>
                    <w:top w:val="none" w:sz="0" w:space="0" w:color="auto"/>
                    <w:left w:val="none" w:sz="0" w:space="0" w:color="auto"/>
                    <w:bottom w:val="none" w:sz="0" w:space="0" w:color="auto"/>
                    <w:right w:val="none" w:sz="0" w:space="0" w:color="auto"/>
                  </w:divBdr>
                </w:div>
                <w:div w:id="1459376200">
                  <w:marLeft w:val="0"/>
                  <w:marRight w:val="0"/>
                  <w:marTop w:val="0"/>
                  <w:marBottom w:val="0"/>
                  <w:divBdr>
                    <w:top w:val="none" w:sz="0" w:space="0" w:color="auto"/>
                    <w:left w:val="none" w:sz="0" w:space="0" w:color="auto"/>
                    <w:bottom w:val="none" w:sz="0" w:space="0" w:color="auto"/>
                    <w:right w:val="none" w:sz="0" w:space="0" w:color="auto"/>
                  </w:divBdr>
                </w:div>
                <w:div w:id="1469980028">
                  <w:marLeft w:val="0"/>
                  <w:marRight w:val="0"/>
                  <w:marTop w:val="0"/>
                  <w:marBottom w:val="0"/>
                  <w:divBdr>
                    <w:top w:val="none" w:sz="0" w:space="0" w:color="auto"/>
                    <w:left w:val="none" w:sz="0" w:space="0" w:color="auto"/>
                    <w:bottom w:val="none" w:sz="0" w:space="0" w:color="auto"/>
                    <w:right w:val="none" w:sz="0" w:space="0" w:color="auto"/>
                  </w:divBdr>
                </w:div>
                <w:div w:id="1487477477">
                  <w:marLeft w:val="0"/>
                  <w:marRight w:val="0"/>
                  <w:marTop w:val="0"/>
                  <w:marBottom w:val="0"/>
                  <w:divBdr>
                    <w:top w:val="none" w:sz="0" w:space="0" w:color="auto"/>
                    <w:left w:val="none" w:sz="0" w:space="0" w:color="auto"/>
                    <w:bottom w:val="none" w:sz="0" w:space="0" w:color="auto"/>
                    <w:right w:val="none" w:sz="0" w:space="0" w:color="auto"/>
                  </w:divBdr>
                </w:div>
                <w:div w:id="1495876432">
                  <w:marLeft w:val="0"/>
                  <w:marRight w:val="0"/>
                  <w:marTop w:val="0"/>
                  <w:marBottom w:val="0"/>
                  <w:divBdr>
                    <w:top w:val="none" w:sz="0" w:space="0" w:color="auto"/>
                    <w:left w:val="none" w:sz="0" w:space="0" w:color="auto"/>
                    <w:bottom w:val="none" w:sz="0" w:space="0" w:color="auto"/>
                    <w:right w:val="none" w:sz="0" w:space="0" w:color="auto"/>
                  </w:divBdr>
                </w:div>
                <w:div w:id="1508059770">
                  <w:marLeft w:val="0"/>
                  <w:marRight w:val="0"/>
                  <w:marTop w:val="0"/>
                  <w:marBottom w:val="0"/>
                  <w:divBdr>
                    <w:top w:val="none" w:sz="0" w:space="0" w:color="auto"/>
                    <w:left w:val="none" w:sz="0" w:space="0" w:color="auto"/>
                    <w:bottom w:val="none" w:sz="0" w:space="0" w:color="auto"/>
                    <w:right w:val="none" w:sz="0" w:space="0" w:color="auto"/>
                  </w:divBdr>
                </w:div>
                <w:div w:id="1513685429">
                  <w:marLeft w:val="0"/>
                  <w:marRight w:val="0"/>
                  <w:marTop w:val="0"/>
                  <w:marBottom w:val="0"/>
                  <w:divBdr>
                    <w:top w:val="none" w:sz="0" w:space="0" w:color="auto"/>
                    <w:left w:val="none" w:sz="0" w:space="0" w:color="auto"/>
                    <w:bottom w:val="none" w:sz="0" w:space="0" w:color="auto"/>
                    <w:right w:val="none" w:sz="0" w:space="0" w:color="auto"/>
                  </w:divBdr>
                </w:div>
                <w:div w:id="1530877534">
                  <w:marLeft w:val="0"/>
                  <w:marRight w:val="0"/>
                  <w:marTop w:val="0"/>
                  <w:marBottom w:val="0"/>
                  <w:divBdr>
                    <w:top w:val="none" w:sz="0" w:space="0" w:color="auto"/>
                    <w:left w:val="none" w:sz="0" w:space="0" w:color="auto"/>
                    <w:bottom w:val="none" w:sz="0" w:space="0" w:color="auto"/>
                    <w:right w:val="none" w:sz="0" w:space="0" w:color="auto"/>
                  </w:divBdr>
                </w:div>
                <w:div w:id="1558858223">
                  <w:marLeft w:val="0"/>
                  <w:marRight w:val="0"/>
                  <w:marTop w:val="0"/>
                  <w:marBottom w:val="0"/>
                  <w:divBdr>
                    <w:top w:val="none" w:sz="0" w:space="0" w:color="auto"/>
                    <w:left w:val="none" w:sz="0" w:space="0" w:color="auto"/>
                    <w:bottom w:val="none" w:sz="0" w:space="0" w:color="auto"/>
                    <w:right w:val="none" w:sz="0" w:space="0" w:color="auto"/>
                  </w:divBdr>
                </w:div>
                <w:div w:id="1560021979">
                  <w:marLeft w:val="0"/>
                  <w:marRight w:val="0"/>
                  <w:marTop w:val="0"/>
                  <w:marBottom w:val="0"/>
                  <w:divBdr>
                    <w:top w:val="none" w:sz="0" w:space="0" w:color="auto"/>
                    <w:left w:val="none" w:sz="0" w:space="0" w:color="auto"/>
                    <w:bottom w:val="none" w:sz="0" w:space="0" w:color="auto"/>
                    <w:right w:val="none" w:sz="0" w:space="0" w:color="auto"/>
                  </w:divBdr>
                </w:div>
                <w:div w:id="1566645956">
                  <w:marLeft w:val="0"/>
                  <w:marRight w:val="0"/>
                  <w:marTop w:val="0"/>
                  <w:marBottom w:val="0"/>
                  <w:divBdr>
                    <w:top w:val="none" w:sz="0" w:space="0" w:color="auto"/>
                    <w:left w:val="none" w:sz="0" w:space="0" w:color="auto"/>
                    <w:bottom w:val="none" w:sz="0" w:space="0" w:color="auto"/>
                    <w:right w:val="none" w:sz="0" w:space="0" w:color="auto"/>
                  </w:divBdr>
                </w:div>
                <w:div w:id="1580169321">
                  <w:marLeft w:val="0"/>
                  <w:marRight w:val="0"/>
                  <w:marTop w:val="0"/>
                  <w:marBottom w:val="0"/>
                  <w:divBdr>
                    <w:top w:val="none" w:sz="0" w:space="0" w:color="auto"/>
                    <w:left w:val="none" w:sz="0" w:space="0" w:color="auto"/>
                    <w:bottom w:val="none" w:sz="0" w:space="0" w:color="auto"/>
                    <w:right w:val="none" w:sz="0" w:space="0" w:color="auto"/>
                  </w:divBdr>
                </w:div>
                <w:div w:id="1597442463">
                  <w:marLeft w:val="0"/>
                  <w:marRight w:val="0"/>
                  <w:marTop w:val="0"/>
                  <w:marBottom w:val="0"/>
                  <w:divBdr>
                    <w:top w:val="none" w:sz="0" w:space="0" w:color="auto"/>
                    <w:left w:val="none" w:sz="0" w:space="0" w:color="auto"/>
                    <w:bottom w:val="none" w:sz="0" w:space="0" w:color="auto"/>
                    <w:right w:val="none" w:sz="0" w:space="0" w:color="auto"/>
                  </w:divBdr>
                </w:div>
                <w:div w:id="1601062017">
                  <w:marLeft w:val="0"/>
                  <w:marRight w:val="0"/>
                  <w:marTop w:val="0"/>
                  <w:marBottom w:val="0"/>
                  <w:divBdr>
                    <w:top w:val="none" w:sz="0" w:space="0" w:color="auto"/>
                    <w:left w:val="none" w:sz="0" w:space="0" w:color="auto"/>
                    <w:bottom w:val="none" w:sz="0" w:space="0" w:color="auto"/>
                    <w:right w:val="none" w:sz="0" w:space="0" w:color="auto"/>
                  </w:divBdr>
                </w:div>
                <w:div w:id="1609727820">
                  <w:marLeft w:val="0"/>
                  <w:marRight w:val="0"/>
                  <w:marTop w:val="0"/>
                  <w:marBottom w:val="0"/>
                  <w:divBdr>
                    <w:top w:val="none" w:sz="0" w:space="0" w:color="auto"/>
                    <w:left w:val="none" w:sz="0" w:space="0" w:color="auto"/>
                    <w:bottom w:val="none" w:sz="0" w:space="0" w:color="auto"/>
                    <w:right w:val="none" w:sz="0" w:space="0" w:color="auto"/>
                  </w:divBdr>
                </w:div>
                <w:div w:id="1628974701">
                  <w:marLeft w:val="0"/>
                  <w:marRight w:val="0"/>
                  <w:marTop w:val="0"/>
                  <w:marBottom w:val="0"/>
                  <w:divBdr>
                    <w:top w:val="none" w:sz="0" w:space="0" w:color="auto"/>
                    <w:left w:val="none" w:sz="0" w:space="0" w:color="auto"/>
                    <w:bottom w:val="none" w:sz="0" w:space="0" w:color="auto"/>
                    <w:right w:val="none" w:sz="0" w:space="0" w:color="auto"/>
                  </w:divBdr>
                </w:div>
                <w:div w:id="1669792468">
                  <w:marLeft w:val="0"/>
                  <w:marRight w:val="0"/>
                  <w:marTop w:val="0"/>
                  <w:marBottom w:val="0"/>
                  <w:divBdr>
                    <w:top w:val="none" w:sz="0" w:space="0" w:color="auto"/>
                    <w:left w:val="none" w:sz="0" w:space="0" w:color="auto"/>
                    <w:bottom w:val="none" w:sz="0" w:space="0" w:color="auto"/>
                    <w:right w:val="none" w:sz="0" w:space="0" w:color="auto"/>
                  </w:divBdr>
                </w:div>
                <w:div w:id="1678851788">
                  <w:marLeft w:val="0"/>
                  <w:marRight w:val="0"/>
                  <w:marTop w:val="0"/>
                  <w:marBottom w:val="0"/>
                  <w:divBdr>
                    <w:top w:val="none" w:sz="0" w:space="0" w:color="auto"/>
                    <w:left w:val="none" w:sz="0" w:space="0" w:color="auto"/>
                    <w:bottom w:val="none" w:sz="0" w:space="0" w:color="auto"/>
                    <w:right w:val="none" w:sz="0" w:space="0" w:color="auto"/>
                  </w:divBdr>
                </w:div>
                <w:div w:id="1685815187">
                  <w:marLeft w:val="0"/>
                  <w:marRight w:val="0"/>
                  <w:marTop w:val="0"/>
                  <w:marBottom w:val="0"/>
                  <w:divBdr>
                    <w:top w:val="none" w:sz="0" w:space="0" w:color="auto"/>
                    <w:left w:val="none" w:sz="0" w:space="0" w:color="auto"/>
                    <w:bottom w:val="none" w:sz="0" w:space="0" w:color="auto"/>
                    <w:right w:val="none" w:sz="0" w:space="0" w:color="auto"/>
                  </w:divBdr>
                </w:div>
                <w:div w:id="1692755604">
                  <w:marLeft w:val="0"/>
                  <w:marRight w:val="0"/>
                  <w:marTop w:val="0"/>
                  <w:marBottom w:val="0"/>
                  <w:divBdr>
                    <w:top w:val="none" w:sz="0" w:space="0" w:color="auto"/>
                    <w:left w:val="none" w:sz="0" w:space="0" w:color="auto"/>
                    <w:bottom w:val="none" w:sz="0" w:space="0" w:color="auto"/>
                    <w:right w:val="none" w:sz="0" w:space="0" w:color="auto"/>
                  </w:divBdr>
                </w:div>
                <w:div w:id="1704819912">
                  <w:marLeft w:val="0"/>
                  <w:marRight w:val="0"/>
                  <w:marTop w:val="0"/>
                  <w:marBottom w:val="0"/>
                  <w:divBdr>
                    <w:top w:val="none" w:sz="0" w:space="0" w:color="auto"/>
                    <w:left w:val="none" w:sz="0" w:space="0" w:color="auto"/>
                    <w:bottom w:val="none" w:sz="0" w:space="0" w:color="auto"/>
                    <w:right w:val="none" w:sz="0" w:space="0" w:color="auto"/>
                  </w:divBdr>
                </w:div>
                <w:div w:id="1714185321">
                  <w:marLeft w:val="0"/>
                  <w:marRight w:val="0"/>
                  <w:marTop w:val="0"/>
                  <w:marBottom w:val="0"/>
                  <w:divBdr>
                    <w:top w:val="none" w:sz="0" w:space="0" w:color="auto"/>
                    <w:left w:val="none" w:sz="0" w:space="0" w:color="auto"/>
                    <w:bottom w:val="none" w:sz="0" w:space="0" w:color="auto"/>
                    <w:right w:val="none" w:sz="0" w:space="0" w:color="auto"/>
                  </w:divBdr>
                </w:div>
                <w:div w:id="1728727608">
                  <w:marLeft w:val="0"/>
                  <w:marRight w:val="0"/>
                  <w:marTop w:val="0"/>
                  <w:marBottom w:val="0"/>
                  <w:divBdr>
                    <w:top w:val="none" w:sz="0" w:space="0" w:color="auto"/>
                    <w:left w:val="none" w:sz="0" w:space="0" w:color="auto"/>
                    <w:bottom w:val="none" w:sz="0" w:space="0" w:color="auto"/>
                    <w:right w:val="none" w:sz="0" w:space="0" w:color="auto"/>
                  </w:divBdr>
                </w:div>
                <w:div w:id="1746415853">
                  <w:marLeft w:val="0"/>
                  <w:marRight w:val="0"/>
                  <w:marTop w:val="0"/>
                  <w:marBottom w:val="0"/>
                  <w:divBdr>
                    <w:top w:val="none" w:sz="0" w:space="0" w:color="auto"/>
                    <w:left w:val="none" w:sz="0" w:space="0" w:color="auto"/>
                    <w:bottom w:val="none" w:sz="0" w:space="0" w:color="auto"/>
                    <w:right w:val="none" w:sz="0" w:space="0" w:color="auto"/>
                  </w:divBdr>
                </w:div>
                <w:div w:id="1747415633">
                  <w:marLeft w:val="0"/>
                  <w:marRight w:val="0"/>
                  <w:marTop w:val="0"/>
                  <w:marBottom w:val="0"/>
                  <w:divBdr>
                    <w:top w:val="none" w:sz="0" w:space="0" w:color="auto"/>
                    <w:left w:val="none" w:sz="0" w:space="0" w:color="auto"/>
                    <w:bottom w:val="none" w:sz="0" w:space="0" w:color="auto"/>
                    <w:right w:val="none" w:sz="0" w:space="0" w:color="auto"/>
                  </w:divBdr>
                </w:div>
                <w:div w:id="1748262681">
                  <w:marLeft w:val="0"/>
                  <w:marRight w:val="0"/>
                  <w:marTop w:val="0"/>
                  <w:marBottom w:val="0"/>
                  <w:divBdr>
                    <w:top w:val="none" w:sz="0" w:space="0" w:color="auto"/>
                    <w:left w:val="none" w:sz="0" w:space="0" w:color="auto"/>
                    <w:bottom w:val="none" w:sz="0" w:space="0" w:color="auto"/>
                    <w:right w:val="none" w:sz="0" w:space="0" w:color="auto"/>
                  </w:divBdr>
                </w:div>
                <w:div w:id="1790587810">
                  <w:marLeft w:val="0"/>
                  <w:marRight w:val="0"/>
                  <w:marTop w:val="0"/>
                  <w:marBottom w:val="0"/>
                  <w:divBdr>
                    <w:top w:val="none" w:sz="0" w:space="0" w:color="auto"/>
                    <w:left w:val="none" w:sz="0" w:space="0" w:color="auto"/>
                    <w:bottom w:val="none" w:sz="0" w:space="0" w:color="auto"/>
                    <w:right w:val="none" w:sz="0" w:space="0" w:color="auto"/>
                  </w:divBdr>
                </w:div>
                <w:div w:id="1805927092">
                  <w:marLeft w:val="0"/>
                  <w:marRight w:val="0"/>
                  <w:marTop w:val="0"/>
                  <w:marBottom w:val="0"/>
                  <w:divBdr>
                    <w:top w:val="none" w:sz="0" w:space="0" w:color="auto"/>
                    <w:left w:val="none" w:sz="0" w:space="0" w:color="auto"/>
                    <w:bottom w:val="none" w:sz="0" w:space="0" w:color="auto"/>
                    <w:right w:val="none" w:sz="0" w:space="0" w:color="auto"/>
                  </w:divBdr>
                </w:div>
                <w:div w:id="1822116393">
                  <w:marLeft w:val="0"/>
                  <w:marRight w:val="0"/>
                  <w:marTop w:val="0"/>
                  <w:marBottom w:val="0"/>
                  <w:divBdr>
                    <w:top w:val="none" w:sz="0" w:space="0" w:color="auto"/>
                    <w:left w:val="none" w:sz="0" w:space="0" w:color="auto"/>
                    <w:bottom w:val="none" w:sz="0" w:space="0" w:color="auto"/>
                    <w:right w:val="none" w:sz="0" w:space="0" w:color="auto"/>
                  </w:divBdr>
                </w:div>
                <w:div w:id="1836993537">
                  <w:marLeft w:val="0"/>
                  <w:marRight w:val="0"/>
                  <w:marTop w:val="0"/>
                  <w:marBottom w:val="0"/>
                  <w:divBdr>
                    <w:top w:val="none" w:sz="0" w:space="0" w:color="auto"/>
                    <w:left w:val="none" w:sz="0" w:space="0" w:color="auto"/>
                    <w:bottom w:val="none" w:sz="0" w:space="0" w:color="auto"/>
                    <w:right w:val="none" w:sz="0" w:space="0" w:color="auto"/>
                  </w:divBdr>
                </w:div>
                <w:div w:id="1837574950">
                  <w:marLeft w:val="0"/>
                  <w:marRight w:val="0"/>
                  <w:marTop w:val="0"/>
                  <w:marBottom w:val="0"/>
                  <w:divBdr>
                    <w:top w:val="none" w:sz="0" w:space="0" w:color="auto"/>
                    <w:left w:val="none" w:sz="0" w:space="0" w:color="auto"/>
                    <w:bottom w:val="none" w:sz="0" w:space="0" w:color="auto"/>
                    <w:right w:val="none" w:sz="0" w:space="0" w:color="auto"/>
                  </w:divBdr>
                </w:div>
                <w:div w:id="1892426313">
                  <w:marLeft w:val="0"/>
                  <w:marRight w:val="0"/>
                  <w:marTop w:val="0"/>
                  <w:marBottom w:val="0"/>
                  <w:divBdr>
                    <w:top w:val="none" w:sz="0" w:space="0" w:color="auto"/>
                    <w:left w:val="none" w:sz="0" w:space="0" w:color="auto"/>
                    <w:bottom w:val="none" w:sz="0" w:space="0" w:color="auto"/>
                    <w:right w:val="none" w:sz="0" w:space="0" w:color="auto"/>
                  </w:divBdr>
                </w:div>
                <w:div w:id="1894073870">
                  <w:marLeft w:val="0"/>
                  <w:marRight w:val="0"/>
                  <w:marTop w:val="0"/>
                  <w:marBottom w:val="0"/>
                  <w:divBdr>
                    <w:top w:val="none" w:sz="0" w:space="0" w:color="auto"/>
                    <w:left w:val="none" w:sz="0" w:space="0" w:color="auto"/>
                    <w:bottom w:val="none" w:sz="0" w:space="0" w:color="auto"/>
                    <w:right w:val="none" w:sz="0" w:space="0" w:color="auto"/>
                  </w:divBdr>
                </w:div>
                <w:div w:id="1905875646">
                  <w:marLeft w:val="0"/>
                  <w:marRight w:val="0"/>
                  <w:marTop w:val="0"/>
                  <w:marBottom w:val="0"/>
                  <w:divBdr>
                    <w:top w:val="none" w:sz="0" w:space="0" w:color="auto"/>
                    <w:left w:val="none" w:sz="0" w:space="0" w:color="auto"/>
                    <w:bottom w:val="none" w:sz="0" w:space="0" w:color="auto"/>
                    <w:right w:val="none" w:sz="0" w:space="0" w:color="auto"/>
                  </w:divBdr>
                </w:div>
                <w:div w:id="1932085130">
                  <w:marLeft w:val="0"/>
                  <w:marRight w:val="0"/>
                  <w:marTop w:val="0"/>
                  <w:marBottom w:val="0"/>
                  <w:divBdr>
                    <w:top w:val="none" w:sz="0" w:space="0" w:color="auto"/>
                    <w:left w:val="none" w:sz="0" w:space="0" w:color="auto"/>
                    <w:bottom w:val="none" w:sz="0" w:space="0" w:color="auto"/>
                    <w:right w:val="none" w:sz="0" w:space="0" w:color="auto"/>
                  </w:divBdr>
                </w:div>
                <w:div w:id="1932662723">
                  <w:marLeft w:val="0"/>
                  <w:marRight w:val="0"/>
                  <w:marTop w:val="0"/>
                  <w:marBottom w:val="0"/>
                  <w:divBdr>
                    <w:top w:val="none" w:sz="0" w:space="0" w:color="auto"/>
                    <w:left w:val="none" w:sz="0" w:space="0" w:color="auto"/>
                    <w:bottom w:val="none" w:sz="0" w:space="0" w:color="auto"/>
                    <w:right w:val="none" w:sz="0" w:space="0" w:color="auto"/>
                  </w:divBdr>
                </w:div>
                <w:div w:id="1935942620">
                  <w:marLeft w:val="0"/>
                  <w:marRight w:val="0"/>
                  <w:marTop w:val="0"/>
                  <w:marBottom w:val="0"/>
                  <w:divBdr>
                    <w:top w:val="none" w:sz="0" w:space="0" w:color="auto"/>
                    <w:left w:val="none" w:sz="0" w:space="0" w:color="auto"/>
                    <w:bottom w:val="none" w:sz="0" w:space="0" w:color="auto"/>
                    <w:right w:val="none" w:sz="0" w:space="0" w:color="auto"/>
                  </w:divBdr>
                </w:div>
                <w:div w:id="1936203253">
                  <w:marLeft w:val="0"/>
                  <w:marRight w:val="0"/>
                  <w:marTop w:val="0"/>
                  <w:marBottom w:val="0"/>
                  <w:divBdr>
                    <w:top w:val="none" w:sz="0" w:space="0" w:color="auto"/>
                    <w:left w:val="none" w:sz="0" w:space="0" w:color="auto"/>
                    <w:bottom w:val="none" w:sz="0" w:space="0" w:color="auto"/>
                    <w:right w:val="none" w:sz="0" w:space="0" w:color="auto"/>
                  </w:divBdr>
                </w:div>
                <w:div w:id="1971785775">
                  <w:marLeft w:val="0"/>
                  <w:marRight w:val="0"/>
                  <w:marTop w:val="0"/>
                  <w:marBottom w:val="0"/>
                  <w:divBdr>
                    <w:top w:val="none" w:sz="0" w:space="0" w:color="auto"/>
                    <w:left w:val="none" w:sz="0" w:space="0" w:color="auto"/>
                    <w:bottom w:val="none" w:sz="0" w:space="0" w:color="auto"/>
                    <w:right w:val="none" w:sz="0" w:space="0" w:color="auto"/>
                  </w:divBdr>
                </w:div>
                <w:div w:id="1973052772">
                  <w:marLeft w:val="0"/>
                  <w:marRight w:val="0"/>
                  <w:marTop w:val="0"/>
                  <w:marBottom w:val="0"/>
                  <w:divBdr>
                    <w:top w:val="none" w:sz="0" w:space="0" w:color="auto"/>
                    <w:left w:val="none" w:sz="0" w:space="0" w:color="auto"/>
                    <w:bottom w:val="none" w:sz="0" w:space="0" w:color="auto"/>
                    <w:right w:val="none" w:sz="0" w:space="0" w:color="auto"/>
                  </w:divBdr>
                </w:div>
                <w:div w:id="1980332905">
                  <w:marLeft w:val="0"/>
                  <w:marRight w:val="0"/>
                  <w:marTop w:val="0"/>
                  <w:marBottom w:val="0"/>
                  <w:divBdr>
                    <w:top w:val="none" w:sz="0" w:space="0" w:color="auto"/>
                    <w:left w:val="none" w:sz="0" w:space="0" w:color="auto"/>
                    <w:bottom w:val="none" w:sz="0" w:space="0" w:color="auto"/>
                    <w:right w:val="none" w:sz="0" w:space="0" w:color="auto"/>
                  </w:divBdr>
                </w:div>
                <w:div w:id="1983846224">
                  <w:marLeft w:val="0"/>
                  <w:marRight w:val="0"/>
                  <w:marTop w:val="0"/>
                  <w:marBottom w:val="0"/>
                  <w:divBdr>
                    <w:top w:val="none" w:sz="0" w:space="0" w:color="auto"/>
                    <w:left w:val="none" w:sz="0" w:space="0" w:color="auto"/>
                    <w:bottom w:val="none" w:sz="0" w:space="0" w:color="auto"/>
                    <w:right w:val="none" w:sz="0" w:space="0" w:color="auto"/>
                  </w:divBdr>
                </w:div>
                <w:div w:id="1984969871">
                  <w:marLeft w:val="0"/>
                  <w:marRight w:val="0"/>
                  <w:marTop w:val="0"/>
                  <w:marBottom w:val="0"/>
                  <w:divBdr>
                    <w:top w:val="none" w:sz="0" w:space="0" w:color="auto"/>
                    <w:left w:val="none" w:sz="0" w:space="0" w:color="auto"/>
                    <w:bottom w:val="none" w:sz="0" w:space="0" w:color="auto"/>
                    <w:right w:val="none" w:sz="0" w:space="0" w:color="auto"/>
                  </w:divBdr>
                </w:div>
                <w:div w:id="1988971622">
                  <w:marLeft w:val="0"/>
                  <w:marRight w:val="0"/>
                  <w:marTop w:val="0"/>
                  <w:marBottom w:val="0"/>
                  <w:divBdr>
                    <w:top w:val="none" w:sz="0" w:space="0" w:color="auto"/>
                    <w:left w:val="none" w:sz="0" w:space="0" w:color="auto"/>
                    <w:bottom w:val="none" w:sz="0" w:space="0" w:color="auto"/>
                    <w:right w:val="none" w:sz="0" w:space="0" w:color="auto"/>
                  </w:divBdr>
                </w:div>
                <w:div w:id="2011758743">
                  <w:marLeft w:val="0"/>
                  <w:marRight w:val="0"/>
                  <w:marTop w:val="0"/>
                  <w:marBottom w:val="0"/>
                  <w:divBdr>
                    <w:top w:val="none" w:sz="0" w:space="0" w:color="auto"/>
                    <w:left w:val="none" w:sz="0" w:space="0" w:color="auto"/>
                    <w:bottom w:val="none" w:sz="0" w:space="0" w:color="auto"/>
                    <w:right w:val="none" w:sz="0" w:space="0" w:color="auto"/>
                  </w:divBdr>
                </w:div>
                <w:div w:id="2014412514">
                  <w:marLeft w:val="0"/>
                  <w:marRight w:val="0"/>
                  <w:marTop w:val="0"/>
                  <w:marBottom w:val="0"/>
                  <w:divBdr>
                    <w:top w:val="none" w:sz="0" w:space="0" w:color="auto"/>
                    <w:left w:val="none" w:sz="0" w:space="0" w:color="auto"/>
                    <w:bottom w:val="none" w:sz="0" w:space="0" w:color="auto"/>
                    <w:right w:val="none" w:sz="0" w:space="0" w:color="auto"/>
                  </w:divBdr>
                </w:div>
                <w:div w:id="2015958865">
                  <w:marLeft w:val="0"/>
                  <w:marRight w:val="0"/>
                  <w:marTop w:val="0"/>
                  <w:marBottom w:val="0"/>
                  <w:divBdr>
                    <w:top w:val="none" w:sz="0" w:space="0" w:color="auto"/>
                    <w:left w:val="none" w:sz="0" w:space="0" w:color="auto"/>
                    <w:bottom w:val="none" w:sz="0" w:space="0" w:color="auto"/>
                    <w:right w:val="none" w:sz="0" w:space="0" w:color="auto"/>
                  </w:divBdr>
                </w:div>
                <w:div w:id="2029873029">
                  <w:marLeft w:val="0"/>
                  <w:marRight w:val="0"/>
                  <w:marTop w:val="0"/>
                  <w:marBottom w:val="0"/>
                  <w:divBdr>
                    <w:top w:val="none" w:sz="0" w:space="0" w:color="auto"/>
                    <w:left w:val="none" w:sz="0" w:space="0" w:color="auto"/>
                    <w:bottom w:val="none" w:sz="0" w:space="0" w:color="auto"/>
                    <w:right w:val="none" w:sz="0" w:space="0" w:color="auto"/>
                  </w:divBdr>
                </w:div>
                <w:div w:id="2049406987">
                  <w:marLeft w:val="0"/>
                  <w:marRight w:val="0"/>
                  <w:marTop w:val="0"/>
                  <w:marBottom w:val="0"/>
                  <w:divBdr>
                    <w:top w:val="none" w:sz="0" w:space="0" w:color="auto"/>
                    <w:left w:val="none" w:sz="0" w:space="0" w:color="auto"/>
                    <w:bottom w:val="none" w:sz="0" w:space="0" w:color="auto"/>
                    <w:right w:val="none" w:sz="0" w:space="0" w:color="auto"/>
                  </w:divBdr>
                </w:div>
                <w:div w:id="2055957845">
                  <w:marLeft w:val="0"/>
                  <w:marRight w:val="0"/>
                  <w:marTop w:val="0"/>
                  <w:marBottom w:val="0"/>
                  <w:divBdr>
                    <w:top w:val="none" w:sz="0" w:space="0" w:color="auto"/>
                    <w:left w:val="none" w:sz="0" w:space="0" w:color="auto"/>
                    <w:bottom w:val="none" w:sz="0" w:space="0" w:color="auto"/>
                    <w:right w:val="none" w:sz="0" w:space="0" w:color="auto"/>
                  </w:divBdr>
                </w:div>
                <w:div w:id="21343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1493">
      <w:bodyDiv w:val="1"/>
      <w:marLeft w:val="0"/>
      <w:marRight w:val="0"/>
      <w:marTop w:val="0"/>
      <w:marBottom w:val="0"/>
      <w:divBdr>
        <w:top w:val="none" w:sz="0" w:space="0" w:color="auto"/>
        <w:left w:val="none" w:sz="0" w:space="0" w:color="auto"/>
        <w:bottom w:val="none" w:sz="0" w:space="0" w:color="auto"/>
        <w:right w:val="none" w:sz="0" w:space="0" w:color="auto"/>
      </w:divBdr>
    </w:div>
    <w:div w:id="679232764">
      <w:bodyDiv w:val="1"/>
      <w:marLeft w:val="0"/>
      <w:marRight w:val="0"/>
      <w:marTop w:val="0"/>
      <w:marBottom w:val="0"/>
      <w:divBdr>
        <w:top w:val="none" w:sz="0" w:space="0" w:color="auto"/>
        <w:left w:val="none" w:sz="0" w:space="0" w:color="auto"/>
        <w:bottom w:val="none" w:sz="0" w:space="0" w:color="auto"/>
        <w:right w:val="none" w:sz="0" w:space="0" w:color="auto"/>
      </w:divBdr>
    </w:div>
    <w:div w:id="693380938">
      <w:bodyDiv w:val="1"/>
      <w:marLeft w:val="0"/>
      <w:marRight w:val="0"/>
      <w:marTop w:val="0"/>
      <w:marBottom w:val="0"/>
      <w:divBdr>
        <w:top w:val="none" w:sz="0" w:space="0" w:color="auto"/>
        <w:left w:val="none" w:sz="0" w:space="0" w:color="auto"/>
        <w:bottom w:val="none" w:sz="0" w:space="0" w:color="auto"/>
        <w:right w:val="none" w:sz="0" w:space="0" w:color="auto"/>
      </w:divBdr>
    </w:div>
    <w:div w:id="695159511">
      <w:bodyDiv w:val="1"/>
      <w:marLeft w:val="0"/>
      <w:marRight w:val="0"/>
      <w:marTop w:val="0"/>
      <w:marBottom w:val="0"/>
      <w:divBdr>
        <w:top w:val="none" w:sz="0" w:space="0" w:color="auto"/>
        <w:left w:val="none" w:sz="0" w:space="0" w:color="auto"/>
        <w:bottom w:val="none" w:sz="0" w:space="0" w:color="auto"/>
        <w:right w:val="none" w:sz="0" w:space="0" w:color="auto"/>
      </w:divBdr>
      <w:divsChild>
        <w:div w:id="41295133">
          <w:marLeft w:val="0"/>
          <w:marRight w:val="0"/>
          <w:marTop w:val="0"/>
          <w:marBottom w:val="0"/>
          <w:divBdr>
            <w:top w:val="none" w:sz="0" w:space="0" w:color="auto"/>
            <w:left w:val="none" w:sz="0" w:space="0" w:color="auto"/>
            <w:bottom w:val="none" w:sz="0" w:space="0" w:color="auto"/>
            <w:right w:val="none" w:sz="0" w:space="0" w:color="auto"/>
          </w:divBdr>
        </w:div>
        <w:div w:id="139156806">
          <w:marLeft w:val="0"/>
          <w:marRight w:val="0"/>
          <w:marTop w:val="0"/>
          <w:marBottom w:val="0"/>
          <w:divBdr>
            <w:top w:val="none" w:sz="0" w:space="0" w:color="auto"/>
            <w:left w:val="none" w:sz="0" w:space="0" w:color="auto"/>
            <w:bottom w:val="none" w:sz="0" w:space="0" w:color="auto"/>
            <w:right w:val="none" w:sz="0" w:space="0" w:color="auto"/>
          </w:divBdr>
        </w:div>
        <w:div w:id="252015306">
          <w:marLeft w:val="0"/>
          <w:marRight w:val="0"/>
          <w:marTop w:val="0"/>
          <w:marBottom w:val="0"/>
          <w:divBdr>
            <w:top w:val="none" w:sz="0" w:space="0" w:color="auto"/>
            <w:left w:val="none" w:sz="0" w:space="0" w:color="auto"/>
            <w:bottom w:val="none" w:sz="0" w:space="0" w:color="auto"/>
            <w:right w:val="none" w:sz="0" w:space="0" w:color="auto"/>
          </w:divBdr>
        </w:div>
        <w:div w:id="262496945">
          <w:marLeft w:val="0"/>
          <w:marRight w:val="0"/>
          <w:marTop w:val="0"/>
          <w:marBottom w:val="0"/>
          <w:divBdr>
            <w:top w:val="none" w:sz="0" w:space="0" w:color="auto"/>
            <w:left w:val="none" w:sz="0" w:space="0" w:color="auto"/>
            <w:bottom w:val="none" w:sz="0" w:space="0" w:color="auto"/>
            <w:right w:val="none" w:sz="0" w:space="0" w:color="auto"/>
          </w:divBdr>
        </w:div>
        <w:div w:id="312103836">
          <w:marLeft w:val="0"/>
          <w:marRight w:val="0"/>
          <w:marTop w:val="0"/>
          <w:marBottom w:val="0"/>
          <w:divBdr>
            <w:top w:val="none" w:sz="0" w:space="0" w:color="auto"/>
            <w:left w:val="none" w:sz="0" w:space="0" w:color="auto"/>
            <w:bottom w:val="none" w:sz="0" w:space="0" w:color="auto"/>
            <w:right w:val="none" w:sz="0" w:space="0" w:color="auto"/>
          </w:divBdr>
        </w:div>
        <w:div w:id="362290013">
          <w:marLeft w:val="0"/>
          <w:marRight w:val="0"/>
          <w:marTop w:val="0"/>
          <w:marBottom w:val="0"/>
          <w:divBdr>
            <w:top w:val="none" w:sz="0" w:space="0" w:color="auto"/>
            <w:left w:val="none" w:sz="0" w:space="0" w:color="auto"/>
            <w:bottom w:val="none" w:sz="0" w:space="0" w:color="auto"/>
            <w:right w:val="none" w:sz="0" w:space="0" w:color="auto"/>
          </w:divBdr>
        </w:div>
        <w:div w:id="375662687">
          <w:marLeft w:val="0"/>
          <w:marRight w:val="0"/>
          <w:marTop w:val="0"/>
          <w:marBottom w:val="0"/>
          <w:divBdr>
            <w:top w:val="none" w:sz="0" w:space="0" w:color="auto"/>
            <w:left w:val="none" w:sz="0" w:space="0" w:color="auto"/>
            <w:bottom w:val="none" w:sz="0" w:space="0" w:color="auto"/>
            <w:right w:val="none" w:sz="0" w:space="0" w:color="auto"/>
          </w:divBdr>
        </w:div>
        <w:div w:id="455299522">
          <w:marLeft w:val="0"/>
          <w:marRight w:val="0"/>
          <w:marTop w:val="0"/>
          <w:marBottom w:val="0"/>
          <w:divBdr>
            <w:top w:val="none" w:sz="0" w:space="0" w:color="auto"/>
            <w:left w:val="none" w:sz="0" w:space="0" w:color="auto"/>
            <w:bottom w:val="none" w:sz="0" w:space="0" w:color="auto"/>
            <w:right w:val="none" w:sz="0" w:space="0" w:color="auto"/>
          </w:divBdr>
        </w:div>
        <w:div w:id="468322629">
          <w:marLeft w:val="0"/>
          <w:marRight w:val="0"/>
          <w:marTop w:val="0"/>
          <w:marBottom w:val="0"/>
          <w:divBdr>
            <w:top w:val="none" w:sz="0" w:space="0" w:color="auto"/>
            <w:left w:val="none" w:sz="0" w:space="0" w:color="auto"/>
            <w:bottom w:val="none" w:sz="0" w:space="0" w:color="auto"/>
            <w:right w:val="none" w:sz="0" w:space="0" w:color="auto"/>
          </w:divBdr>
        </w:div>
        <w:div w:id="515922830">
          <w:marLeft w:val="0"/>
          <w:marRight w:val="0"/>
          <w:marTop w:val="0"/>
          <w:marBottom w:val="0"/>
          <w:divBdr>
            <w:top w:val="none" w:sz="0" w:space="0" w:color="auto"/>
            <w:left w:val="none" w:sz="0" w:space="0" w:color="auto"/>
            <w:bottom w:val="none" w:sz="0" w:space="0" w:color="auto"/>
            <w:right w:val="none" w:sz="0" w:space="0" w:color="auto"/>
          </w:divBdr>
        </w:div>
        <w:div w:id="520163364">
          <w:marLeft w:val="0"/>
          <w:marRight w:val="0"/>
          <w:marTop w:val="0"/>
          <w:marBottom w:val="0"/>
          <w:divBdr>
            <w:top w:val="none" w:sz="0" w:space="0" w:color="auto"/>
            <w:left w:val="none" w:sz="0" w:space="0" w:color="auto"/>
            <w:bottom w:val="none" w:sz="0" w:space="0" w:color="auto"/>
            <w:right w:val="none" w:sz="0" w:space="0" w:color="auto"/>
          </w:divBdr>
        </w:div>
        <w:div w:id="537855208">
          <w:marLeft w:val="0"/>
          <w:marRight w:val="0"/>
          <w:marTop w:val="0"/>
          <w:marBottom w:val="0"/>
          <w:divBdr>
            <w:top w:val="none" w:sz="0" w:space="0" w:color="auto"/>
            <w:left w:val="none" w:sz="0" w:space="0" w:color="auto"/>
            <w:bottom w:val="none" w:sz="0" w:space="0" w:color="auto"/>
            <w:right w:val="none" w:sz="0" w:space="0" w:color="auto"/>
          </w:divBdr>
        </w:div>
        <w:div w:id="636570410">
          <w:marLeft w:val="0"/>
          <w:marRight w:val="0"/>
          <w:marTop w:val="0"/>
          <w:marBottom w:val="0"/>
          <w:divBdr>
            <w:top w:val="none" w:sz="0" w:space="0" w:color="auto"/>
            <w:left w:val="none" w:sz="0" w:space="0" w:color="auto"/>
            <w:bottom w:val="none" w:sz="0" w:space="0" w:color="auto"/>
            <w:right w:val="none" w:sz="0" w:space="0" w:color="auto"/>
          </w:divBdr>
        </w:div>
        <w:div w:id="729959309">
          <w:marLeft w:val="0"/>
          <w:marRight w:val="0"/>
          <w:marTop w:val="0"/>
          <w:marBottom w:val="0"/>
          <w:divBdr>
            <w:top w:val="none" w:sz="0" w:space="0" w:color="auto"/>
            <w:left w:val="none" w:sz="0" w:space="0" w:color="auto"/>
            <w:bottom w:val="none" w:sz="0" w:space="0" w:color="auto"/>
            <w:right w:val="none" w:sz="0" w:space="0" w:color="auto"/>
          </w:divBdr>
        </w:div>
        <w:div w:id="742677070">
          <w:marLeft w:val="0"/>
          <w:marRight w:val="0"/>
          <w:marTop w:val="0"/>
          <w:marBottom w:val="0"/>
          <w:divBdr>
            <w:top w:val="none" w:sz="0" w:space="0" w:color="auto"/>
            <w:left w:val="none" w:sz="0" w:space="0" w:color="auto"/>
            <w:bottom w:val="none" w:sz="0" w:space="0" w:color="auto"/>
            <w:right w:val="none" w:sz="0" w:space="0" w:color="auto"/>
          </w:divBdr>
        </w:div>
        <w:div w:id="789781717">
          <w:marLeft w:val="0"/>
          <w:marRight w:val="0"/>
          <w:marTop w:val="0"/>
          <w:marBottom w:val="0"/>
          <w:divBdr>
            <w:top w:val="none" w:sz="0" w:space="0" w:color="auto"/>
            <w:left w:val="none" w:sz="0" w:space="0" w:color="auto"/>
            <w:bottom w:val="none" w:sz="0" w:space="0" w:color="auto"/>
            <w:right w:val="none" w:sz="0" w:space="0" w:color="auto"/>
          </w:divBdr>
        </w:div>
        <w:div w:id="799882620">
          <w:marLeft w:val="0"/>
          <w:marRight w:val="0"/>
          <w:marTop w:val="0"/>
          <w:marBottom w:val="0"/>
          <w:divBdr>
            <w:top w:val="none" w:sz="0" w:space="0" w:color="auto"/>
            <w:left w:val="none" w:sz="0" w:space="0" w:color="auto"/>
            <w:bottom w:val="none" w:sz="0" w:space="0" w:color="auto"/>
            <w:right w:val="none" w:sz="0" w:space="0" w:color="auto"/>
          </w:divBdr>
        </w:div>
        <w:div w:id="809980469">
          <w:marLeft w:val="0"/>
          <w:marRight w:val="0"/>
          <w:marTop w:val="0"/>
          <w:marBottom w:val="0"/>
          <w:divBdr>
            <w:top w:val="none" w:sz="0" w:space="0" w:color="auto"/>
            <w:left w:val="none" w:sz="0" w:space="0" w:color="auto"/>
            <w:bottom w:val="none" w:sz="0" w:space="0" w:color="auto"/>
            <w:right w:val="none" w:sz="0" w:space="0" w:color="auto"/>
          </w:divBdr>
        </w:div>
        <w:div w:id="852308396">
          <w:marLeft w:val="0"/>
          <w:marRight w:val="0"/>
          <w:marTop w:val="0"/>
          <w:marBottom w:val="0"/>
          <w:divBdr>
            <w:top w:val="none" w:sz="0" w:space="0" w:color="auto"/>
            <w:left w:val="none" w:sz="0" w:space="0" w:color="auto"/>
            <w:bottom w:val="none" w:sz="0" w:space="0" w:color="auto"/>
            <w:right w:val="none" w:sz="0" w:space="0" w:color="auto"/>
          </w:divBdr>
        </w:div>
        <w:div w:id="853953734">
          <w:marLeft w:val="0"/>
          <w:marRight w:val="0"/>
          <w:marTop w:val="0"/>
          <w:marBottom w:val="0"/>
          <w:divBdr>
            <w:top w:val="none" w:sz="0" w:space="0" w:color="auto"/>
            <w:left w:val="none" w:sz="0" w:space="0" w:color="auto"/>
            <w:bottom w:val="none" w:sz="0" w:space="0" w:color="auto"/>
            <w:right w:val="none" w:sz="0" w:space="0" w:color="auto"/>
          </w:divBdr>
        </w:div>
        <w:div w:id="909580105">
          <w:marLeft w:val="0"/>
          <w:marRight w:val="0"/>
          <w:marTop w:val="0"/>
          <w:marBottom w:val="0"/>
          <w:divBdr>
            <w:top w:val="none" w:sz="0" w:space="0" w:color="auto"/>
            <w:left w:val="none" w:sz="0" w:space="0" w:color="auto"/>
            <w:bottom w:val="none" w:sz="0" w:space="0" w:color="auto"/>
            <w:right w:val="none" w:sz="0" w:space="0" w:color="auto"/>
          </w:divBdr>
        </w:div>
        <w:div w:id="983582084">
          <w:marLeft w:val="0"/>
          <w:marRight w:val="0"/>
          <w:marTop w:val="0"/>
          <w:marBottom w:val="0"/>
          <w:divBdr>
            <w:top w:val="none" w:sz="0" w:space="0" w:color="auto"/>
            <w:left w:val="none" w:sz="0" w:space="0" w:color="auto"/>
            <w:bottom w:val="none" w:sz="0" w:space="0" w:color="auto"/>
            <w:right w:val="none" w:sz="0" w:space="0" w:color="auto"/>
          </w:divBdr>
        </w:div>
        <w:div w:id="1057583111">
          <w:marLeft w:val="0"/>
          <w:marRight w:val="0"/>
          <w:marTop w:val="0"/>
          <w:marBottom w:val="0"/>
          <w:divBdr>
            <w:top w:val="none" w:sz="0" w:space="0" w:color="auto"/>
            <w:left w:val="none" w:sz="0" w:space="0" w:color="auto"/>
            <w:bottom w:val="none" w:sz="0" w:space="0" w:color="auto"/>
            <w:right w:val="none" w:sz="0" w:space="0" w:color="auto"/>
          </w:divBdr>
        </w:div>
        <w:div w:id="1144008508">
          <w:marLeft w:val="0"/>
          <w:marRight w:val="0"/>
          <w:marTop w:val="0"/>
          <w:marBottom w:val="0"/>
          <w:divBdr>
            <w:top w:val="none" w:sz="0" w:space="0" w:color="auto"/>
            <w:left w:val="none" w:sz="0" w:space="0" w:color="auto"/>
            <w:bottom w:val="none" w:sz="0" w:space="0" w:color="auto"/>
            <w:right w:val="none" w:sz="0" w:space="0" w:color="auto"/>
          </w:divBdr>
        </w:div>
        <w:div w:id="1160465550">
          <w:marLeft w:val="0"/>
          <w:marRight w:val="0"/>
          <w:marTop w:val="0"/>
          <w:marBottom w:val="0"/>
          <w:divBdr>
            <w:top w:val="none" w:sz="0" w:space="0" w:color="auto"/>
            <w:left w:val="none" w:sz="0" w:space="0" w:color="auto"/>
            <w:bottom w:val="none" w:sz="0" w:space="0" w:color="auto"/>
            <w:right w:val="none" w:sz="0" w:space="0" w:color="auto"/>
          </w:divBdr>
        </w:div>
        <w:div w:id="1224876062">
          <w:marLeft w:val="0"/>
          <w:marRight w:val="0"/>
          <w:marTop w:val="0"/>
          <w:marBottom w:val="0"/>
          <w:divBdr>
            <w:top w:val="none" w:sz="0" w:space="0" w:color="auto"/>
            <w:left w:val="none" w:sz="0" w:space="0" w:color="auto"/>
            <w:bottom w:val="none" w:sz="0" w:space="0" w:color="auto"/>
            <w:right w:val="none" w:sz="0" w:space="0" w:color="auto"/>
          </w:divBdr>
        </w:div>
        <w:div w:id="1344429684">
          <w:marLeft w:val="0"/>
          <w:marRight w:val="0"/>
          <w:marTop w:val="0"/>
          <w:marBottom w:val="0"/>
          <w:divBdr>
            <w:top w:val="none" w:sz="0" w:space="0" w:color="auto"/>
            <w:left w:val="none" w:sz="0" w:space="0" w:color="auto"/>
            <w:bottom w:val="none" w:sz="0" w:space="0" w:color="auto"/>
            <w:right w:val="none" w:sz="0" w:space="0" w:color="auto"/>
          </w:divBdr>
        </w:div>
        <w:div w:id="1369179926">
          <w:marLeft w:val="0"/>
          <w:marRight w:val="0"/>
          <w:marTop w:val="0"/>
          <w:marBottom w:val="0"/>
          <w:divBdr>
            <w:top w:val="none" w:sz="0" w:space="0" w:color="auto"/>
            <w:left w:val="none" w:sz="0" w:space="0" w:color="auto"/>
            <w:bottom w:val="none" w:sz="0" w:space="0" w:color="auto"/>
            <w:right w:val="none" w:sz="0" w:space="0" w:color="auto"/>
          </w:divBdr>
        </w:div>
        <w:div w:id="1389526713">
          <w:marLeft w:val="0"/>
          <w:marRight w:val="0"/>
          <w:marTop w:val="0"/>
          <w:marBottom w:val="0"/>
          <w:divBdr>
            <w:top w:val="none" w:sz="0" w:space="0" w:color="auto"/>
            <w:left w:val="none" w:sz="0" w:space="0" w:color="auto"/>
            <w:bottom w:val="none" w:sz="0" w:space="0" w:color="auto"/>
            <w:right w:val="none" w:sz="0" w:space="0" w:color="auto"/>
          </w:divBdr>
        </w:div>
        <w:div w:id="1424569454">
          <w:marLeft w:val="0"/>
          <w:marRight w:val="0"/>
          <w:marTop w:val="0"/>
          <w:marBottom w:val="0"/>
          <w:divBdr>
            <w:top w:val="none" w:sz="0" w:space="0" w:color="auto"/>
            <w:left w:val="none" w:sz="0" w:space="0" w:color="auto"/>
            <w:bottom w:val="none" w:sz="0" w:space="0" w:color="auto"/>
            <w:right w:val="none" w:sz="0" w:space="0" w:color="auto"/>
          </w:divBdr>
        </w:div>
        <w:div w:id="1491748843">
          <w:marLeft w:val="0"/>
          <w:marRight w:val="0"/>
          <w:marTop w:val="0"/>
          <w:marBottom w:val="0"/>
          <w:divBdr>
            <w:top w:val="none" w:sz="0" w:space="0" w:color="auto"/>
            <w:left w:val="none" w:sz="0" w:space="0" w:color="auto"/>
            <w:bottom w:val="none" w:sz="0" w:space="0" w:color="auto"/>
            <w:right w:val="none" w:sz="0" w:space="0" w:color="auto"/>
          </w:divBdr>
        </w:div>
        <w:div w:id="1579318960">
          <w:marLeft w:val="0"/>
          <w:marRight w:val="0"/>
          <w:marTop w:val="0"/>
          <w:marBottom w:val="0"/>
          <w:divBdr>
            <w:top w:val="none" w:sz="0" w:space="0" w:color="auto"/>
            <w:left w:val="none" w:sz="0" w:space="0" w:color="auto"/>
            <w:bottom w:val="none" w:sz="0" w:space="0" w:color="auto"/>
            <w:right w:val="none" w:sz="0" w:space="0" w:color="auto"/>
          </w:divBdr>
        </w:div>
        <w:div w:id="1603146337">
          <w:marLeft w:val="0"/>
          <w:marRight w:val="0"/>
          <w:marTop w:val="0"/>
          <w:marBottom w:val="0"/>
          <w:divBdr>
            <w:top w:val="none" w:sz="0" w:space="0" w:color="auto"/>
            <w:left w:val="none" w:sz="0" w:space="0" w:color="auto"/>
            <w:bottom w:val="none" w:sz="0" w:space="0" w:color="auto"/>
            <w:right w:val="none" w:sz="0" w:space="0" w:color="auto"/>
          </w:divBdr>
        </w:div>
        <w:div w:id="1639917362">
          <w:marLeft w:val="0"/>
          <w:marRight w:val="0"/>
          <w:marTop w:val="0"/>
          <w:marBottom w:val="0"/>
          <w:divBdr>
            <w:top w:val="none" w:sz="0" w:space="0" w:color="auto"/>
            <w:left w:val="none" w:sz="0" w:space="0" w:color="auto"/>
            <w:bottom w:val="none" w:sz="0" w:space="0" w:color="auto"/>
            <w:right w:val="none" w:sz="0" w:space="0" w:color="auto"/>
          </w:divBdr>
        </w:div>
        <w:div w:id="1658802100">
          <w:marLeft w:val="0"/>
          <w:marRight w:val="0"/>
          <w:marTop w:val="0"/>
          <w:marBottom w:val="0"/>
          <w:divBdr>
            <w:top w:val="none" w:sz="0" w:space="0" w:color="auto"/>
            <w:left w:val="none" w:sz="0" w:space="0" w:color="auto"/>
            <w:bottom w:val="none" w:sz="0" w:space="0" w:color="auto"/>
            <w:right w:val="none" w:sz="0" w:space="0" w:color="auto"/>
          </w:divBdr>
        </w:div>
        <w:div w:id="1698042049">
          <w:marLeft w:val="0"/>
          <w:marRight w:val="0"/>
          <w:marTop w:val="0"/>
          <w:marBottom w:val="0"/>
          <w:divBdr>
            <w:top w:val="none" w:sz="0" w:space="0" w:color="auto"/>
            <w:left w:val="none" w:sz="0" w:space="0" w:color="auto"/>
            <w:bottom w:val="none" w:sz="0" w:space="0" w:color="auto"/>
            <w:right w:val="none" w:sz="0" w:space="0" w:color="auto"/>
          </w:divBdr>
        </w:div>
        <w:div w:id="1705785176">
          <w:marLeft w:val="0"/>
          <w:marRight w:val="0"/>
          <w:marTop w:val="0"/>
          <w:marBottom w:val="0"/>
          <w:divBdr>
            <w:top w:val="none" w:sz="0" w:space="0" w:color="auto"/>
            <w:left w:val="none" w:sz="0" w:space="0" w:color="auto"/>
            <w:bottom w:val="none" w:sz="0" w:space="0" w:color="auto"/>
            <w:right w:val="none" w:sz="0" w:space="0" w:color="auto"/>
          </w:divBdr>
        </w:div>
        <w:div w:id="1719010298">
          <w:marLeft w:val="0"/>
          <w:marRight w:val="0"/>
          <w:marTop w:val="0"/>
          <w:marBottom w:val="0"/>
          <w:divBdr>
            <w:top w:val="none" w:sz="0" w:space="0" w:color="auto"/>
            <w:left w:val="none" w:sz="0" w:space="0" w:color="auto"/>
            <w:bottom w:val="none" w:sz="0" w:space="0" w:color="auto"/>
            <w:right w:val="none" w:sz="0" w:space="0" w:color="auto"/>
          </w:divBdr>
        </w:div>
        <w:div w:id="1894273344">
          <w:marLeft w:val="0"/>
          <w:marRight w:val="0"/>
          <w:marTop w:val="0"/>
          <w:marBottom w:val="0"/>
          <w:divBdr>
            <w:top w:val="none" w:sz="0" w:space="0" w:color="auto"/>
            <w:left w:val="none" w:sz="0" w:space="0" w:color="auto"/>
            <w:bottom w:val="none" w:sz="0" w:space="0" w:color="auto"/>
            <w:right w:val="none" w:sz="0" w:space="0" w:color="auto"/>
          </w:divBdr>
        </w:div>
        <w:div w:id="1928614541">
          <w:marLeft w:val="0"/>
          <w:marRight w:val="0"/>
          <w:marTop w:val="0"/>
          <w:marBottom w:val="0"/>
          <w:divBdr>
            <w:top w:val="none" w:sz="0" w:space="0" w:color="auto"/>
            <w:left w:val="none" w:sz="0" w:space="0" w:color="auto"/>
            <w:bottom w:val="none" w:sz="0" w:space="0" w:color="auto"/>
            <w:right w:val="none" w:sz="0" w:space="0" w:color="auto"/>
          </w:divBdr>
        </w:div>
        <w:div w:id="1998873558">
          <w:marLeft w:val="0"/>
          <w:marRight w:val="0"/>
          <w:marTop w:val="0"/>
          <w:marBottom w:val="0"/>
          <w:divBdr>
            <w:top w:val="none" w:sz="0" w:space="0" w:color="auto"/>
            <w:left w:val="none" w:sz="0" w:space="0" w:color="auto"/>
            <w:bottom w:val="none" w:sz="0" w:space="0" w:color="auto"/>
            <w:right w:val="none" w:sz="0" w:space="0" w:color="auto"/>
          </w:divBdr>
        </w:div>
        <w:div w:id="2071266637">
          <w:marLeft w:val="0"/>
          <w:marRight w:val="0"/>
          <w:marTop w:val="0"/>
          <w:marBottom w:val="0"/>
          <w:divBdr>
            <w:top w:val="none" w:sz="0" w:space="0" w:color="auto"/>
            <w:left w:val="none" w:sz="0" w:space="0" w:color="auto"/>
            <w:bottom w:val="none" w:sz="0" w:space="0" w:color="auto"/>
            <w:right w:val="none" w:sz="0" w:space="0" w:color="auto"/>
          </w:divBdr>
        </w:div>
      </w:divsChild>
    </w:div>
    <w:div w:id="695615617">
      <w:bodyDiv w:val="1"/>
      <w:marLeft w:val="0"/>
      <w:marRight w:val="0"/>
      <w:marTop w:val="0"/>
      <w:marBottom w:val="0"/>
      <w:divBdr>
        <w:top w:val="none" w:sz="0" w:space="0" w:color="auto"/>
        <w:left w:val="none" w:sz="0" w:space="0" w:color="auto"/>
        <w:bottom w:val="none" w:sz="0" w:space="0" w:color="auto"/>
        <w:right w:val="none" w:sz="0" w:space="0" w:color="auto"/>
      </w:divBdr>
    </w:div>
    <w:div w:id="723604879">
      <w:bodyDiv w:val="1"/>
      <w:marLeft w:val="0"/>
      <w:marRight w:val="0"/>
      <w:marTop w:val="0"/>
      <w:marBottom w:val="0"/>
      <w:divBdr>
        <w:top w:val="none" w:sz="0" w:space="0" w:color="auto"/>
        <w:left w:val="none" w:sz="0" w:space="0" w:color="auto"/>
        <w:bottom w:val="none" w:sz="0" w:space="0" w:color="auto"/>
        <w:right w:val="none" w:sz="0" w:space="0" w:color="auto"/>
      </w:divBdr>
      <w:divsChild>
        <w:div w:id="730810841">
          <w:marLeft w:val="0"/>
          <w:marRight w:val="0"/>
          <w:marTop w:val="0"/>
          <w:marBottom w:val="0"/>
          <w:divBdr>
            <w:top w:val="none" w:sz="0" w:space="0" w:color="auto"/>
            <w:left w:val="none" w:sz="0" w:space="0" w:color="auto"/>
            <w:bottom w:val="none" w:sz="0" w:space="0" w:color="auto"/>
            <w:right w:val="none" w:sz="0" w:space="0" w:color="auto"/>
          </w:divBdr>
          <w:divsChild>
            <w:div w:id="4216456">
              <w:marLeft w:val="0"/>
              <w:marRight w:val="0"/>
              <w:marTop w:val="0"/>
              <w:marBottom w:val="0"/>
              <w:divBdr>
                <w:top w:val="none" w:sz="0" w:space="0" w:color="auto"/>
                <w:left w:val="none" w:sz="0" w:space="0" w:color="auto"/>
                <w:bottom w:val="none" w:sz="0" w:space="0" w:color="auto"/>
                <w:right w:val="none" w:sz="0" w:space="0" w:color="auto"/>
              </w:divBdr>
            </w:div>
            <w:div w:id="6710473">
              <w:marLeft w:val="0"/>
              <w:marRight w:val="0"/>
              <w:marTop w:val="0"/>
              <w:marBottom w:val="0"/>
              <w:divBdr>
                <w:top w:val="none" w:sz="0" w:space="0" w:color="auto"/>
                <w:left w:val="none" w:sz="0" w:space="0" w:color="auto"/>
                <w:bottom w:val="none" w:sz="0" w:space="0" w:color="auto"/>
                <w:right w:val="none" w:sz="0" w:space="0" w:color="auto"/>
              </w:divBdr>
            </w:div>
            <w:div w:id="9264844">
              <w:marLeft w:val="0"/>
              <w:marRight w:val="0"/>
              <w:marTop w:val="0"/>
              <w:marBottom w:val="0"/>
              <w:divBdr>
                <w:top w:val="none" w:sz="0" w:space="0" w:color="auto"/>
                <w:left w:val="none" w:sz="0" w:space="0" w:color="auto"/>
                <w:bottom w:val="none" w:sz="0" w:space="0" w:color="auto"/>
                <w:right w:val="none" w:sz="0" w:space="0" w:color="auto"/>
              </w:divBdr>
            </w:div>
            <w:div w:id="14622081">
              <w:marLeft w:val="0"/>
              <w:marRight w:val="0"/>
              <w:marTop w:val="0"/>
              <w:marBottom w:val="0"/>
              <w:divBdr>
                <w:top w:val="none" w:sz="0" w:space="0" w:color="auto"/>
                <w:left w:val="none" w:sz="0" w:space="0" w:color="auto"/>
                <w:bottom w:val="none" w:sz="0" w:space="0" w:color="auto"/>
                <w:right w:val="none" w:sz="0" w:space="0" w:color="auto"/>
              </w:divBdr>
            </w:div>
            <w:div w:id="14692595">
              <w:marLeft w:val="0"/>
              <w:marRight w:val="0"/>
              <w:marTop w:val="0"/>
              <w:marBottom w:val="0"/>
              <w:divBdr>
                <w:top w:val="none" w:sz="0" w:space="0" w:color="auto"/>
                <w:left w:val="none" w:sz="0" w:space="0" w:color="auto"/>
                <w:bottom w:val="none" w:sz="0" w:space="0" w:color="auto"/>
                <w:right w:val="none" w:sz="0" w:space="0" w:color="auto"/>
              </w:divBdr>
            </w:div>
            <w:div w:id="36439623">
              <w:marLeft w:val="0"/>
              <w:marRight w:val="0"/>
              <w:marTop w:val="0"/>
              <w:marBottom w:val="0"/>
              <w:divBdr>
                <w:top w:val="none" w:sz="0" w:space="0" w:color="auto"/>
                <w:left w:val="none" w:sz="0" w:space="0" w:color="auto"/>
                <w:bottom w:val="none" w:sz="0" w:space="0" w:color="auto"/>
                <w:right w:val="none" w:sz="0" w:space="0" w:color="auto"/>
              </w:divBdr>
            </w:div>
            <w:div w:id="39090364">
              <w:marLeft w:val="0"/>
              <w:marRight w:val="0"/>
              <w:marTop w:val="0"/>
              <w:marBottom w:val="0"/>
              <w:divBdr>
                <w:top w:val="none" w:sz="0" w:space="0" w:color="auto"/>
                <w:left w:val="none" w:sz="0" w:space="0" w:color="auto"/>
                <w:bottom w:val="none" w:sz="0" w:space="0" w:color="auto"/>
                <w:right w:val="none" w:sz="0" w:space="0" w:color="auto"/>
              </w:divBdr>
            </w:div>
            <w:div w:id="51202759">
              <w:marLeft w:val="0"/>
              <w:marRight w:val="0"/>
              <w:marTop w:val="0"/>
              <w:marBottom w:val="0"/>
              <w:divBdr>
                <w:top w:val="none" w:sz="0" w:space="0" w:color="auto"/>
                <w:left w:val="none" w:sz="0" w:space="0" w:color="auto"/>
                <w:bottom w:val="none" w:sz="0" w:space="0" w:color="auto"/>
                <w:right w:val="none" w:sz="0" w:space="0" w:color="auto"/>
              </w:divBdr>
            </w:div>
            <w:div w:id="52893131">
              <w:marLeft w:val="0"/>
              <w:marRight w:val="0"/>
              <w:marTop w:val="0"/>
              <w:marBottom w:val="0"/>
              <w:divBdr>
                <w:top w:val="none" w:sz="0" w:space="0" w:color="auto"/>
                <w:left w:val="none" w:sz="0" w:space="0" w:color="auto"/>
                <w:bottom w:val="none" w:sz="0" w:space="0" w:color="auto"/>
                <w:right w:val="none" w:sz="0" w:space="0" w:color="auto"/>
              </w:divBdr>
            </w:div>
            <w:div w:id="56323251">
              <w:marLeft w:val="0"/>
              <w:marRight w:val="0"/>
              <w:marTop w:val="0"/>
              <w:marBottom w:val="0"/>
              <w:divBdr>
                <w:top w:val="none" w:sz="0" w:space="0" w:color="auto"/>
                <w:left w:val="none" w:sz="0" w:space="0" w:color="auto"/>
                <w:bottom w:val="none" w:sz="0" w:space="0" w:color="auto"/>
                <w:right w:val="none" w:sz="0" w:space="0" w:color="auto"/>
              </w:divBdr>
            </w:div>
            <w:div w:id="56367184">
              <w:marLeft w:val="0"/>
              <w:marRight w:val="0"/>
              <w:marTop w:val="0"/>
              <w:marBottom w:val="0"/>
              <w:divBdr>
                <w:top w:val="none" w:sz="0" w:space="0" w:color="auto"/>
                <w:left w:val="none" w:sz="0" w:space="0" w:color="auto"/>
                <w:bottom w:val="none" w:sz="0" w:space="0" w:color="auto"/>
                <w:right w:val="none" w:sz="0" w:space="0" w:color="auto"/>
              </w:divBdr>
            </w:div>
            <w:div w:id="56586946">
              <w:marLeft w:val="0"/>
              <w:marRight w:val="0"/>
              <w:marTop w:val="0"/>
              <w:marBottom w:val="0"/>
              <w:divBdr>
                <w:top w:val="none" w:sz="0" w:space="0" w:color="auto"/>
                <w:left w:val="none" w:sz="0" w:space="0" w:color="auto"/>
                <w:bottom w:val="none" w:sz="0" w:space="0" w:color="auto"/>
                <w:right w:val="none" w:sz="0" w:space="0" w:color="auto"/>
              </w:divBdr>
            </w:div>
            <w:div w:id="68430295">
              <w:marLeft w:val="0"/>
              <w:marRight w:val="0"/>
              <w:marTop w:val="0"/>
              <w:marBottom w:val="0"/>
              <w:divBdr>
                <w:top w:val="none" w:sz="0" w:space="0" w:color="auto"/>
                <w:left w:val="none" w:sz="0" w:space="0" w:color="auto"/>
                <w:bottom w:val="none" w:sz="0" w:space="0" w:color="auto"/>
                <w:right w:val="none" w:sz="0" w:space="0" w:color="auto"/>
              </w:divBdr>
            </w:div>
            <w:div w:id="75128116">
              <w:marLeft w:val="0"/>
              <w:marRight w:val="0"/>
              <w:marTop w:val="0"/>
              <w:marBottom w:val="0"/>
              <w:divBdr>
                <w:top w:val="none" w:sz="0" w:space="0" w:color="auto"/>
                <w:left w:val="none" w:sz="0" w:space="0" w:color="auto"/>
                <w:bottom w:val="none" w:sz="0" w:space="0" w:color="auto"/>
                <w:right w:val="none" w:sz="0" w:space="0" w:color="auto"/>
              </w:divBdr>
            </w:div>
            <w:div w:id="81686317">
              <w:marLeft w:val="0"/>
              <w:marRight w:val="0"/>
              <w:marTop w:val="0"/>
              <w:marBottom w:val="0"/>
              <w:divBdr>
                <w:top w:val="none" w:sz="0" w:space="0" w:color="auto"/>
                <w:left w:val="none" w:sz="0" w:space="0" w:color="auto"/>
                <w:bottom w:val="none" w:sz="0" w:space="0" w:color="auto"/>
                <w:right w:val="none" w:sz="0" w:space="0" w:color="auto"/>
              </w:divBdr>
            </w:div>
            <w:div w:id="90203589">
              <w:marLeft w:val="0"/>
              <w:marRight w:val="0"/>
              <w:marTop w:val="0"/>
              <w:marBottom w:val="0"/>
              <w:divBdr>
                <w:top w:val="none" w:sz="0" w:space="0" w:color="auto"/>
                <w:left w:val="none" w:sz="0" w:space="0" w:color="auto"/>
                <w:bottom w:val="none" w:sz="0" w:space="0" w:color="auto"/>
                <w:right w:val="none" w:sz="0" w:space="0" w:color="auto"/>
              </w:divBdr>
            </w:div>
            <w:div w:id="94443054">
              <w:marLeft w:val="0"/>
              <w:marRight w:val="0"/>
              <w:marTop w:val="0"/>
              <w:marBottom w:val="0"/>
              <w:divBdr>
                <w:top w:val="none" w:sz="0" w:space="0" w:color="auto"/>
                <w:left w:val="none" w:sz="0" w:space="0" w:color="auto"/>
                <w:bottom w:val="none" w:sz="0" w:space="0" w:color="auto"/>
                <w:right w:val="none" w:sz="0" w:space="0" w:color="auto"/>
              </w:divBdr>
            </w:div>
            <w:div w:id="99884642">
              <w:marLeft w:val="0"/>
              <w:marRight w:val="0"/>
              <w:marTop w:val="0"/>
              <w:marBottom w:val="0"/>
              <w:divBdr>
                <w:top w:val="none" w:sz="0" w:space="0" w:color="auto"/>
                <w:left w:val="none" w:sz="0" w:space="0" w:color="auto"/>
                <w:bottom w:val="none" w:sz="0" w:space="0" w:color="auto"/>
                <w:right w:val="none" w:sz="0" w:space="0" w:color="auto"/>
              </w:divBdr>
            </w:div>
            <w:div w:id="102069276">
              <w:marLeft w:val="0"/>
              <w:marRight w:val="0"/>
              <w:marTop w:val="0"/>
              <w:marBottom w:val="0"/>
              <w:divBdr>
                <w:top w:val="none" w:sz="0" w:space="0" w:color="auto"/>
                <w:left w:val="none" w:sz="0" w:space="0" w:color="auto"/>
                <w:bottom w:val="none" w:sz="0" w:space="0" w:color="auto"/>
                <w:right w:val="none" w:sz="0" w:space="0" w:color="auto"/>
              </w:divBdr>
            </w:div>
            <w:div w:id="112331719">
              <w:marLeft w:val="0"/>
              <w:marRight w:val="0"/>
              <w:marTop w:val="0"/>
              <w:marBottom w:val="0"/>
              <w:divBdr>
                <w:top w:val="none" w:sz="0" w:space="0" w:color="auto"/>
                <w:left w:val="none" w:sz="0" w:space="0" w:color="auto"/>
                <w:bottom w:val="none" w:sz="0" w:space="0" w:color="auto"/>
                <w:right w:val="none" w:sz="0" w:space="0" w:color="auto"/>
              </w:divBdr>
            </w:div>
            <w:div w:id="114953792">
              <w:marLeft w:val="0"/>
              <w:marRight w:val="0"/>
              <w:marTop w:val="0"/>
              <w:marBottom w:val="0"/>
              <w:divBdr>
                <w:top w:val="none" w:sz="0" w:space="0" w:color="auto"/>
                <w:left w:val="none" w:sz="0" w:space="0" w:color="auto"/>
                <w:bottom w:val="none" w:sz="0" w:space="0" w:color="auto"/>
                <w:right w:val="none" w:sz="0" w:space="0" w:color="auto"/>
              </w:divBdr>
            </w:div>
            <w:div w:id="119690983">
              <w:marLeft w:val="0"/>
              <w:marRight w:val="0"/>
              <w:marTop w:val="0"/>
              <w:marBottom w:val="0"/>
              <w:divBdr>
                <w:top w:val="none" w:sz="0" w:space="0" w:color="auto"/>
                <w:left w:val="none" w:sz="0" w:space="0" w:color="auto"/>
                <w:bottom w:val="none" w:sz="0" w:space="0" w:color="auto"/>
                <w:right w:val="none" w:sz="0" w:space="0" w:color="auto"/>
              </w:divBdr>
            </w:div>
            <w:div w:id="126313373">
              <w:marLeft w:val="0"/>
              <w:marRight w:val="0"/>
              <w:marTop w:val="0"/>
              <w:marBottom w:val="0"/>
              <w:divBdr>
                <w:top w:val="none" w:sz="0" w:space="0" w:color="auto"/>
                <w:left w:val="none" w:sz="0" w:space="0" w:color="auto"/>
                <w:bottom w:val="none" w:sz="0" w:space="0" w:color="auto"/>
                <w:right w:val="none" w:sz="0" w:space="0" w:color="auto"/>
              </w:divBdr>
            </w:div>
            <w:div w:id="132722237">
              <w:marLeft w:val="0"/>
              <w:marRight w:val="0"/>
              <w:marTop w:val="0"/>
              <w:marBottom w:val="0"/>
              <w:divBdr>
                <w:top w:val="none" w:sz="0" w:space="0" w:color="auto"/>
                <w:left w:val="none" w:sz="0" w:space="0" w:color="auto"/>
                <w:bottom w:val="none" w:sz="0" w:space="0" w:color="auto"/>
                <w:right w:val="none" w:sz="0" w:space="0" w:color="auto"/>
              </w:divBdr>
            </w:div>
            <w:div w:id="135034767">
              <w:marLeft w:val="0"/>
              <w:marRight w:val="0"/>
              <w:marTop w:val="0"/>
              <w:marBottom w:val="0"/>
              <w:divBdr>
                <w:top w:val="none" w:sz="0" w:space="0" w:color="auto"/>
                <w:left w:val="none" w:sz="0" w:space="0" w:color="auto"/>
                <w:bottom w:val="none" w:sz="0" w:space="0" w:color="auto"/>
                <w:right w:val="none" w:sz="0" w:space="0" w:color="auto"/>
              </w:divBdr>
            </w:div>
            <w:div w:id="140196712">
              <w:marLeft w:val="0"/>
              <w:marRight w:val="0"/>
              <w:marTop w:val="0"/>
              <w:marBottom w:val="0"/>
              <w:divBdr>
                <w:top w:val="none" w:sz="0" w:space="0" w:color="auto"/>
                <w:left w:val="none" w:sz="0" w:space="0" w:color="auto"/>
                <w:bottom w:val="none" w:sz="0" w:space="0" w:color="auto"/>
                <w:right w:val="none" w:sz="0" w:space="0" w:color="auto"/>
              </w:divBdr>
            </w:div>
            <w:div w:id="156925049">
              <w:marLeft w:val="0"/>
              <w:marRight w:val="0"/>
              <w:marTop w:val="0"/>
              <w:marBottom w:val="0"/>
              <w:divBdr>
                <w:top w:val="none" w:sz="0" w:space="0" w:color="auto"/>
                <w:left w:val="none" w:sz="0" w:space="0" w:color="auto"/>
                <w:bottom w:val="none" w:sz="0" w:space="0" w:color="auto"/>
                <w:right w:val="none" w:sz="0" w:space="0" w:color="auto"/>
              </w:divBdr>
            </w:div>
            <w:div w:id="170730324">
              <w:marLeft w:val="0"/>
              <w:marRight w:val="0"/>
              <w:marTop w:val="0"/>
              <w:marBottom w:val="0"/>
              <w:divBdr>
                <w:top w:val="none" w:sz="0" w:space="0" w:color="auto"/>
                <w:left w:val="none" w:sz="0" w:space="0" w:color="auto"/>
                <w:bottom w:val="none" w:sz="0" w:space="0" w:color="auto"/>
                <w:right w:val="none" w:sz="0" w:space="0" w:color="auto"/>
              </w:divBdr>
            </w:div>
            <w:div w:id="171988864">
              <w:marLeft w:val="0"/>
              <w:marRight w:val="0"/>
              <w:marTop w:val="0"/>
              <w:marBottom w:val="0"/>
              <w:divBdr>
                <w:top w:val="none" w:sz="0" w:space="0" w:color="auto"/>
                <w:left w:val="none" w:sz="0" w:space="0" w:color="auto"/>
                <w:bottom w:val="none" w:sz="0" w:space="0" w:color="auto"/>
                <w:right w:val="none" w:sz="0" w:space="0" w:color="auto"/>
              </w:divBdr>
            </w:div>
            <w:div w:id="188950680">
              <w:marLeft w:val="0"/>
              <w:marRight w:val="0"/>
              <w:marTop w:val="0"/>
              <w:marBottom w:val="0"/>
              <w:divBdr>
                <w:top w:val="none" w:sz="0" w:space="0" w:color="auto"/>
                <w:left w:val="none" w:sz="0" w:space="0" w:color="auto"/>
                <w:bottom w:val="none" w:sz="0" w:space="0" w:color="auto"/>
                <w:right w:val="none" w:sz="0" w:space="0" w:color="auto"/>
              </w:divBdr>
            </w:div>
            <w:div w:id="193425842">
              <w:marLeft w:val="0"/>
              <w:marRight w:val="0"/>
              <w:marTop w:val="0"/>
              <w:marBottom w:val="0"/>
              <w:divBdr>
                <w:top w:val="none" w:sz="0" w:space="0" w:color="auto"/>
                <w:left w:val="none" w:sz="0" w:space="0" w:color="auto"/>
                <w:bottom w:val="none" w:sz="0" w:space="0" w:color="auto"/>
                <w:right w:val="none" w:sz="0" w:space="0" w:color="auto"/>
              </w:divBdr>
            </w:div>
            <w:div w:id="220530409">
              <w:marLeft w:val="0"/>
              <w:marRight w:val="0"/>
              <w:marTop w:val="0"/>
              <w:marBottom w:val="0"/>
              <w:divBdr>
                <w:top w:val="none" w:sz="0" w:space="0" w:color="auto"/>
                <w:left w:val="none" w:sz="0" w:space="0" w:color="auto"/>
                <w:bottom w:val="none" w:sz="0" w:space="0" w:color="auto"/>
                <w:right w:val="none" w:sz="0" w:space="0" w:color="auto"/>
              </w:divBdr>
            </w:div>
            <w:div w:id="221526330">
              <w:marLeft w:val="0"/>
              <w:marRight w:val="0"/>
              <w:marTop w:val="0"/>
              <w:marBottom w:val="0"/>
              <w:divBdr>
                <w:top w:val="none" w:sz="0" w:space="0" w:color="auto"/>
                <w:left w:val="none" w:sz="0" w:space="0" w:color="auto"/>
                <w:bottom w:val="none" w:sz="0" w:space="0" w:color="auto"/>
                <w:right w:val="none" w:sz="0" w:space="0" w:color="auto"/>
              </w:divBdr>
            </w:div>
            <w:div w:id="233786364">
              <w:marLeft w:val="0"/>
              <w:marRight w:val="0"/>
              <w:marTop w:val="0"/>
              <w:marBottom w:val="0"/>
              <w:divBdr>
                <w:top w:val="none" w:sz="0" w:space="0" w:color="auto"/>
                <w:left w:val="none" w:sz="0" w:space="0" w:color="auto"/>
                <w:bottom w:val="none" w:sz="0" w:space="0" w:color="auto"/>
                <w:right w:val="none" w:sz="0" w:space="0" w:color="auto"/>
              </w:divBdr>
            </w:div>
            <w:div w:id="234358310">
              <w:marLeft w:val="0"/>
              <w:marRight w:val="0"/>
              <w:marTop w:val="0"/>
              <w:marBottom w:val="0"/>
              <w:divBdr>
                <w:top w:val="none" w:sz="0" w:space="0" w:color="auto"/>
                <w:left w:val="none" w:sz="0" w:space="0" w:color="auto"/>
                <w:bottom w:val="none" w:sz="0" w:space="0" w:color="auto"/>
                <w:right w:val="none" w:sz="0" w:space="0" w:color="auto"/>
              </w:divBdr>
            </w:div>
            <w:div w:id="240526150">
              <w:marLeft w:val="0"/>
              <w:marRight w:val="0"/>
              <w:marTop w:val="0"/>
              <w:marBottom w:val="0"/>
              <w:divBdr>
                <w:top w:val="none" w:sz="0" w:space="0" w:color="auto"/>
                <w:left w:val="none" w:sz="0" w:space="0" w:color="auto"/>
                <w:bottom w:val="none" w:sz="0" w:space="0" w:color="auto"/>
                <w:right w:val="none" w:sz="0" w:space="0" w:color="auto"/>
              </w:divBdr>
            </w:div>
            <w:div w:id="240795283">
              <w:marLeft w:val="0"/>
              <w:marRight w:val="0"/>
              <w:marTop w:val="0"/>
              <w:marBottom w:val="0"/>
              <w:divBdr>
                <w:top w:val="none" w:sz="0" w:space="0" w:color="auto"/>
                <w:left w:val="none" w:sz="0" w:space="0" w:color="auto"/>
                <w:bottom w:val="none" w:sz="0" w:space="0" w:color="auto"/>
                <w:right w:val="none" w:sz="0" w:space="0" w:color="auto"/>
              </w:divBdr>
            </w:div>
            <w:div w:id="250161916">
              <w:marLeft w:val="0"/>
              <w:marRight w:val="0"/>
              <w:marTop w:val="0"/>
              <w:marBottom w:val="0"/>
              <w:divBdr>
                <w:top w:val="none" w:sz="0" w:space="0" w:color="auto"/>
                <w:left w:val="none" w:sz="0" w:space="0" w:color="auto"/>
                <w:bottom w:val="none" w:sz="0" w:space="0" w:color="auto"/>
                <w:right w:val="none" w:sz="0" w:space="0" w:color="auto"/>
              </w:divBdr>
            </w:div>
            <w:div w:id="261374114">
              <w:marLeft w:val="0"/>
              <w:marRight w:val="0"/>
              <w:marTop w:val="0"/>
              <w:marBottom w:val="0"/>
              <w:divBdr>
                <w:top w:val="none" w:sz="0" w:space="0" w:color="auto"/>
                <w:left w:val="none" w:sz="0" w:space="0" w:color="auto"/>
                <w:bottom w:val="none" w:sz="0" w:space="0" w:color="auto"/>
                <w:right w:val="none" w:sz="0" w:space="0" w:color="auto"/>
              </w:divBdr>
            </w:div>
            <w:div w:id="267465528">
              <w:marLeft w:val="0"/>
              <w:marRight w:val="0"/>
              <w:marTop w:val="0"/>
              <w:marBottom w:val="0"/>
              <w:divBdr>
                <w:top w:val="none" w:sz="0" w:space="0" w:color="auto"/>
                <w:left w:val="none" w:sz="0" w:space="0" w:color="auto"/>
                <w:bottom w:val="none" w:sz="0" w:space="0" w:color="auto"/>
                <w:right w:val="none" w:sz="0" w:space="0" w:color="auto"/>
              </w:divBdr>
            </w:div>
            <w:div w:id="278267697">
              <w:marLeft w:val="0"/>
              <w:marRight w:val="0"/>
              <w:marTop w:val="0"/>
              <w:marBottom w:val="0"/>
              <w:divBdr>
                <w:top w:val="none" w:sz="0" w:space="0" w:color="auto"/>
                <w:left w:val="none" w:sz="0" w:space="0" w:color="auto"/>
                <w:bottom w:val="none" w:sz="0" w:space="0" w:color="auto"/>
                <w:right w:val="none" w:sz="0" w:space="0" w:color="auto"/>
              </w:divBdr>
            </w:div>
            <w:div w:id="279381121">
              <w:marLeft w:val="0"/>
              <w:marRight w:val="0"/>
              <w:marTop w:val="0"/>
              <w:marBottom w:val="0"/>
              <w:divBdr>
                <w:top w:val="none" w:sz="0" w:space="0" w:color="auto"/>
                <w:left w:val="none" w:sz="0" w:space="0" w:color="auto"/>
                <w:bottom w:val="none" w:sz="0" w:space="0" w:color="auto"/>
                <w:right w:val="none" w:sz="0" w:space="0" w:color="auto"/>
              </w:divBdr>
            </w:div>
            <w:div w:id="281229170">
              <w:marLeft w:val="0"/>
              <w:marRight w:val="0"/>
              <w:marTop w:val="0"/>
              <w:marBottom w:val="0"/>
              <w:divBdr>
                <w:top w:val="none" w:sz="0" w:space="0" w:color="auto"/>
                <w:left w:val="none" w:sz="0" w:space="0" w:color="auto"/>
                <w:bottom w:val="none" w:sz="0" w:space="0" w:color="auto"/>
                <w:right w:val="none" w:sz="0" w:space="0" w:color="auto"/>
              </w:divBdr>
            </w:div>
            <w:div w:id="281503324">
              <w:marLeft w:val="0"/>
              <w:marRight w:val="0"/>
              <w:marTop w:val="0"/>
              <w:marBottom w:val="0"/>
              <w:divBdr>
                <w:top w:val="none" w:sz="0" w:space="0" w:color="auto"/>
                <w:left w:val="none" w:sz="0" w:space="0" w:color="auto"/>
                <w:bottom w:val="none" w:sz="0" w:space="0" w:color="auto"/>
                <w:right w:val="none" w:sz="0" w:space="0" w:color="auto"/>
              </w:divBdr>
            </w:div>
            <w:div w:id="288556453">
              <w:marLeft w:val="0"/>
              <w:marRight w:val="0"/>
              <w:marTop w:val="0"/>
              <w:marBottom w:val="0"/>
              <w:divBdr>
                <w:top w:val="none" w:sz="0" w:space="0" w:color="auto"/>
                <w:left w:val="none" w:sz="0" w:space="0" w:color="auto"/>
                <w:bottom w:val="none" w:sz="0" w:space="0" w:color="auto"/>
                <w:right w:val="none" w:sz="0" w:space="0" w:color="auto"/>
              </w:divBdr>
            </w:div>
            <w:div w:id="304361898">
              <w:marLeft w:val="0"/>
              <w:marRight w:val="0"/>
              <w:marTop w:val="0"/>
              <w:marBottom w:val="0"/>
              <w:divBdr>
                <w:top w:val="none" w:sz="0" w:space="0" w:color="auto"/>
                <w:left w:val="none" w:sz="0" w:space="0" w:color="auto"/>
                <w:bottom w:val="none" w:sz="0" w:space="0" w:color="auto"/>
                <w:right w:val="none" w:sz="0" w:space="0" w:color="auto"/>
              </w:divBdr>
            </w:div>
            <w:div w:id="308945893">
              <w:marLeft w:val="0"/>
              <w:marRight w:val="0"/>
              <w:marTop w:val="0"/>
              <w:marBottom w:val="0"/>
              <w:divBdr>
                <w:top w:val="none" w:sz="0" w:space="0" w:color="auto"/>
                <w:left w:val="none" w:sz="0" w:space="0" w:color="auto"/>
                <w:bottom w:val="none" w:sz="0" w:space="0" w:color="auto"/>
                <w:right w:val="none" w:sz="0" w:space="0" w:color="auto"/>
              </w:divBdr>
            </w:div>
            <w:div w:id="318271522">
              <w:marLeft w:val="0"/>
              <w:marRight w:val="0"/>
              <w:marTop w:val="0"/>
              <w:marBottom w:val="0"/>
              <w:divBdr>
                <w:top w:val="none" w:sz="0" w:space="0" w:color="auto"/>
                <w:left w:val="none" w:sz="0" w:space="0" w:color="auto"/>
                <w:bottom w:val="none" w:sz="0" w:space="0" w:color="auto"/>
                <w:right w:val="none" w:sz="0" w:space="0" w:color="auto"/>
              </w:divBdr>
            </w:div>
            <w:div w:id="320356247">
              <w:marLeft w:val="0"/>
              <w:marRight w:val="0"/>
              <w:marTop w:val="0"/>
              <w:marBottom w:val="0"/>
              <w:divBdr>
                <w:top w:val="none" w:sz="0" w:space="0" w:color="auto"/>
                <w:left w:val="none" w:sz="0" w:space="0" w:color="auto"/>
                <w:bottom w:val="none" w:sz="0" w:space="0" w:color="auto"/>
                <w:right w:val="none" w:sz="0" w:space="0" w:color="auto"/>
              </w:divBdr>
            </w:div>
            <w:div w:id="324475407">
              <w:marLeft w:val="0"/>
              <w:marRight w:val="0"/>
              <w:marTop w:val="0"/>
              <w:marBottom w:val="0"/>
              <w:divBdr>
                <w:top w:val="none" w:sz="0" w:space="0" w:color="auto"/>
                <w:left w:val="none" w:sz="0" w:space="0" w:color="auto"/>
                <w:bottom w:val="none" w:sz="0" w:space="0" w:color="auto"/>
                <w:right w:val="none" w:sz="0" w:space="0" w:color="auto"/>
              </w:divBdr>
            </w:div>
            <w:div w:id="326590201">
              <w:marLeft w:val="0"/>
              <w:marRight w:val="0"/>
              <w:marTop w:val="0"/>
              <w:marBottom w:val="0"/>
              <w:divBdr>
                <w:top w:val="none" w:sz="0" w:space="0" w:color="auto"/>
                <w:left w:val="none" w:sz="0" w:space="0" w:color="auto"/>
                <w:bottom w:val="none" w:sz="0" w:space="0" w:color="auto"/>
                <w:right w:val="none" w:sz="0" w:space="0" w:color="auto"/>
              </w:divBdr>
            </w:div>
            <w:div w:id="337658066">
              <w:marLeft w:val="0"/>
              <w:marRight w:val="0"/>
              <w:marTop w:val="0"/>
              <w:marBottom w:val="0"/>
              <w:divBdr>
                <w:top w:val="none" w:sz="0" w:space="0" w:color="auto"/>
                <w:left w:val="none" w:sz="0" w:space="0" w:color="auto"/>
                <w:bottom w:val="none" w:sz="0" w:space="0" w:color="auto"/>
                <w:right w:val="none" w:sz="0" w:space="0" w:color="auto"/>
              </w:divBdr>
            </w:div>
            <w:div w:id="347290721">
              <w:marLeft w:val="0"/>
              <w:marRight w:val="0"/>
              <w:marTop w:val="0"/>
              <w:marBottom w:val="0"/>
              <w:divBdr>
                <w:top w:val="none" w:sz="0" w:space="0" w:color="auto"/>
                <w:left w:val="none" w:sz="0" w:space="0" w:color="auto"/>
                <w:bottom w:val="none" w:sz="0" w:space="0" w:color="auto"/>
                <w:right w:val="none" w:sz="0" w:space="0" w:color="auto"/>
              </w:divBdr>
            </w:div>
            <w:div w:id="352535517">
              <w:marLeft w:val="0"/>
              <w:marRight w:val="0"/>
              <w:marTop w:val="0"/>
              <w:marBottom w:val="0"/>
              <w:divBdr>
                <w:top w:val="none" w:sz="0" w:space="0" w:color="auto"/>
                <w:left w:val="none" w:sz="0" w:space="0" w:color="auto"/>
                <w:bottom w:val="none" w:sz="0" w:space="0" w:color="auto"/>
                <w:right w:val="none" w:sz="0" w:space="0" w:color="auto"/>
              </w:divBdr>
            </w:div>
            <w:div w:id="370879912">
              <w:marLeft w:val="0"/>
              <w:marRight w:val="0"/>
              <w:marTop w:val="0"/>
              <w:marBottom w:val="0"/>
              <w:divBdr>
                <w:top w:val="none" w:sz="0" w:space="0" w:color="auto"/>
                <w:left w:val="none" w:sz="0" w:space="0" w:color="auto"/>
                <w:bottom w:val="none" w:sz="0" w:space="0" w:color="auto"/>
                <w:right w:val="none" w:sz="0" w:space="0" w:color="auto"/>
              </w:divBdr>
            </w:div>
            <w:div w:id="383067771">
              <w:marLeft w:val="0"/>
              <w:marRight w:val="0"/>
              <w:marTop w:val="0"/>
              <w:marBottom w:val="0"/>
              <w:divBdr>
                <w:top w:val="none" w:sz="0" w:space="0" w:color="auto"/>
                <w:left w:val="none" w:sz="0" w:space="0" w:color="auto"/>
                <w:bottom w:val="none" w:sz="0" w:space="0" w:color="auto"/>
                <w:right w:val="none" w:sz="0" w:space="0" w:color="auto"/>
              </w:divBdr>
            </w:div>
            <w:div w:id="383455644">
              <w:marLeft w:val="0"/>
              <w:marRight w:val="0"/>
              <w:marTop w:val="0"/>
              <w:marBottom w:val="0"/>
              <w:divBdr>
                <w:top w:val="none" w:sz="0" w:space="0" w:color="auto"/>
                <w:left w:val="none" w:sz="0" w:space="0" w:color="auto"/>
                <w:bottom w:val="none" w:sz="0" w:space="0" w:color="auto"/>
                <w:right w:val="none" w:sz="0" w:space="0" w:color="auto"/>
              </w:divBdr>
            </w:div>
            <w:div w:id="387917372">
              <w:marLeft w:val="0"/>
              <w:marRight w:val="0"/>
              <w:marTop w:val="0"/>
              <w:marBottom w:val="0"/>
              <w:divBdr>
                <w:top w:val="none" w:sz="0" w:space="0" w:color="auto"/>
                <w:left w:val="none" w:sz="0" w:space="0" w:color="auto"/>
                <w:bottom w:val="none" w:sz="0" w:space="0" w:color="auto"/>
                <w:right w:val="none" w:sz="0" w:space="0" w:color="auto"/>
              </w:divBdr>
            </w:div>
            <w:div w:id="388185554">
              <w:marLeft w:val="0"/>
              <w:marRight w:val="0"/>
              <w:marTop w:val="0"/>
              <w:marBottom w:val="0"/>
              <w:divBdr>
                <w:top w:val="none" w:sz="0" w:space="0" w:color="auto"/>
                <w:left w:val="none" w:sz="0" w:space="0" w:color="auto"/>
                <w:bottom w:val="none" w:sz="0" w:space="0" w:color="auto"/>
                <w:right w:val="none" w:sz="0" w:space="0" w:color="auto"/>
              </w:divBdr>
            </w:div>
            <w:div w:id="389498906">
              <w:marLeft w:val="0"/>
              <w:marRight w:val="0"/>
              <w:marTop w:val="0"/>
              <w:marBottom w:val="0"/>
              <w:divBdr>
                <w:top w:val="none" w:sz="0" w:space="0" w:color="auto"/>
                <w:left w:val="none" w:sz="0" w:space="0" w:color="auto"/>
                <w:bottom w:val="none" w:sz="0" w:space="0" w:color="auto"/>
                <w:right w:val="none" w:sz="0" w:space="0" w:color="auto"/>
              </w:divBdr>
            </w:div>
            <w:div w:id="390202200">
              <w:marLeft w:val="0"/>
              <w:marRight w:val="0"/>
              <w:marTop w:val="0"/>
              <w:marBottom w:val="0"/>
              <w:divBdr>
                <w:top w:val="none" w:sz="0" w:space="0" w:color="auto"/>
                <w:left w:val="none" w:sz="0" w:space="0" w:color="auto"/>
                <w:bottom w:val="none" w:sz="0" w:space="0" w:color="auto"/>
                <w:right w:val="none" w:sz="0" w:space="0" w:color="auto"/>
              </w:divBdr>
            </w:div>
            <w:div w:id="392777475">
              <w:marLeft w:val="0"/>
              <w:marRight w:val="0"/>
              <w:marTop w:val="0"/>
              <w:marBottom w:val="0"/>
              <w:divBdr>
                <w:top w:val="none" w:sz="0" w:space="0" w:color="auto"/>
                <w:left w:val="none" w:sz="0" w:space="0" w:color="auto"/>
                <w:bottom w:val="none" w:sz="0" w:space="0" w:color="auto"/>
                <w:right w:val="none" w:sz="0" w:space="0" w:color="auto"/>
              </w:divBdr>
            </w:div>
            <w:div w:id="394209794">
              <w:marLeft w:val="0"/>
              <w:marRight w:val="0"/>
              <w:marTop w:val="0"/>
              <w:marBottom w:val="0"/>
              <w:divBdr>
                <w:top w:val="none" w:sz="0" w:space="0" w:color="auto"/>
                <w:left w:val="none" w:sz="0" w:space="0" w:color="auto"/>
                <w:bottom w:val="none" w:sz="0" w:space="0" w:color="auto"/>
                <w:right w:val="none" w:sz="0" w:space="0" w:color="auto"/>
              </w:divBdr>
            </w:div>
            <w:div w:id="395013287">
              <w:marLeft w:val="0"/>
              <w:marRight w:val="0"/>
              <w:marTop w:val="0"/>
              <w:marBottom w:val="0"/>
              <w:divBdr>
                <w:top w:val="none" w:sz="0" w:space="0" w:color="auto"/>
                <w:left w:val="none" w:sz="0" w:space="0" w:color="auto"/>
                <w:bottom w:val="none" w:sz="0" w:space="0" w:color="auto"/>
                <w:right w:val="none" w:sz="0" w:space="0" w:color="auto"/>
              </w:divBdr>
            </w:div>
            <w:div w:id="396978160">
              <w:marLeft w:val="0"/>
              <w:marRight w:val="0"/>
              <w:marTop w:val="0"/>
              <w:marBottom w:val="0"/>
              <w:divBdr>
                <w:top w:val="none" w:sz="0" w:space="0" w:color="auto"/>
                <w:left w:val="none" w:sz="0" w:space="0" w:color="auto"/>
                <w:bottom w:val="none" w:sz="0" w:space="0" w:color="auto"/>
                <w:right w:val="none" w:sz="0" w:space="0" w:color="auto"/>
              </w:divBdr>
            </w:div>
            <w:div w:id="402459725">
              <w:marLeft w:val="0"/>
              <w:marRight w:val="0"/>
              <w:marTop w:val="0"/>
              <w:marBottom w:val="0"/>
              <w:divBdr>
                <w:top w:val="none" w:sz="0" w:space="0" w:color="auto"/>
                <w:left w:val="none" w:sz="0" w:space="0" w:color="auto"/>
                <w:bottom w:val="none" w:sz="0" w:space="0" w:color="auto"/>
                <w:right w:val="none" w:sz="0" w:space="0" w:color="auto"/>
              </w:divBdr>
            </w:div>
            <w:div w:id="411246458">
              <w:marLeft w:val="0"/>
              <w:marRight w:val="0"/>
              <w:marTop w:val="0"/>
              <w:marBottom w:val="0"/>
              <w:divBdr>
                <w:top w:val="none" w:sz="0" w:space="0" w:color="auto"/>
                <w:left w:val="none" w:sz="0" w:space="0" w:color="auto"/>
                <w:bottom w:val="none" w:sz="0" w:space="0" w:color="auto"/>
                <w:right w:val="none" w:sz="0" w:space="0" w:color="auto"/>
              </w:divBdr>
            </w:div>
            <w:div w:id="415320121">
              <w:marLeft w:val="0"/>
              <w:marRight w:val="0"/>
              <w:marTop w:val="0"/>
              <w:marBottom w:val="0"/>
              <w:divBdr>
                <w:top w:val="none" w:sz="0" w:space="0" w:color="auto"/>
                <w:left w:val="none" w:sz="0" w:space="0" w:color="auto"/>
                <w:bottom w:val="none" w:sz="0" w:space="0" w:color="auto"/>
                <w:right w:val="none" w:sz="0" w:space="0" w:color="auto"/>
              </w:divBdr>
            </w:div>
            <w:div w:id="427623603">
              <w:marLeft w:val="0"/>
              <w:marRight w:val="0"/>
              <w:marTop w:val="0"/>
              <w:marBottom w:val="0"/>
              <w:divBdr>
                <w:top w:val="none" w:sz="0" w:space="0" w:color="auto"/>
                <w:left w:val="none" w:sz="0" w:space="0" w:color="auto"/>
                <w:bottom w:val="none" w:sz="0" w:space="0" w:color="auto"/>
                <w:right w:val="none" w:sz="0" w:space="0" w:color="auto"/>
              </w:divBdr>
            </w:div>
            <w:div w:id="433670273">
              <w:marLeft w:val="0"/>
              <w:marRight w:val="0"/>
              <w:marTop w:val="0"/>
              <w:marBottom w:val="0"/>
              <w:divBdr>
                <w:top w:val="none" w:sz="0" w:space="0" w:color="auto"/>
                <w:left w:val="none" w:sz="0" w:space="0" w:color="auto"/>
                <w:bottom w:val="none" w:sz="0" w:space="0" w:color="auto"/>
                <w:right w:val="none" w:sz="0" w:space="0" w:color="auto"/>
              </w:divBdr>
            </w:div>
            <w:div w:id="433749567">
              <w:marLeft w:val="0"/>
              <w:marRight w:val="0"/>
              <w:marTop w:val="0"/>
              <w:marBottom w:val="0"/>
              <w:divBdr>
                <w:top w:val="none" w:sz="0" w:space="0" w:color="auto"/>
                <w:left w:val="none" w:sz="0" w:space="0" w:color="auto"/>
                <w:bottom w:val="none" w:sz="0" w:space="0" w:color="auto"/>
                <w:right w:val="none" w:sz="0" w:space="0" w:color="auto"/>
              </w:divBdr>
            </w:div>
            <w:div w:id="434251522">
              <w:marLeft w:val="0"/>
              <w:marRight w:val="0"/>
              <w:marTop w:val="0"/>
              <w:marBottom w:val="0"/>
              <w:divBdr>
                <w:top w:val="none" w:sz="0" w:space="0" w:color="auto"/>
                <w:left w:val="none" w:sz="0" w:space="0" w:color="auto"/>
                <w:bottom w:val="none" w:sz="0" w:space="0" w:color="auto"/>
                <w:right w:val="none" w:sz="0" w:space="0" w:color="auto"/>
              </w:divBdr>
            </w:div>
            <w:div w:id="434398337">
              <w:marLeft w:val="0"/>
              <w:marRight w:val="0"/>
              <w:marTop w:val="0"/>
              <w:marBottom w:val="0"/>
              <w:divBdr>
                <w:top w:val="none" w:sz="0" w:space="0" w:color="auto"/>
                <w:left w:val="none" w:sz="0" w:space="0" w:color="auto"/>
                <w:bottom w:val="none" w:sz="0" w:space="0" w:color="auto"/>
                <w:right w:val="none" w:sz="0" w:space="0" w:color="auto"/>
              </w:divBdr>
            </w:div>
            <w:div w:id="437067883">
              <w:marLeft w:val="0"/>
              <w:marRight w:val="0"/>
              <w:marTop w:val="0"/>
              <w:marBottom w:val="0"/>
              <w:divBdr>
                <w:top w:val="none" w:sz="0" w:space="0" w:color="auto"/>
                <w:left w:val="none" w:sz="0" w:space="0" w:color="auto"/>
                <w:bottom w:val="none" w:sz="0" w:space="0" w:color="auto"/>
                <w:right w:val="none" w:sz="0" w:space="0" w:color="auto"/>
              </w:divBdr>
            </w:div>
            <w:div w:id="440342303">
              <w:marLeft w:val="0"/>
              <w:marRight w:val="0"/>
              <w:marTop w:val="0"/>
              <w:marBottom w:val="0"/>
              <w:divBdr>
                <w:top w:val="none" w:sz="0" w:space="0" w:color="auto"/>
                <w:left w:val="none" w:sz="0" w:space="0" w:color="auto"/>
                <w:bottom w:val="none" w:sz="0" w:space="0" w:color="auto"/>
                <w:right w:val="none" w:sz="0" w:space="0" w:color="auto"/>
              </w:divBdr>
            </w:div>
            <w:div w:id="446580950">
              <w:marLeft w:val="0"/>
              <w:marRight w:val="0"/>
              <w:marTop w:val="0"/>
              <w:marBottom w:val="0"/>
              <w:divBdr>
                <w:top w:val="none" w:sz="0" w:space="0" w:color="auto"/>
                <w:left w:val="none" w:sz="0" w:space="0" w:color="auto"/>
                <w:bottom w:val="none" w:sz="0" w:space="0" w:color="auto"/>
                <w:right w:val="none" w:sz="0" w:space="0" w:color="auto"/>
              </w:divBdr>
            </w:div>
            <w:div w:id="455225493">
              <w:marLeft w:val="0"/>
              <w:marRight w:val="0"/>
              <w:marTop w:val="0"/>
              <w:marBottom w:val="0"/>
              <w:divBdr>
                <w:top w:val="none" w:sz="0" w:space="0" w:color="auto"/>
                <w:left w:val="none" w:sz="0" w:space="0" w:color="auto"/>
                <w:bottom w:val="none" w:sz="0" w:space="0" w:color="auto"/>
                <w:right w:val="none" w:sz="0" w:space="0" w:color="auto"/>
              </w:divBdr>
            </w:div>
            <w:div w:id="458762417">
              <w:marLeft w:val="0"/>
              <w:marRight w:val="0"/>
              <w:marTop w:val="0"/>
              <w:marBottom w:val="0"/>
              <w:divBdr>
                <w:top w:val="none" w:sz="0" w:space="0" w:color="auto"/>
                <w:left w:val="none" w:sz="0" w:space="0" w:color="auto"/>
                <w:bottom w:val="none" w:sz="0" w:space="0" w:color="auto"/>
                <w:right w:val="none" w:sz="0" w:space="0" w:color="auto"/>
              </w:divBdr>
            </w:div>
            <w:div w:id="459997784">
              <w:marLeft w:val="0"/>
              <w:marRight w:val="0"/>
              <w:marTop w:val="0"/>
              <w:marBottom w:val="0"/>
              <w:divBdr>
                <w:top w:val="none" w:sz="0" w:space="0" w:color="auto"/>
                <w:left w:val="none" w:sz="0" w:space="0" w:color="auto"/>
                <w:bottom w:val="none" w:sz="0" w:space="0" w:color="auto"/>
                <w:right w:val="none" w:sz="0" w:space="0" w:color="auto"/>
              </w:divBdr>
            </w:div>
            <w:div w:id="460459749">
              <w:marLeft w:val="0"/>
              <w:marRight w:val="0"/>
              <w:marTop w:val="0"/>
              <w:marBottom w:val="0"/>
              <w:divBdr>
                <w:top w:val="none" w:sz="0" w:space="0" w:color="auto"/>
                <w:left w:val="none" w:sz="0" w:space="0" w:color="auto"/>
                <w:bottom w:val="none" w:sz="0" w:space="0" w:color="auto"/>
                <w:right w:val="none" w:sz="0" w:space="0" w:color="auto"/>
              </w:divBdr>
            </w:div>
            <w:div w:id="465393091">
              <w:marLeft w:val="0"/>
              <w:marRight w:val="0"/>
              <w:marTop w:val="0"/>
              <w:marBottom w:val="0"/>
              <w:divBdr>
                <w:top w:val="none" w:sz="0" w:space="0" w:color="auto"/>
                <w:left w:val="none" w:sz="0" w:space="0" w:color="auto"/>
                <w:bottom w:val="none" w:sz="0" w:space="0" w:color="auto"/>
                <w:right w:val="none" w:sz="0" w:space="0" w:color="auto"/>
              </w:divBdr>
            </w:div>
            <w:div w:id="466707296">
              <w:marLeft w:val="0"/>
              <w:marRight w:val="0"/>
              <w:marTop w:val="0"/>
              <w:marBottom w:val="0"/>
              <w:divBdr>
                <w:top w:val="none" w:sz="0" w:space="0" w:color="auto"/>
                <w:left w:val="none" w:sz="0" w:space="0" w:color="auto"/>
                <w:bottom w:val="none" w:sz="0" w:space="0" w:color="auto"/>
                <w:right w:val="none" w:sz="0" w:space="0" w:color="auto"/>
              </w:divBdr>
            </w:div>
            <w:div w:id="471405659">
              <w:marLeft w:val="0"/>
              <w:marRight w:val="0"/>
              <w:marTop w:val="0"/>
              <w:marBottom w:val="0"/>
              <w:divBdr>
                <w:top w:val="none" w:sz="0" w:space="0" w:color="auto"/>
                <w:left w:val="none" w:sz="0" w:space="0" w:color="auto"/>
                <w:bottom w:val="none" w:sz="0" w:space="0" w:color="auto"/>
                <w:right w:val="none" w:sz="0" w:space="0" w:color="auto"/>
              </w:divBdr>
            </w:div>
            <w:div w:id="491028343">
              <w:marLeft w:val="0"/>
              <w:marRight w:val="0"/>
              <w:marTop w:val="0"/>
              <w:marBottom w:val="0"/>
              <w:divBdr>
                <w:top w:val="none" w:sz="0" w:space="0" w:color="auto"/>
                <w:left w:val="none" w:sz="0" w:space="0" w:color="auto"/>
                <w:bottom w:val="none" w:sz="0" w:space="0" w:color="auto"/>
                <w:right w:val="none" w:sz="0" w:space="0" w:color="auto"/>
              </w:divBdr>
            </w:div>
            <w:div w:id="491528621">
              <w:marLeft w:val="0"/>
              <w:marRight w:val="0"/>
              <w:marTop w:val="0"/>
              <w:marBottom w:val="0"/>
              <w:divBdr>
                <w:top w:val="none" w:sz="0" w:space="0" w:color="auto"/>
                <w:left w:val="none" w:sz="0" w:space="0" w:color="auto"/>
                <w:bottom w:val="none" w:sz="0" w:space="0" w:color="auto"/>
                <w:right w:val="none" w:sz="0" w:space="0" w:color="auto"/>
              </w:divBdr>
            </w:div>
            <w:div w:id="492334121">
              <w:marLeft w:val="0"/>
              <w:marRight w:val="0"/>
              <w:marTop w:val="0"/>
              <w:marBottom w:val="0"/>
              <w:divBdr>
                <w:top w:val="none" w:sz="0" w:space="0" w:color="auto"/>
                <w:left w:val="none" w:sz="0" w:space="0" w:color="auto"/>
                <w:bottom w:val="none" w:sz="0" w:space="0" w:color="auto"/>
                <w:right w:val="none" w:sz="0" w:space="0" w:color="auto"/>
              </w:divBdr>
            </w:div>
            <w:div w:id="493646033">
              <w:marLeft w:val="0"/>
              <w:marRight w:val="0"/>
              <w:marTop w:val="0"/>
              <w:marBottom w:val="0"/>
              <w:divBdr>
                <w:top w:val="none" w:sz="0" w:space="0" w:color="auto"/>
                <w:left w:val="none" w:sz="0" w:space="0" w:color="auto"/>
                <w:bottom w:val="none" w:sz="0" w:space="0" w:color="auto"/>
                <w:right w:val="none" w:sz="0" w:space="0" w:color="auto"/>
              </w:divBdr>
            </w:div>
            <w:div w:id="499737219">
              <w:marLeft w:val="0"/>
              <w:marRight w:val="0"/>
              <w:marTop w:val="0"/>
              <w:marBottom w:val="0"/>
              <w:divBdr>
                <w:top w:val="none" w:sz="0" w:space="0" w:color="auto"/>
                <w:left w:val="none" w:sz="0" w:space="0" w:color="auto"/>
                <w:bottom w:val="none" w:sz="0" w:space="0" w:color="auto"/>
                <w:right w:val="none" w:sz="0" w:space="0" w:color="auto"/>
              </w:divBdr>
            </w:div>
            <w:div w:id="510142881">
              <w:marLeft w:val="0"/>
              <w:marRight w:val="0"/>
              <w:marTop w:val="0"/>
              <w:marBottom w:val="0"/>
              <w:divBdr>
                <w:top w:val="none" w:sz="0" w:space="0" w:color="auto"/>
                <w:left w:val="none" w:sz="0" w:space="0" w:color="auto"/>
                <w:bottom w:val="none" w:sz="0" w:space="0" w:color="auto"/>
                <w:right w:val="none" w:sz="0" w:space="0" w:color="auto"/>
              </w:divBdr>
            </w:div>
            <w:div w:id="532160685">
              <w:marLeft w:val="0"/>
              <w:marRight w:val="0"/>
              <w:marTop w:val="0"/>
              <w:marBottom w:val="0"/>
              <w:divBdr>
                <w:top w:val="none" w:sz="0" w:space="0" w:color="auto"/>
                <w:left w:val="none" w:sz="0" w:space="0" w:color="auto"/>
                <w:bottom w:val="none" w:sz="0" w:space="0" w:color="auto"/>
                <w:right w:val="none" w:sz="0" w:space="0" w:color="auto"/>
              </w:divBdr>
            </w:div>
            <w:div w:id="538666475">
              <w:marLeft w:val="0"/>
              <w:marRight w:val="0"/>
              <w:marTop w:val="0"/>
              <w:marBottom w:val="0"/>
              <w:divBdr>
                <w:top w:val="none" w:sz="0" w:space="0" w:color="auto"/>
                <w:left w:val="none" w:sz="0" w:space="0" w:color="auto"/>
                <w:bottom w:val="none" w:sz="0" w:space="0" w:color="auto"/>
                <w:right w:val="none" w:sz="0" w:space="0" w:color="auto"/>
              </w:divBdr>
            </w:div>
            <w:div w:id="552697680">
              <w:marLeft w:val="0"/>
              <w:marRight w:val="0"/>
              <w:marTop w:val="0"/>
              <w:marBottom w:val="0"/>
              <w:divBdr>
                <w:top w:val="none" w:sz="0" w:space="0" w:color="auto"/>
                <w:left w:val="none" w:sz="0" w:space="0" w:color="auto"/>
                <w:bottom w:val="none" w:sz="0" w:space="0" w:color="auto"/>
                <w:right w:val="none" w:sz="0" w:space="0" w:color="auto"/>
              </w:divBdr>
            </w:div>
            <w:div w:id="554707828">
              <w:marLeft w:val="0"/>
              <w:marRight w:val="0"/>
              <w:marTop w:val="0"/>
              <w:marBottom w:val="0"/>
              <w:divBdr>
                <w:top w:val="none" w:sz="0" w:space="0" w:color="auto"/>
                <w:left w:val="none" w:sz="0" w:space="0" w:color="auto"/>
                <w:bottom w:val="none" w:sz="0" w:space="0" w:color="auto"/>
                <w:right w:val="none" w:sz="0" w:space="0" w:color="auto"/>
              </w:divBdr>
            </w:div>
            <w:div w:id="555164719">
              <w:marLeft w:val="0"/>
              <w:marRight w:val="0"/>
              <w:marTop w:val="0"/>
              <w:marBottom w:val="0"/>
              <w:divBdr>
                <w:top w:val="none" w:sz="0" w:space="0" w:color="auto"/>
                <w:left w:val="none" w:sz="0" w:space="0" w:color="auto"/>
                <w:bottom w:val="none" w:sz="0" w:space="0" w:color="auto"/>
                <w:right w:val="none" w:sz="0" w:space="0" w:color="auto"/>
              </w:divBdr>
            </w:div>
            <w:div w:id="565839040">
              <w:marLeft w:val="0"/>
              <w:marRight w:val="0"/>
              <w:marTop w:val="0"/>
              <w:marBottom w:val="0"/>
              <w:divBdr>
                <w:top w:val="none" w:sz="0" w:space="0" w:color="auto"/>
                <w:left w:val="none" w:sz="0" w:space="0" w:color="auto"/>
                <w:bottom w:val="none" w:sz="0" w:space="0" w:color="auto"/>
                <w:right w:val="none" w:sz="0" w:space="0" w:color="auto"/>
              </w:divBdr>
            </w:div>
            <w:div w:id="571238354">
              <w:marLeft w:val="0"/>
              <w:marRight w:val="0"/>
              <w:marTop w:val="0"/>
              <w:marBottom w:val="0"/>
              <w:divBdr>
                <w:top w:val="none" w:sz="0" w:space="0" w:color="auto"/>
                <w:left w:val="none" w:sz="0" w:space="0" w:color="auto"/>
                <w:bottom w:val="none" w:sz="0" w:space="0" w:color="auto"/>
                <w:right w:val="none" w:sz="0" w:space="0" w:color="auto"/>
              </w:divBdr>
            </w:div>
            <w:div w:id="588469088">
              <w:marLeft w:val="0"/>
              <w:marRight w:val="0"/>
              <w:marTop w:val="0"/>
              <w:marBottom w:val="0"/>
              <w:divBdr>
                <w:top w:val="none" w:sz="0" w:space="0" w:color="auto"/>
                <w:left w:val="none" w:sz="0" w:space="0" w:color="auto"/>
                <w:bottom w:val="none" w:sz="0" w:space="0" w:color="auto"/>
                <w:right w:val="none" w:sz="0" w:space="0" w:color="auto"/>
              </w:divBdr>
            </w:div>
            <w:div w:id="596719864">
              <w:marLeft w:val="0"/>
              <w:marRight w:val="0"/>
              <w:marTop w:val="0"/>
              <w:marBottom w:val="0"/>
              <w:divBdr>
                <w:top w:val="none" w:sz="0" w:space="0" w:color="auto"/>
                <w:left w:val="none" w:sz="0" w:space="0" w:color="auto"/>
                <w:bottom w:val="none" w:sz="0" w:space="0" w:color="auto"/>
                <w:right w:val="none" w:sz="0" w:space="0" w:color="auto"/>
              </w:divBdr>
            </w:div>
            <w:div w:id="601645726">
              <w:marLeft w:val="0"/>
              <w:marRight w:val="0"/>
              <w:marTop w:val="0"/>
              <w:marBottom w:val="0"/>
              <w:divBdr>
                <w:top w:val="none" w:sz="0" w:space="0" w:color="auto"/>
                <w:left w:val="none" w:sz="0" w:space="0" w:color="auto"/>
                <w:bottom w:val="none" w:sz="0" w:space="0" w:color="auto"/>
                <w:right w:val="none" w:sz="0" w:space="0" w:color="auto"/>
              </w:divBdr>
            </w:div>
            <w:div w:id="603465254">
              <w:marLeft w:val="0"/>
              <w:marRight w:val="0"/>
              <w:marTop w:val="0"/>
              <w:marBottom w:val="0"/>
              <w:divBdr>
                <w:top w:val="none" w:sz="0" w:space="0" w:color="auto"/>
                <w:left w:val="none" w:sz="0" w:space="0" w:color="auto"/>
                <w:bottom w:val="none" w:sz="0" w:space="0" w:color="auto"/>
                <w:right w:val="none" w:sz="0" w:space="0" w:color="auto"/>
              </w:divBdr>
            </w:div>
            <w:div w:id="605190688">
              <w:marLeft w:val="0"/>
              <w:marRight w:val="0"/>
              <w:marTop w:val="0"/>
              <w:marBottom w:val="0"/>
              <w:divBdr>
                <w:top w:val="none" w:sz="0" w:space="0" w:color="auto"/>
                <w:left w:val="none" w:sz="0" w:space="0" w:color="auto"/>
                <w:bottom w:val="none" w:sz="0" w:space="0" w:color="auto"/>
                <w:right w:val="none" w:sz="0" w:space="0" w:color="auto"/>
              </w:divBdr>
            </w:div>
            <w:div w:id="611938902">
              <w:marLeft w:val="0"/>
              <w:marRight w:val="0"/>
              <w:marTop w:val="0"/>
              <w:marBottom w:val="0"/>
              <w:divBdr>
                <w:top w:val="none" w:sz="0" w:space="0" w:color="auto"/>
                <w:left w:val="none" w:sz="0" w:space="0" w:color="auto"/>
                <w:bottom w:val="none" w:sz="0" w:space="0" w:color="auto"/>
                <w:right w:val="none" w:sz="0" w:space="0" w:color="auto"/>
              </w:divBdr>
            </w:div>
            <w:div w:id="612709952">
              <w:marLeft w:val="0"/>
              <w:marRight w:val="0"/>
              <w:marTop w:val="0"/>
              <w:marBottom w:val="0"/>
              <w:divBdr>
                <w:top w:val="none" w:sz="0" w:space="0" w:color="auto"/>
                <w:left w:val="none" w:sz="0" w:space="0" w:color="auto"/>
                <w:bottom w:val="none" w:sz="0" w:space="0" w:color="auto"/>
                <w:right w:val="none" w:sz="0" w:space="0" w:color="auto"/>
              </w:divBdr>
            </w:div>
            <w:div w:id="615795509">
              <w:marLeft w:val="0"/>
              <w:marRight w:val="0"/>
              <w:marTop w:val="0"/>
              <w:marBottom w:val="0"/>
              <w:divBdr>
                <w:top w:val="none" w:sz="0" w:space="0" w:color="auto"/>
                <w:left w:val="none" w:sz="0" w:space="0" w:color="auto"/>
                <w:bottom w:val="none" w:sz="0" w:space="0" w:color="auto"/>
                <w:right w:val="none" w:sz="0" w:space="0" w:color="auto"/>
              </w:divBdr>
            </w:div>
            <w:div w:id="624577348">
              <w:marLeft w:val="0"/>
              <w:marRight w:val="0"/>
              <w:marTop w:val="0"/>
              <w:marBottom w:val="0"/>
              <w:divBdr>
                <w:top w:val="none" w:sz="0" w:space="0" w:color="auto"/>
                <w:left w:val="none" w:sz="0" w:space="0" w:color="auto"/>
                <w:bottom w:val="none" w:sz="0" w:space="0" w:color="auto"/>
                <w:right w:val="none" w:sz="0" w:space="0" w:color="auto"/>
              </w:divBdr>
            </w:div>
            <w:div w:id="624892539">
              <w:marLeft w:val="0"/>
              <w:marRight w:val="0"/>
              <w:marTop w:val="0"/>
              <w:marBottom w:val="0"/>
              <w:divBdr>
                <w:top w:val="none" w:sz="0" w:space="0" w:color="auto"/>
                <w:left w:val="none" w:sz="0" w:space="0" w:color="auto"/>
                <w:bottom w:val="none" w:sz="0" w:space="0" w:color="auto"/>
                <w:right w:val="none" w:sz="0" w:space="0" w:color="auto"/>
              </w:divBdr>
            </w:div>
            <w:div w:id="625504945">
              <w:marLeft w:val="0"/>
              <w:marRight w:val="0"/>
              <w:marTop w:val="0"/>
              <w:marBottom w:val="0"/>
              <w:divBdr>
                <w:top w:val="none" w:sz="0" w:space="0" w:color="auto"/>
                <w:left w:val="none" w:sz="0" w:space="0" w:color="auto"/>
                <w:bottom w:val="none" w:sz="0" w:space="0" w:color="auto"/>
                <w:right w:val="none" w:sz="0" w:space="0" w:color="auto"/>
              </w:divBdr>
            </w:div>
            <w:div w:id="632714914">
              <w:marLeft w:val="0"/>
              <w:marRight w:val="0"/>
              <w:marTop w:val="0"/>
              <w:marBottom w:val="0"/>
              <w:divBdr>
                <w:top w:val="none" w:sz="0" w:space="0" w:color="auto"/>
                <w:left w:val="none" w:sz="0" w:space="0" w:color="auto"/>
                <w:bottom w:val="none" w:sz="0" w:space="0" w:color="auto"/>
                <w:right w:val="none" w:sz="0" w:space="0" w:color="auto"/>
              </w:divBdr>
            </w:div>
            <w:div w:id="647633185">
              <w:marLeft w:val="0"/>
              <w:marRight w:val="0"/>
              <w:marTop w:val="0"/>
              <w:marBottom w:val="0"/>
              <w:divBdr>
                <w:top w:val="none" w:sz="0" w:space="0" w:color="auto"/>
                <w:left w:val="none" w:sz="0" w:space="0" w:color="auto"/>
                <w:bottom w:val="none" w:sz="0" w:space="0" w:color="auto"/>
                <w:right w:val="none" w:sz="0" w:space="0" w:color="auto"/>
              </w:divBdr>
            </w:div>
            <w:div w:id="647634408">
              <w:marLeft w:val="0"/>
              <w:marRight w:val="0"/>
              <w:marTop w:val="0"/>
              <w:marBottom w:val="0"/>
              <w:divBdr>
                <w:top w:val="none" w:sz="0" w:space="0" w:color="auto"/>
                <w:left w:val="none" w:sz="0" w:space="0" w:color="auto"/>
                <w:bottom w:val="none" w:sz="0" w:space="0" w:color="auto"/>
                <w:right w:val="none" w:sz="0" w:space="0" w:color="auto"/>
              </w:divBdr>
            </w:div>
            <w:div w:id="652756104">
              <w:marLeft w:val="0"/>
              <w:marRight w:val="0"/>
              <w:marTop w:val="0"/>
              <w:marBottom w:val="0"/>
              <w:divBdr>
                <w:top w:val="none" w:sz="0" w:space="0" w:color="auto"/>
                <w:left w:val="none" w:sz="0" w:space="0" w:color="auto"/>
                <w:bottom w:val="none" w:sz="0" w:space="0" w:color="auto"/>
                <w:right w:val="none" w:sz="0" w:space="0" w:color="auto"/>
              </w:divBdr>
            </w:div>
            <w:div w:id="657392083">
              <w:marLeft w:val="0"/>
              <w:marRight w:val="0"/>
              <w:marTop w:val="0"/>
              <w:marBottom w:val="0"/>
              <w:divBdr>
                <w:top w:val="none" w:sz="0" w:space="0" w:color="auto"/>
                <w:left w:val="none" w:sz="0" w:space="0" w:color="auto"/>
                <w:bottom w:val="none" w:sz="0" w:space="0" w:color="auto"/>
                <w:right w:val="none" w:sz="0" w:space="0" w:color="auto"/>
              </w:divBdr>
            </w:div>
            <w:div w:id="662322089">
              <w:marLeft w:val="0"/>
              <w:marRight w:val="0"/>
              <w:marTop w:val="0"/>
              <w:marBottom w:val="0"/>
              <w:divBdr>
                <w:top w:val="none" w:sz="0" w:space="0" w:color="auto"/>
                <w:left w:val="none" w:sz="0" w:space="0" w:color="auto"/>
                <w:bottom w:val="none" w:sz="0" w:space="0" w:color="auto"/>
                <w:right w:val="none" w:sz="0" w:space="0" w:color="auto"/>
              </w:divBdr>
            </w:div>
            <w:div w:id="662439037">
              <w:marLeft w:val="0"/>
              <w:marRight w:val="0"/>
              <w:marTop w:val="0"/>
              <w:marBottom w:val="0"/>
              <w:divBdr>
                <w:top w:val="none" w:sz="0" w:space="0" w:color="auto"/>
                <w:left w:val="none" w:sz="0" w:space="0" w:color="auto"/>
                <w:bottom w:val="none" w:sz="0" w:space="0" w:color="auto"/>
                <w:right w:val="none" w:sz="0" w:space="0" w:color="auto"/>
              </w:divBdr>
            </w:div>
            <w:div w:id="667905034">
              <w:marLeft w:val="0"/>
              <w:marRight w:val="0"/>
              <w:marTop w:val="0"/>
              <w:marBottom w:val="0"/>
              <w:divBdr>
                <w:top w:val="none" w:sz="0" w:space="0" w:color="auto"/>
                <w:left w:val="none" w:sz="0" w:space="0" w:color="auto"/>
                <w:bottom w:val="none" w:sz="0" w:space="0" w:color="auto"/>
                <w:right w:val="none" w:sz="0" w:space="0" w:color="auto"/>
              </w:divBdr>
            </w:div>
            <w:div w:id="682441750">
              <w:marLeft w:val="0"/>
              <w:marRight w:val="0"/>
              <w:marTop w:val="0"/>
              <w:marBottom w:val="0"/>
              <w:divBdr>
                <w:top w:val="none" w:sz="0" w:space="0" w:color="auto"/>
                <w:left w:val="none" w:sz="0" w:space="0" w:color="auto"/>
                <w:bottom w:val="none" w:sz="0" w:space="0" w:color="auto"/>
                <w:right w:val="none" w:sz="0" w:space="0" w:color="auto"/>
              </w:divBdr>
            </w:div>
            <w:div w:id="682513755">
              <w:marLeft w:val="0"/>
              <w:marRight w:val="0"/>
              <w:marTop w:val="0"/>
              <w:marBottom w:val="0"/>
              <w:divBdr>
                <w:top w:val="none" w:sz="0" w:space="0" w:color="auto"/>
                <w:left w:val="none" w:sz="0" w:space="0" w:color="auto"/>
                <w:bottom w:val="none" w:sz="0" w:space="0" w:color="auto"/>
                <w:right w:val="none" w:sz="0" w:space="0" w:color="auto"/>
              </w:divBdr>
            </w:div>
            <w:div w:id="686098706">
              <w:marLeft w:val="0"/>
              <w:marRight w:val="0"/>
              <w:marTop w:val="0"/>
              <w:marBottom w:val="0"/>
              <w:divBdr>
                <w:top w:val="none" w:sz="0" w:space="0" w:color="auto"/>
                <w:left w:val="none" w:sz="0" w:space="0" w:color="auto"/>
                <w:bottom w:val="none" w:sz="0" w:space="0" w:color="auto"/>
                <w:right w:val="none" w:sz="0" w:space="0" w:color="auto"/>
              </w:divBdr>
            </w:div>
            <w:div w:id="691496527">
              <w:marLeft w:val="0"/>
              <w:marRight w:val="0"/>
              <w:marTop w:val="0"/>
              <w:marBottom w:val="0"/>
              <w:divBdr>
                <w:top w:val="none" w:sz="0" w:space="0" w:color="auto"/>
                <w:left w:val="none" w:sz="0" w:space="0" w:color="auto"/>
                <w:bottom w:val="none" w:sz="0" w:space="0" w:color="auto"/>
                <w:right w:val="none" w:sz="0" w:space="0" w:color="auto"/>
              </w:divBdr>
            </w:div>
            <w:div w:id="693111352">
              <w:marLeft w:val="0"/>
              <w:marRight w:val="0"/>
              <w:marTop w:val="0"/>
              <w:marBottom w:val="0"/>
              <w:divBdr>
                <w:top w:val="none" w:sz="0" w:space="0" w:color="auto"/>
                <w:left w:val="none" w:sz="0" w:space="0" w:color="auto"/>
                <w:bottom w:val="none" w:sz="0" w:space="0" w:color="auto"/>
                <w:right w:val="none" w:sz="0" w:space="0" w:color="auto"/>
              </w:divBdr>
            </w:div>
            <w:div w:id="694430266">
              <w:marLeft w:val="0"/>
              <w:marRight w:val="0"/>
              <w:marTop w:val="0"/>
              <w:marBottom w:val="0"/>
              <w:divBdr>
                <w:top w:val="none" w:sz="0" w:space="0" w:color="auto"/>
                <w:left w:val="none" w:sz="0" w:space="0" w:color="auto"/>
                <w:bottom w:val="none" w:sz="0" w:space="0" w:color="auto"/>
                <w:right w:val="none" w:sz="0" w:space="0" w:color="auto"/>
              </w:divBdr>
            </w:div>
            <w:div w:id="696932180">
              <w:marLeft w:val="0"/>
              <w:marRight w:val="0"/>
              <w:marTop w:val="0"/>
              <w:marBottom w:val="0"/>
              <w:divBdr>
                <w:top w:val="none" w:sz="0" w:space="0" w:color="auto"/>
                <w:left w:val="none" w:sz="0" w:space="0" w:color="auto"/>
                <w:bottom w:val="none" w:sz="0" w:space="0" w:color="auto"/>
                <w:right w:val="none" w:sz="0" w:space="0" w:color="auto"/>
              </w:divBdr>
            </w:div>
            <w:div w:id="697242342">
              <w:marLeft w:val="0"/>
              <w:marRight w:val="0"/>
              <w:marTop w:val="0"/>
              <w:marBottom w:val="0"/>
              <w:divBdr>
                <w:top w:val="none" w:sz="0" w:space="0" w:color="auto"/>
                <w:left w:val="none" w:sz="0" w:space="0" w:color="auto"/>
                <w:bottom w:val="none" w:sz="0" w:space="0" w:color="auto"/>
                <w:right w:val="none" w:sz="0" w:space="0" w:color="auto"/>
              </w:divBdr>
            </w:div>
            <w:div w:id="698702953">
              <w:marLeft w:val="0"/>
              <w:marRight w:val="0"/>
              <w:marTop w:val="0"/>
              <w:marBottom w:val="0"/>
              <w:divBdr>
                <w:top w:val="none" w:sz="0" w:space="0" w:color="auto"/>
                <w:left w:val="none" w:sz="0" w:space="0" w:color="auto"/>
                <w:bottom w:val="none" w:sz="0" w:space="0" w:color="auto"/>
                <w:right w:val="none" w:sz="0" w:space="0" w:color="auto"/>
              </w:divBdr>
            </w:div>
            <w:div w:id="704915379">
              <w:marLeft w:val="0"/>
              <w:marRight w:val="0"/>
              <w:marTop w:val="0"/>
              <w:marBottom w:val="0"/>
              <w:divBdr>
                <w:top w:val="none" w:sz="0" w:space="0" w:color="auto"/>
                <w:left w:val="none" w:sz="0" w:space="0" w:color="auto"/>
                <w:bottom w:val="none" w:sz="0" w:space="0" w:color="auto"/>
                <w:right w:val="none" w:sz="0" w:space="0" w:color="auto"/>
              </w:divBdr>
            </w:div>
            <w:div w:id="705058161">
              <w:marLeft w:val="0"/>
              <w:marRight w:val="0"/>
              <w:marTop w:val="0"/>
              <w:marBottom w:val="0"/>
              <w:divBdr>
                <w:top w:val="none" w:sz="0" w:space="0" w:color="auto"/>
                <w:left w:val="none" w:sz="0" w:space="0" w:color="auto"/>
                <w:bottom w:val="none" w:sz="0" w:space="0" w:color="auto"/>
                <w:right w:val="none" w:sz="0" w:space="0" w:color="auto"/>
              </w:divBdr>
            </w:div>
            <w:div w:id="711072711">
              <w:marLeft w:val="0"/>
              <w:marRight w:val="0"/>
              <w:marTop w:val="0"/>
              <w:marBottom w:val="0"/>
              <w:divBdr>
                <w:top w:val="none" w:sz="0" w:space="0" w:color="auto"/>
                <w:left w:val="none" w:sz="0" w:space="0" w:color="auto"/>
                <w:bottom w:val="none" w:sz="0" w:space="0" w:color="auto"/>
                <w:right w:val="none" w:sz="0" w:space="0" w:color="auto"/>
              </w:divBdr>
            </w:div>
            <w:div w:id="721904337">
              <w:marLeft w:val="0"/>
              <w:marRight w:val="0"/>
              <w:marTop w:val="0"/>
              <w:marBottom w:val="0"/>
              <w:divBdr>
                <w:top w:val="none" w:sz="0" w:space="0" w:color="auto"/>
                <w:left w:val="none" w:sz="0" w:space="0" w:color="auto"/>
                <w:bottom w:val="none" w:sz="0" w:space="0" w:color="auto"/>
                <w:right w:val="none" w:sz="0" w:space="0" w:color="auto"/>
              </w:divBdr>
            </w:div>
            <w:div w:id="723795732">
              <w:marLeft w:val="0"/>
              <w:marRight w:val="0"/>
              <w:marTop w:val="0"/>
              <w:marBottom w:val="0"/>
              <w:divBdr>
                <w:top w:val="none" w:sz="0" w:space="0" w:color="auto"/>
                <w:left w:val="none" w:sz="0" w:space="0" w:color="auto"/>
                <w:bottom w:val="none" w:sz="0" w:space="0" w:color="auto"/>
                <w:right w:val="none" w:sz="0" w:space="0" w:color="auto"/>
              </w:divBdr>
            </w:div>
            <w:div w:id="725183667">
              <w:marLeft w:val="0"/>
              <w:marRight w:val="0"/>
              <w:marTop w:val="0"/>
              <w:marBottom w:val="0"/>
              <w:divBdr>
                <w:top w:val="none" w:sz="0" w:space="0" w:color="auto"/>
                <w:left w:val="none" w:sz="0" w:space="0" w:color="auto"/>
                <w:bottom w:val="none" w:sz="0" w:space="0" w:color="auto"/>
                <w:right w:val="none" w:sz="0" w:space="0" w:color="auto"/>
              </w:divBdr>
            </w:div>
            <w:div w:id="741223680">
              <w:marLeft w:val="0"/>
              <w:marRight w:val="0"/>
              <w:marTop w:val="0"/>
              <w:marBottom w:val="0"/>
              <w:divBdr>
                <w:top w:val="none" w:sz="0" w:space="0" w:color="auto"/>
                <w:left w:val="none" w:sz="0" w:space="0" w:color="auto"/>
                <w:bottom w:val="none" w:sz="0" w:space="0" w:color="auto"/>
                <w:right w:val="none" w:sz="0" w:space="0" w:color="auto"/>
              </w:divBdr>
            </w:div>
            <w:div w:id="750086451">
              <w:marLeft w:val="0"/>
              <w:marRight w:val="0"/>
              <w:marTop w:val="0"/>
              <w:marBottom w:val="0"/>
              <w:divBdr>
                <w:top w:val="none" w:sz="0" w:space="0" w:color="auto"/>
                <w:left w:val="none" w:sz="0" w:space="0" w:color="auto"/>
                <w:bottom w:val="none" w:sz="0" w:space="0" w:color="auto"/>
                <w:right w:val="none" w:sz="0" w:space="0" w:color="auto"/>
              </w:divBdr>
            </w:div>
            <w:div w:id="751582255">
              <w:marLeft w:val="0"/>
              <w:marRight w:val="0"/>
              <w:marTop w:val="0"/>
              <w:marBottom w:val="0"/>
              <w:divBdr>
                <w:top w:val="none" w:sz="0" w:space="0" w:color="auto"/>
                <w:left w:val="none" w:sz="0" w:space="0" w:color="auto"/>
                <w:bottom w:val="none" w:sz="0" w:space="0" w:color="auto"/>
                <w:right w:val="none" w:sz="0" w:space="0" w:color="auto"/>
              </w:divBdr>
            </w:div>
            <w:div w:id="757170138">
              <w:marLeft w:val="0"/>
              <w:marRight w:val="0"/>
              <w:marTop w:val="0"/>
              <w:marBottom w:val="0"/>
              <w:divBdr>
                <w:top w:val="none" w:sz="0" w:space="0" w:color="auto"/>
                <w:left w:val="none" w:sz="0" w:space="0" w:color="auto"/>
                <w:bottom w:val="none" w:sz="0" w:space="0" w:color="auto"/>
                <w:right w:val="none" w:sz="0" w:space="0" w:color="auto"/>
              </w:divBdr>
            </w:div>
            <w:div w:id="762457795">
              <w:marLeft w:val="0"/>
              <w:marRight w:val="0"/>
              <w:marTop w:val="0"/>
              <w:marBottom w:val="0"/>
              <w:divBdr>
                <w:top w:val="none" w:sz="0" w:space="0" w:color="auto"/>
                <w:left w:val="none" w:sz="0" w:space="0" w:color="auto"/>
                <w:bottom w:val="none" w:sz="0" w:space="0" w:color="auto"/>
                <w:right w:val="none" w:sz="0" w:space="0" w:color="auto"/>
              </w:divBdr>
            </w:div>
            <w:div w:id="775100026">
              <w:marLeft w:val="0"/>
              <w:marRight w:val="0"/>
              <w:marTop w:val="0"/>
              <w:marBottom w:val="0"/>
              <w:divBdr>
                <w:top w:val="none" w:sz="0" w:space="0" w:color="auto"/>
                <w:left w:val="none" w:sz="0" w:space="0" w:color="auto"/>
                <w:bottom w:val="none" w:sz="0" w:space="0" w:color="auto"/>
                <w:right w:val="none" w:sz="0" w:space="0" w:color="auto"/>
              </w:divBdr>
            </w:div>
            <w:div w:id="781418014">
              <w:marLeft w:val="0"/>
              <w:marRight w:val="0"/>
              <w:marTop w:val="0"/>
              <w:marBottom w:val="0"/>
              <w:divBdr>
                <w:top w:val="none" w:sz="0" w:space="0" w:color="auto"/>
                <w:left w:val="none" w:sz="0" w:space="0" w:color="auto"/>
                <w:bottom w:val="none" w:sz="0" w:space="0" w:color="auto"/>
                <w:right w:val="none" w:sz="0" w:space="0" w:color="auto"/>
              </w:divBdr>
            </w:div>
            <w:div w:id="784151314">
              <w:marLeft w:val="0"/>
              <w:marRight w:val="0"/>
              <w:marTop w:val="0"/>
              <w:marBottom w:val="0"/>
              <w:divBdr>
                <w:top w:val="none" w:sz="0" w:space="0" w:color="auto"/>
                <w:left w:val="none" w:sz="0" w:space="0" w:color="auto"/>
                <w:bottom w:val="none" w:sz="0" w:space="0" w:color="auto"/>
                <w:right w:val="none" w:sz="0" w:space="0" w:color="auto"/>
              </w:divBdr>
            </w:div>
            <w:div w:id="786198548">
              <w:marLeft w:val="0"/>
              <w:marRight w:val="0"/>
              <w:marTop w:val="0"/>
              <w:marBottom w:val="0"/>
              <w:divBdr>
                <w:top w:val="none" w:sz="0" w:space="0" w:color="auto"/>
                <w:left w:val="none" w:sz="0" w:space="0" w:color="auto"/>
                <w:bottom w:val="none" w:sz="0" w:space="0" w:color="auto"/>
                <w:right w:val="none" w:sz="0" w:space="0" w:color="auto"/>
              </w:divBdr>
            </w:div>
            <w:div w:id="789588795">
              <w:marLeft w:val="0"/>
              <w:marRight w:val="0"/>
              <w:marTop w:val="0"/>
              <w:marBottom w:val="0"/>
              <w:divBdr>
                <w:top w:val="none" w:sz="0" w:space="0" w:color="auto"/>
                <w:left w:val="none" w:sz="0" w:space="0" w:color="auto"/>
                <w:bottom w:val="none" w:sz="0" w:space="0" w:color="auto"/>
                <w:right w:val="none" w:sz="0" w:space="0" w:color="auto"/>
              </w:divBdr>
            </w:div>
            <w:div w:id="792098798">
              <w:marLeft w:val="0"/>
              <w:marRight w:val="0"/>
              <w:marTop w:val="0"/>
              <w:marBottom w:val="0"/>
              <w:divBdr>
                <w:top w:val="none" w:sz="0" w:space="0" w:color="auto"/>
                <w:left w:val="none" w:sz="0" w:space="0" w:color="auto"/>
                <w:bottom w:val="none" w:sz="0" w:space="0" w:color="auto"/>
                <w:right w:val="none" w:sz="0" w:space="0" w:color="auto"/>
              </w:divBdr>
            </w:div>
            <w:div w:id="800617536">
              <w:marLeft w:val="0"/>
              <w:marRight w:val="0"/>
              <w:marTop w:val="0"/>
              <w:marBottom w:val="0"/>
              <w:divBdr>
                <w:top w:val="none" w:sz="0" w:space="0" w:color="auto"/>
                <w:left w:val="none" w:sz="0" w:space="0" w:color="auto"/>
                <w:bottom w:val="none" w:sz="0" w:space="0" w:color="auto"/>
                <w:right w:val="none" w:sz="0" w:space="0" w:color="auto"/>
              </w:divBdr>
            </w:div>
            <w:div w:id="800659719">
              <w:marLeft w:val="0"/>
              <w:marRight w:val="0"/>
              <w:marTop w:val="0"/>
              <w:marBottom w:val="0"/>
              <w:divBdr>
                <w:top w:val="none" w:sz="0" w:space="0" w:color="auto"/>
                <w:left w:val="none" w:sz="0" w:space="0" w:color="auto"/>
                <w:bottom w:val="none" w:sz="0" w:space="0" w:color="auto"/>
                <w:right w:val="none" w:sz="0" w:space="0" w:color="auto"/>
              </w:divBdr>
            </w:div>
            <w:div w:id="809175864">
              <w:marLeft w:val="0"/>
              <w:marRight w:val="0"/>
              <w:marTop w:val="0"/>
              <w:marBottom w:val="0"/>
              <w:divBdr>
                <w:top w:val="none" w:sz="0" w:space="0" w:color="auto"/>
                <w:left w:val="none" w:sz="0" w:space="0" w:color="auto"/>
                <w:bottom w:val="none" w:sz="0" w:space="0" w:color="auto"/>
                <w:right w:val="none" w:sz="0" w:space="0" w:color="auto"/>
              </w:divBdr>
            </w:div>
            <w:div w:id="814640353">
              <w:marLeft w:val="0"/>
              <w:marRight w:val="0"/>
              <w:marTop w:val="0"/>
              <w:marBottom w:val="0"/>
              <w:divBdr>
                <w:top w:val="none" w:sz="0" w:space="0" w:color="auto"/>
                <w:left w:val="none" w:sz="0" w:space="0" w:color="auto"/>
                <w:bottom w:val="none" w:sz="0" w:space="0" w:color="auto"/>
                <w:right w:val="none" w:sz="0" w:space="0" w:color="auto"/>
              </w:divBdr>
            </w:div>
            <w:div w:id="831726207">
              <w:marLeft w:val="0"/>
              <w:marRight w:val="0"/>
              <w:marTop w:val="0"/>
              <w:marBottom w:val="0"/>
              <w:divBdr>
                <w:top w:val="none" w:sz="0" w:space="0" w:color="auto"/>
                <w:left w:val="none" w:sz="0" w:space="0" w:color="auto"/>
                <w:bottom w:val="none" w:sz="0" w:space="0" w:color="auto"/>
                <w:right w:val="none" w:sz="0" w:space="0" w:color="auto"/>
              </w:divBdr>
            </w:div>
            <w:div w:id="844975930">
              <w:marLeft w:val="0"/>
              <w:marRight w:val="0"/>
              <w:marTop w:val="0"/>
              <w:marBottom w:val="0"/>
              <w:divBdr>
                <w:top w:val="none" w:sz="0" w:space="0" w:color="auto"/>
                <w:left w:val="none" w:sz="0" w:space="0" w:color="auto"/>
                <w:bottom w:val="none" w:sz="0" w:space="0" w:color="auto"/>
                <w:right w:val="none" w:sz="0" w:space="0" w:color="auto"/>
              </w:divBdr>
            </w:div>
            <w:div w:id="847058565">
              <w:marLeft w:val="0"/>
              <w:marRight w:val="0"/>
              <w:marTop w:val="0"/>
              <w:marBottom w:val="0"/>
              <w:divBdr>
                <w:top w:val="none" w:sz="0" w:space="0" w:color="auto"/>
                <w:left w:val="none" w:sz="0" w:space="0" w:color="auto"/>
                <w:bottom w:val="none" w:sz="0" w:space="0" w:color="auto"/>
                <w:right w:val="none" w:sz="0" w:space="0" w:color="auto"/>
              </w:divBdr>
            </w:div>
            <w:div w:id="854415813">
              <w:marLeft w:val="0"/>
              <w:marRight w:val="0"/>
              <w:marTop w:val="0"/>
              <w:marBottom w:val="0"/>
              <w:divBdr>
                <w:top w:val="none" w:sz="0" w:space="0" w:color="auto"/>
                <w:left w:val="none" w:sz="0" w:space="0" w:color="auto"/>
                <w:bottom w:val="none" w:sz="0" w:space="0" w:color="auto"/>
                <w:right w:val="none" w:sz="0" w:space="0" w:color="auto"/>
              </w:divBdr>
            </w:div>
            <w:div w:id="863784577">
              <w:marLeft w:val="0"/>
              <w:marRight w:val="0"/>
              <w:marTop w:val="0"/>
              <w:marBottom w:val="0"/>
              <w:divBdr>
                <w:top w:val="none" w:sz="0" w:space="0" w:color="auto"/>
                <w:left w:val="none" w:sz="0" w:space="0" w:color="auto"/>
                <w:bottom w:val="none" w:sz="0" w:space="0" w:color="auto"/>
                <w:right w:val="none" w:sz="0" w:space="0" w:color="auto"/>
              </w:divBdr>
            </w:div>
            <w:div w:id="871302703">
              <w:marLeft w:val="0"/>
              <w:marRight w:val="0"/>
              <w:marTop w:val="0"/>
              <w:marBottom w:val="0"/>
              <w:divBdr>
                <w:top w:val="none" w:sz="0" w:space="0" w:color="auto"/>
                <w:left w:val="none" w:sz="0" w:space="0" w:color="auto"/>
                <w:bottom w:val="none" w:sz="0" w:space="0" w:color="auto"/>
                <w:right w:val="none" w:sz="0" w:space="0" w:color="auto"/>
              </w:divBdr>
            </w:div>
            <w:div w:id="890459755">
              <w:marLeft w:val="0"/>
              <w:marRight w:val="0"/>
              <w:marTop w:val="0"/>
              <w:marBottom w:val="0"/>
              <w:divBdr>
                <w:top w:val="none" w:sz="0" w:space="0" w:color="auto"/>
                <w:left w:val="none" w:sz="0" w:space="0" w:color="auto"/>
                <w:bottom w:val="none" w:sz="0" w:space="0" w:color="auto"/>
                <w:right w:val="none" w:sz="0" w:space="0" w:color="auto"/>
              </w:divBdr>
            </w:div>
            <w:div w:id="894463878">
              <w:marLeft w:val="0"/>
              <w:marRight w:val="0"/>
              <w:marTop w:val="0"/>
              <w:marBottom w:val="0"/>
              <w:divBdr>
                <w:top w:val="none" w:sz="0" w:space="0" w:color="auto"/>
                <w:left w:val="none" w:sz="0" w:space="0" w:color="auto"/>
                <w:bottom w:val="none" w:sz="0" w:space="0" w:color="auto"/>
                <w:right w:val="none" w:sz="0" w:space="0" w:color="auto"/>
              </w:divBdr>
            </w:div>
            <w:div w:id="913972140">
              <w:marLeft w:val="0"/>
              <w:marRight w:val="0"/>
              <w:marTop w:val="0"/>
              <w:marBottom w:val="0"/>
              <w:divBdr>
                <w:top w:val="none" w:sz="0" w:space="0" w:color="auto"/>
                <w:left w:val="none" w:sz="0" w:space="0" w:color="auto"/>
                <w:bottom w:val="none" w:sz="0" w:space="0" w:color="auto"/>
                <w:right w:val="none" w:sz="0" w:space="0" w:color="auto"/>
              </w:divBdr>
            </w:div>
            <w:div w:id="916551153">
              <w:marLeft w:val="0"/>
              <w:marRight w:val="0"/>
              <w:marTop w:val="0"/>
              <w:marBottom w:val="0"/>
              <w:divBdr>
                <w:top w:val="none" w:sz="0" w:space="0" w:color="auto"/>
                <w:left w:val="none" w:sz="0" w:space="0" w:color="auto"/>
                <w:bottom w:val="none" w:sz="0" w:space="0" w:color="auto"/>
                <w:right w:val="none" w:sz="0" w:space="0" w:color="auto"/>
              </w:divBdr>
            </w:div>
            <w:div w:id="921912036">
              <w:marLeft w:val="0"/>
              <w:marRight w:val="0"/>
              <w:marTop w:val="0"/>
              <w:marBottom w:val="0"/>
              <w:divBdr>
                <w:top w:val="none" w:sz="0" w:space="0" w:color="auto"/>
                <w:left w:val="none" w:sz="0" w:space="0" w:color="auto"/>
                <w:bottom w:val="none" w:sz="0" w:space="0" w:color="auto"/>
                <w:right w:val="none" w:sz="0" w:space="0" w:color="auto"/>
              </w:divBdr>
            </w:div>
            <w:div w:id="930773834">
              <w:marLeft w:val="0"/>
              <w:marRight w:val="0"/>
              <w:marTop w:val="0"/>
              <w:marBottom w:val="0"/>
              <w:divBdr>
                <w:top w:val="none" w:sz="0" w:space="0" w:color="auto"/>
                <w:left w:val="none" w:sz="0" w:space="0" w:color="auto"/>
                <w:bottom w:val="none" w:sz="0" w:space="0" w:color="auto"/>
                <w:right w:val="none" w:sz="0" w:space="0" w:color="auto"/>
              </w:divBdr>
            </w:div>
            <w:div w:id="931857968">
              <w:marLeft w:val="0"/>
              <w:marRight w:val="0"/>
              <w:marTop w:val="0"/>
              <w:marBottom w:val="0"/>
              <w:divBdr>
                <w:top w:val="none" w:sz="0" w:space="0" w:color="auto"/>
                <w:left w:val="none" w:sz="0" w:space="0" w:color="auto"/>
                <w:bottom w:val="none" w:sz="0" w:space="0" w:color="auto"/>
                <w:right w:val="none" w:sz="0" w:space="0" w:color="auto"/>
              </w:divBdr>
            </w:div>
            <w:div w:id="943195735">
              <w:marLeft w:val="0"/>
              <w:marRight w:val="0"/>
              <w:marTop w:val="0"/>
              <w:marBottom w:val="0"/>
              <w:divBdr>
                <w:top w:val="none" w:sz="0" w:space="0" w:color="auto"/>
                <w:left w:val="none" w:sz="0" w:space="0" w:color="auto"/>
                <w:bottom w:val="none" w:sz="0" w:space="0" w:color="auto"/>
                <w:right w:val="none" w:sz="0" w:space="0" w:color="auto"/>
              </w:divBdr>
            </w:div>
            <w:div w:id="945507567">
              <w:marLeft w:val="0"/>
              <w:marRight w:val="0"/>
              <w:marTop w:val="0"/>
              <w:marBottom w:val="0"/>
              <w:divBdr>
                <w:top w:val="none" w:sz="0" w:space="0" w:color="auto"/>
                <w:left w:val="none" w:sz="0" w:space="0" w:color="auto"/>
                <w:bottom w:val="none" w:sz="0" w:space="0" w:color="auto"/>
                <w:right w:val="none" w:sz="0" w:space="0" w:color="auto"/>
              </w:divBdr>
            </w:div>
            <w:div w:id="947543888">
              <w:marLeft w:val="0"/>
              <w:marRight w:val="0"/>
              <w:marTop w:val="0"/>
              <w:marBottom w:val="0"/>
              <w:divBdr>
                <w:top w:val="none" w:sz="0" w:space="0" w:color="auto"/>
                <w:left w:val="none" w:sz="0" w:space="0" w:color="auto"/>
                <w:bottom w:val="none" w:sz="0" w:space="0" w:color="auto"/>
                <w:right w:val="none" w:sz="0" w:space="0" w:color="auto"/>
              </w:divBdr>
            </w:div>
            <w:div w:id="956569920">
              <w:marLeft w:val="0"/>
              <w:marRight w:val="0"/>
              <w:marTop w:val="0"/>
              <w:marBottom w:val="0"/>
              <w:divBdr>
                <w:top w:val="none" w:sz="0" w:space="0" w:color="auto"/>
                <w:left w:val="none" w:sz="0" w:space="0" w:color="auto"/>
                <w:bottom w:val="none" w:sz="0" w:space="0" w:color="auto"/>
                <w:right w:val="none" w:sz="0" w:space="0" w:color="auto"/>
              </w:divBdr>
            </w:div>
            <w:div w:id="962882654">
              <w:marLeft w:val="0"/>
              <w:marRight w:val="0"/>
              <w:marTop w:val="0"/>
              <w:marBottom w:val="0"/>
              <w:divBdr>
                <w:top w:val="none" w:sz="0" w:space="0" w:color="auto"/>
                <w:left w:val="none" w:sz="0" w:space="0" w:color="auto"/>
                <w:bottom w:val="none" w:sz="0" w:space="0" w:color="auto"/>
                <w:right w:val="none" w:sz="0" w:space="0" w:color="auto"/>
              </w:divBdr>
            </w:div>
            <w:div w:id="969021673">
              <w:marLeft w:val="0"/>
              <w:marRight w:val="0"/>
              <w:marTop w:val="0"/>
              <w:marBottom w:val="0"/>
              <w:divBdr>
                <w:top w:val="none" w:sz="0" w:space="0" w:color="auto"/>
                <w:left w:val="none" w:sz="0" w:space="0" w:color="auto"/>
                <w:bottom w:val="none" w:sz="0" w:space="0" w:color="auto"/>
                <w:right w:val="none" w:sz="0" w:space="0" w:color="auto"/>
              </w:divBdr>
            </w:div>
            <w:div w:id="977684084">
              <w:marLeft w:val="0"/>
              <w:marRight w:val="0"/>
              <w:marTop w:val="0"/>
              <w:marBottom w:val="0"/>
              <w:divBdr>
                <w:top w:val="none" w:sz="0" w:space="0" w:color="auto"/>
                <w:left w:val="none" w:sz="0" w:space="0" w:color="auto"/>
                <w:bottom w:val="none" w:sz="0" w:space="0" w:color="auto"/>
                <w:right w:val="none" w:sz="0" w:space="0" w:color="auto"/>
              </w:divBdr>
            </w:div>
            <w:div w:id="980620922">
              <w:marLeft w:val="0"/>
              <w:marRight w:val="0"/>
              <w:marTop w:val="0"/>
              <w:marBottom w:val="0"/>
              <w:divBdr>
                <w:top w:val="none" w:sz="0" w:space="0" w:color="auto"/>
                <w:left w:val="none" w:sz="0" w:space="0" w:color="auto"/>
                <w:bottom w:val="none" w:sz="0" w:space="0" w:color="auto"/>
                <w:right w:val="none" w:sz="0" w:space="0" w:color="auto"/>
              </w:divBdr>
            </w:div>
            <w:div w:id="991757370">
              <w:marLeft w:val="0"/>
              <w:marRight w:val="0"/>
              <w:marTop w:val="0"/>
              <w:marBottom w:val="0"/>
              <w:divBdr>
                <w:top w:val="none" w:sz="0" w:space="0" w:color="auto"/>
                <w:left w:val="none" w:sz="0" w:space="0" w:color="auto"/>
                <w:bottom w:val="none" w:sz="0" w:space="0" w:color="auto"/>
                <w:right w:val="none" w:sz="0" w:space="0" w:color="auto"/>
              </w:divBdr>
            </w:div>
            <w:div w:id="1016073960">
              <w:marLeft w:val="0"/>
              <w:marRight w:val="0"/>
              <w:marTop w:val="0"/>
              <w:marBottom w:val="0"/>
              <w:divBdr>
                <w:top w:val="none" w:sz="0" w:space="0" w:color="auto"/>
                <w:left w:val="none" w:sz="0" w:space="0" w:color="auto"/>
                <w:bottom w:val="none" w:sz="0" w:space="0" w:color="auto"/>
                <w:right w:val="none" w:sz="0" w:space="0" w:color="auto"/>
              </w:divBdr>
            </w:div>
            <w:div w:id="1020162504">
              <w:marLeft w:val="0"/>
              <w:marRight w:val="0"/>
              <w:marTop w:val="0"/>
              <w:marBottom w:val="0"/>
              <w:divBdr>
                <w:top w:val="none" w:sz="0" w:space="0" w:color="auto"/>
                <w:left w:val="none" w:sz="0" w:space="0" w:color="auto"/>
                <w:bottom w:val="none" w:sz="0" w:space="0" w:color="auto"/>
                <w:right w:val="none" w:sz="0" w:space="0" w:color="auto"/>
              </w:divBdr>
            </w:div>
            <w:div w:id="1027099820">
              <w:marLeft w:val="0"/>
              <w:marRight w:val="0"/>
              <w:marTop w:val="0"/>
              <w:marBottom w:val="0"/>
              <w:divBdr>
                <w:top w:val="none" w:sz="0" w:space="0" w:color="auto"/>
                <w:left w:val="none" w:sz="0" w:space="0" w:color="auto"/>
                <w:bottom w:val="none" w:sz="0" w:space="0" w:color="auto"/>
                <w:right w:val="none" w:sz="0" w:space="0" w:color="auto"/>
              </w:divBdr>
            </w:div>
            <w:div w:id="1055007062">
              <w:marLeft w:val="0"/>
              <w:marRight w:val="0"/>
              <w:marTop w:val="0"/>
              <w:marBottom w:val="0"/>
              <w:divBdr>
                <w:top w:val="none" w:sz="0" w:space="0" w:color="auto"/>
                <w:left w:val="none" w:sz="0" w:space="0" w:color="auto"/>
                <w:bottom w:val="none" w:sz="0" w:space="0" w:color="auto"/>
                <w:right w:val="none" w:sz="0" w:space="0" w:color="auto"/>
              </w:divBdr>
            </w:div>
            <w:div w:id="1071856451">
              <w:marLeft w:val="0"/>
              <w:marRight w:val="0"/>
              <w:marTop w:val="0"/>
              <w:marBottom w:val="0"/>
              <w:divBdr>
                <w:top w:val="none" w:sz="0" w:space="0" w:color="auto"/>
                <w:left w:val="none" w:sz="0" w:space="0" w:color="auto"/>
                <w:bottom w:val="none" w:sz="0" w:space="0" w:color="auto"/>
                <w:right w:val="none" w:sz="0" w:space="0" w:color="auto"/>
              </w:divBdr>
            </w:div>
            <w:div w:id="1075202769">
              <w:marLeft w:val="0"/>
              <w:marRight w:val="0"/>
              <w:marTop w:val="0"/>
              <w:marBottom w:val="0"/>
              <w:divBdr>
                <w:top w:val="none" w:sz="0" w:space="0" w:color="auto"/>
                <w:left w:val="none" w:sz="0" w:space="0" w:color="auto"/>
                <w:bottom w:val="none" w:sz="0" w:space="0" w:color="auto"/>
                <w:right w:val="none" w:sz="0" w:space="0" w:color="auto"/>
              </w:divBdr>
            </w:div>
            <w:div w:id="1080635443">
              <w:marLeft w:val="0"/>
              <w:marRight w:val="0"/>
              <w:marTop w:val="0"/>
              <w:marBottom w:val="0"/>
              <w:divBdr>
                <w:top w:val="none" w:sz="0" w:space="0" w:color="auto"/>
                <w:left w:val="none" w:sz="0" w:space="0" w:color="auto"/>
                <w:bottom w:val="none" w:sz="0" w:space="0" w:color="auto"/>
                <w:right w:val="none" w:sz="0" w:space="0" w:color="auto"/>
              </w:divBdr>
            </w:div>
            <w:div w:id="1083528864">
              <w:marLeft w:val="0"/>
              <w:marRight w:val="0"/>
              <w:marTop w:val="0"/>
              <w:marBottom w:val="0"/>
              <w:divBdr>
                <w:top w:val="none" w:sz="0" w:space="0" w:color="auto"/>
                <w:left w:val="none" w:sz="0" w:space="0" w:color="auto"/>
                <w:bottom w:val="none" w:sz="0" w:space="0" w:color="auto"/>
                <w:right w:val="none" w:sz="0" w:space="0" w:color="auto"/>
              </w:divBdr>
            </w:div>
            <w:div w:id="1092816343">
              <w:marLeft w:val="0"/>
              <w:marRight w:val="0"/>
              <w:marTop w:val="0"/>
              <w:marBottom w:val="0"/>
              <w:divBdr>
                <w:top w:val="none" w:sz="0" w:space="0" w:color="auto"/>
                <w:left w:val="none" w:sz="0" w:space="0" w:color="auto"/>
                <w:bottom w:val="none" w:sz="0" w:space="0" w:color="auto"/>
                <w:right w:val="none" w:sz="0" w:space="0" w:color="auto"/>
              </w:divBdr>
            </w:div>
            <w:div w:id="1095639548">
              <w:marLeft w:val="0"/>
              <w:marRight w:val="0"/>
              <w:marTop w:val="0"/>
              <w:marBottom w:val="0"/>
              <w:divBdr>
                <w:top w:val="none" w:sz="0" w:space="0" w:color="auto"/>
                <w:left w:val="none" w:sz="0" w:space="0" w:color="auto"/>
                <w:bottom w:val="none" w:sz="0" w:space="0" w:color="auto"/>
                <w:right w:val="none" w:sz="0" w:space="0" w:color="auto"/>
              </w:divBdr>
            </w:div>
            <w:div w:id="1095982085">
              <w:marLeft w:val="0"/>
              <w:marRight w:val="0"/>
              <w:marTop w:val="0"/>
              <w:marBottom w:val="0"/>
              <w:divBdr>
                <w:top w:val="none" w:sz="0" w:space="0" w:color="auto"/>
                <w:left w:val="none" w:sz="0" w:space="0" w:color="auto"/>
                <w:bottom w:val="none" w:sz="0" w:space="0" w:color="auto"/>
                <w:right w:val="none" w:sz="0" w:space="0" w:color="auto"/>
              </w:divBdr>
            </w:div>
            <w:div w:id="1098406239">
              <w:marLeft w:val="0"/>
              <w:marRight w:val="0"/>
              <w:marTop w:val="0"/>
              <w:marBottom w:val="0"/>
              <w:divBdr>
                <w:top w:val="none" w:sz="0" w:space="0" w:color="auto"/>
                <w:left w:val="none" w:sz="0" w:space="0" w:color="auto"/>
                <w:bottom w:val="none" w:sz="0" w:space="0" w:color="auto"/>
                <w:right w:val="none" w:sz="0" w:space="0" w:color="auto"/>
              </w:divBdr>
            </w:div>
            <w:div w:id="1102458629">
              <w:marLeft w:val="0"/>
              <w:marRight w:val="0"/>
              <w:marTop w:val="0"/>
              <w:marBottom w:val="0"/>
              <w:divBdr>
                <w:top w:val="none" w:sz="0" w:space="0" w:color="auto"/>
                <w:left w:val="none" w:sz="0" w:space="0" w:color="auto"/>
                <w:bottom w:val="none" w:sz="0" w:space="0" w:color="auto"/>
                <w:right w:val="none" w:sz="0" w:space="0" w:color="auto"/>
              </w:divBdr>
            </w:div>
            <w:div w:id="1104154946">
              <w:marLeft w:val="0"/>
              <w:marRight w:val="0"/>
              <w:marTop w:val="0"/>
              <w:marBottom w:val="0"/>
              <w:divBdr>
                <w:top w:val="none" w:sz="0" w:space="0" w:color="auto"/>
                <w:left w:val="none" w:sz="0" w:space="0" w:color="auto"/>
                <w:bottom w:val="none" w:sz="0" w:space="0" w:color="auto"/>
                <w:right w:val="none" w:sz="0" w:space="0" w:color="auto"/>
              </w:divBdr>
            </w:div>
            <w:div w:id="1108545939">
              <w:marLeft w:val="0"/>
              <w:marRight w:val="0"/>
              <w:marTop w:val="0"/>
              <w:marBottom w:val="0"/>
              <w:divBdr>
                <w:top w:val="none" w:sz="0" w:space="0" w:color="auto"/>
                <w:left w:val="none" w:sz="0" w:space="0" w:color="auto"/>
                <w:bottom w:val="none" w:sz="0" w:space="0" w:color="auto"/>
                <w:right w:val="none" w:sz="0" w:space="0" w:color="auto"/>
              </w:divBdr>
            </w:div>
            <w:div w:id="1111780845">
              <w:marLeft w:val="0"/>
              <w:marRight w:val="0"/>
              <w:marTop w:val="0"/>
              <w:marBottom w:val="0"/>
              <w:divBdr>
                <w:top w:val="none" w:sz="0" w:space="0" w:color="auto"/>
                <w:left w:val="none" w:sz="0" w:space="0" w:color="auto"/>
                <w:bottom w:val="none" w:sz="0" w:space="0" w:color="auto"/>
                <w:right w:val="none" w:sz="0" w:space="0" w:color="auto"/>
              </w:divBdr>
            </w:div>
            <w:div w:id="1113675008">
              <w:marLeft w:val="0"/>
              <w:marRight w:val="0"/>
              <w:marTop w:val="0"/>
              <w:marBottom w:val="0"/>
              <w:divBdr>
                <w:top w:val="none" w:sz="0" w:space="0" w:color="auto"/>
                <w:left w:val="none" w:sz="0" w:space="0" w:color="auto"/>
                <w:bottom w:val="none" w:sz="0" w:space="0" w:color="auto"/>
                <w:right w:val="none" w:sz="0" w:space="0" w:color="auto"/>
              </w:divBdr>
            </w:div>
            <w:div w:id="1113983545">
              <w:marLeft w:val="0"/>
              <w:marRight w:val="0"/>
              <w:marTop w:val="0"/>
              <w:marBottom w:val="0"/>
              <w:divBdr>
                <w:top w:val="none" w:sz="0" w:space="0" w:color="auto"/>
                <w:left w:val="none" w:sz="0" w:space="0" w:color="auto"/>
                <w:bottom w:val="none" w:sz="0" w:space="0" w:color="auto"/>
                <w:right w:val="none" w:sz="0" w:space="0" w:color="auto"/>
              </w:divBdr>
            </w:div>
            <w:div w:id="1114136699">
              <w:marLeft w:val="0"/>
              <w:marRight w:val="0"/>
              <w:marTop w:val="0"/>
              <w:marBottom w:val="0"/>
              <w:divBdr>
                <w:top w:val="none" w:sz="0" w:space="0" w:color="auto"/>
                <w:left w:val="none" w:sz="0" w:space="0" w:color="auto"/>
                <w:bottom w:val="none" w:sz="0" w:space="0" w:color="auto"/>
                <w:right w:val="none" w:sz="0" w:space="0" w:color="auto"/>
              </w:divBdr>
            </w:div>
            <w:div w:id="1114859275">
              <w:marLeft w:val="0"/>
              <w:marRight w:val="0"/>
              <w:marTop w:val="0"/>
              <w:marBottom w:val="0"/>
              <w:divBdr>
                <w:top w:val="none" w:sz="0" w:space="0" w:color="auto"/>
                <w:left w:val="none" w:sz="0" w:space="0" w:color="auto"/>
                <w:bottom w:val="none" w:sz="0" w:space="0" w:color="auto"/>
                <w:right w:val="none" w:sz="0" w:space="0" w:color="auto"/>
              </w:divBdr>
            </w:div>
            <w:div w:id="1114863744">
              <w:marLeft w:val="0"/>
              <w:marRight w:val="0"/>
              <w:marTop w:val="0"/>
              <w:marBottom w:val="0"/>
              <w:divBdr>
                <w:top w:val="none" w:sz="0" w:space="0" w:color="auto"/>
                <w:left w:val="none" w:sz="0" w:space="0" w:color="auto"/>
                <w:bottom w:val="none" w:sz="0" w:space="0" w:color="auto"/>
                <w:right w:val="none" w:sz="0" w:space="0" w:color="auto"/>
              </w:divBdr>
            </w:div>
            <w:div w:id="1123116330">
              <w:marLeft w:val="0"/>
              <w:marRight w:val="0"/>
              <w:marTop w:val="0"/>
              <w:marBottom w:val="0"/>
              <w:divBdr>
                <w:top w:val="none" w:sz="0" w:space="0" w:color="auto"/>
                <w:left w:val="none" w:sz="0" w:space="0" w:color="auto"/>
                <w:bottom w:val="none" w:sz="0" w:space="0" w:color="auto"/>
                <w:right w:val="none" w:sz="0" w:space="0" w:color="auto"/>
              </w:divBdr>
            </w:div>
            <w:div w:id="1124881699">
              <w:marLeft w:val="0"/>
              <w:marRight w:val="0"/>
              <w:marTop w:val="0"/>
              <w:marBottom w:val="0"/>
              <w:divBdr>
                <w:top w:val="none" w:sz="0" w:space="0" w:color="auto"/>
                <w:left w:val="none" w:sz="0" w:space="0" w:color="auto"/>
                <w:bottom w:val="none" w:sz="0" w:space="0" w:color="auto"/>
                <w:right w:val="none" w:sz="0" w:space="0" w:color="auto"/>
              </w:divBdr>
            </w:div>
            <w:div w:id="1126117102">
              <w:marLeft w:val="0"/>
              <w:marRight w:val="0"/>
              <w:marTop w:val="0"/>
              <w:marBottom w:val="0"/>
              <w:divBdr>
                <w:top w:val="none" w:sz="0" w:space="0" w:color="auto"/>
                <w:left w:val="none" w:sz="0" w:space="0" w:color="auto"/>
                <w:bottom w:val="none" w:sz="0" w:space="0" w:color="auto"/>
                <w:right w:val="none" w:sz="0" w:space="0" w:color="auto"/>
              </w:divBdr>
            </w:div>
            <w:div w:id="1154027569">
              <w:marLeft w:val="0"/>
              <w:marRight w:val="0"/>
              <w:marTop w:val="0"/>
              <w:marBottom w:val="0"/>
              <w:divBdr>
                <w:top w:val="none" w:sz="0" w:space="0" w:color="auto"/>
                <w:left w:val="none" w:sz="0" w:space="0" w:color="auto"/>
                <w:bottom w:val="none" w:sz="0" w:space="0" w:color="auto"/>
                <w:right w:val="none" w:sz="0" w:space="0" w:color="auto"/>
              </w:divBdr>
            </w:div>
            <w:div w:id="1159268066">
              <w:marLeft w:val="0"/>
              <w:marRight w:val="0"/>
              <w:marTop w:val="0"/>
              <w:marBottom w:val="0"/>
              <w:divBdr>
                <w:top w:val="none" w:sz="0" w:space="0" w:color="auto"/>
                <w:left w:val="none" w:sz="0" w:space="0" w:color="auto"/>
                <w:bottom w:val="none" w:sz="0" w:space="0" w:color="auto"/>
                <w:right w:val="none" w:sz="0" w:space="0" w:color="auto"/>
              </w:divBdr>
            </w:div>
            <w:div w:id="1168056275">
              <w:marLeft w:val="0"/>
              <w:marRight w:val="0"/>
              <w:marTop w:val="0"/>
              <w:marBottom w:val="0"/>
              <w:divBdr>
                <w:top w:val="none" w:sz="0" w:space="0" w:color="auto"/>
                <w:left w:val="none" w:sz="0" w:space="0" w:color="auto"/>
                <w:bottom w:val="none" w:sz="0" w:space="0" w:color="auto"/>
                <w:right w:val="none" w:sz="0" w:space="0" w:color="auto"/>
              </w:divBdr>
            </w:div>
            <w:div w:id="1179539671">
              <w:marLeft w:val="0"/>
              <w:marRight w:val="0"/>
              <w:marTop w:val="0"/>
              <w:marBottom w:val="0"/>
              <w:divBdr>
                <w:top w:val="none" w:sz="0" w:space="0" w:color="auto"/>
                <w:left w:val="none" w:sz="0" w:space="0" w:color="auto"/>
                <w:bottom w:val="none" w:sz="0" w:space="0" w:color="auto"/>
                <w:right w:val="none" w:sz="0" w:space="0" w:color="auto"/>
              </w:divBdr>
            </w:div>
            <w:div w:id="1190143782">
              <w:marLeft w:val="0"/>
              <w:marRight w:val="0"/>
              <w:marTop w:val="0"/>
              <w:marBottom w:val="0"/>
              <w:divBdr>
                <w:top w:val="none" w:sz="0" w:space="0" w:color="auto"/>
                <w:left w:val="none" w:sz="0" w:space="0" w:color="auto"/>
                <w:bottom w:val="none" w:sz="0" w:space="0" w:color="auto"/>
                <w:right w:val="none" w:sz="0" w:space="0" w:color="auto"/>
              </w:divBdr>
            </w:div>
            <w:div w:id="1192571622">
              <w:marLeft w:val="0"/>
              <w:marRight w:val="0"/>
              <w:marTop w:val="0"/>
              <w:marBottom w:val="0"/>
              <w:divBdr>
                <w:top w:val="none" w:sz="0" w:space="0" w:color="auto"/>
                <w:left w:val="none" w:sz="0" w:space="0" w:color="auto"/>
                <w:bottom w:val="none" w:sz="0" w:space="0" w:color="auto"/>
                <w:right w:val="none" w:sz="0" w:space="0" w:color="auto"/>
              </w:divBdr>
            </w:div>
            <w:div w:id="1195121775">
              <w:marLeft w:val="0"/>
              <w:marRight w:val="0"/>
              <w:marTop w:val="0"/>
              <w:marBottom w:val="0"/>
              <w:divBdr>
                <w:top w:val="none" w:sz="0" w:space="0" w:color="auto"/>
                <w:left w:val="none" w:sz="0" w:space="0" w:color="auto"/>
                <w:bottom w:val="none" w:sz="0" w:space="0" w:color="auto"/>
                <w:right w:val="none" w:sz="0" w:space="0" w:color="auto"/>
              </w:divBdr>
            </w:div>
            <w:div w:id="1198392900">
              <w:marLeft w:val="0"/>
              <w:marRight w:val="0"/>
              <w:marTop w:val="0"/>
              <w:marBottom w:val="0"/>
              <w:divBdr>
                <w:top w:val="none" w:sz="0" w:space="0" w:color="auto"/>
                <w:left w:val="none" w:sz="0" w:space="0" w:color="auto"/>
                <w:bottom w:val="none" w:sz="0" w:space="0" w:color="auto"/>
                <w:right w:val="none" w:sz="0" w:space="0" w:color="auto"/>
              </w:divBdr>
            </w:div>
            <w:div w:id="1214316863">
              <w:marLeft w:val="0"/>
              <w:marRight w:val="0"/>
              <w:marTop w:val="0"/>
              <w:marBottom w:val="0"/>
              <w:divBdr>
                <w:top w:val="none" w:sz="0" w:space="0" w:color="auto"/>
                <w:left w:val="none" w:sz="0" w:space="0" w:color="auto"/>
                <w:bottom w:val="none" w:sz="0" w:space="0" w:color="auto"/>
                <w:right w:val="none" w:sz="0" w:space="0" w:color="auto"/>
              </w:divBdr>
            </w:div>
            <w:div w:id="1215846230">
              <w:marLeft w:val="0"/>
              <w:marRight w:val="0"/>
              <w:marTop w:val="0"/>
              <w:marBottom w:val="0"/>
              <w:divBdr>
                <w:top w:val="none" w:sz="0" w:space="0" w:color="auto"/>
                <w:left w:val="none" w:sz="0" w:space="0" w:color="auto"/>
                <w:bottom w:val="none" w:sz="0" w:space="0" w:color="auto"/>
                <w:right w:val="none" w:sz="0" w:space="0" w:color="auto"/>
              </w:divBdr>
            </w:div>
            <w:div w:id="1223369214">
              <w:marLeft w:val="0"/>
              <w:marRight w:val="0"/>
              <w:marTop w:val="0"/>
              <w:marBottom w:val="0"/>
              <w:divBdr>
                <w:top w:val="none" w:sz="0" w:space="0" w:color="auto"/>
                <w:left w:val="none" w:sz="0" w:space="0" w:color="auto"/>
                <w:bottom w:val="none" w:sz="0" w:space="0" w:color="auto"/>
                <w:right w:val="none" w:sz="0" w:space="0" w:color="auto"/>
              </w:divBdr>
            </w:div>
            <w:div w:id="1231427726">
              <w:marLeft w:val="0"/>
              <w:marRight w:val="0"/>
              <w:marTop w:val="0"/>
              <w:marBottom w:val="0"/>
              <w:divBdr>
                <w:top w:val="none" w:sz="0" w:space="0" w:color="auto"/>
                <w:left w:val="none" w:sz="0" w:space="0" w:color="auto"/>
                <w:bottom w:val="none" w:sz="0" w:space="0" w:color="auto"/>
                <w:right w:val="none" w:sz="0" w:space="0" w:color="auto"/>
              </w:divBdr>
            </w:div>
            <w:div w:id="1237351655">
              <w:marLeft w:val="0"/>
              <w:marRight w:val="0"/>
              <w:marTop w:val="0"/>
              <w:marBottom w:val="0"/>
              <w:divBdr>
                <w:top w:val="none" w:sz="0" w:space="0" w:color="auto"/>
                <w:left w:val="none" w:sz="0" w:space="0" w:color="auto"/>
                <w:bottom w:val="none" w:sz="0" w:space="0" w:color="auto"/>
                <w:right w:val="none" w:sz="0" w:space="0" w:color="auto"/>
              </w:divBdr>
            </w:div>
            <w:div w:id="1254314703">
              <w:marLeft w:val="0"/>
              <w:marRight w:val="0"/>
              <w:marTop w:val="0"/>
              <w:marBottom w:val="0"/>
              <w:divBdr>
                <w:top w:val="none" w:sz="0" w:space="0" w:color="auto"/>
                <w:left w:val="none" w:sz="0" w:space="0" w:color="auto"/>
                <w:bottom w:val="none" w:sz="0" w:space="0" w:color="auto"/>
                <w:right w:val="none" w:sz="0" w:space="0" w:color="auto"/>
              </w:divBdr>
            </w:div>
            <w:div w:id="1256592651">
              <w:marLeft w:val="0"/>
              <w:marRight w:val="0"/>
              <w:marTop w:val="0"/>
              <w:marBottom w:val="0"/>
              <w:divBdr>
                <w:top w:val="none" w:sz="0" w:space="0" w:color="auto"/>
                <w:left w:val="none" w:sz="0" w:space="0" w:color="auto"/>
                <w:bottom w:val="none" w:sz="0" w:space="0" w:color="auto"/>
                <w:right w:val="none" w:sz="0" w:space="0" w:color="auto"/>
              </w:divBdr>
            </w:div>
            <w:div w:id="1263033132">
              <w:marLeft w:val="0"/>
              <w:marRight w:val="0"/>
              <w:marTop w:val="0"/>
              <w:marBottom w:val="0"/>
              <w:divBdr>
                <w:top w:val="none" w:sz="0" w:space="0" w:color="auto"/>
                <w:left w:val="none" w:sz="0" w:space="0" w:color="auto"/>
                <w:bottom w:val="none" w:sz="0" w:space="0" w:color="auto"/>
                <w:right w:val="none" w:sz="0" w:space="0" w:color="auto"/>
              </w:divBdr>
            </w:div>
            <w:div w:id="1263218322">
              <w:marLeft w:val="0"/>
              <w:marRight w:val="0"/>
              <w:marTop w:val="0"/>
              <w:marBottom w:val="0"/>
              <w:divBdr>
                <w:top w:val="none" w:sz="0" w:space="0" w:color="auto"/>
                <w:left w:val="none" w:sz="0" w:space="0" w:color="auto"/>
                <w:bottom w:val="none" w:sz="0" w:space="0" w:color="auto"/>
                <w:right w:val="none" w:sz="0" w:space="0" w:color="auto"/>
              </w:divBdr>
            </w:div>
            <w:div w:id="1269045877">
              <w:marLeft w:val="0"/>
              <w:marRight w:val="0"/>
              <w:marTop w:val="0"/>
              <w:marBottom w:val="0"/>
              <w:divBdr>
                <w:top w:val="none" w:sz="0" w:space="0" w:color="auto"/>
                <w:left w:val="none" w:sz="0" w:space="0" w:color="auto"/>
                <w:bottom w:val="none" w:sz="0" w:space="0" w:color="auto"/>
                <w:right w:val="none" w:sz="0" w:space="0" w:color="auto"/>
              </w:divBdr>
            </w:div>
            <w:div w:id="1271431060">
              <w:marLeft w:val="0"/>
              <w:marRight w:val="0"/>
              <w:marTop w:val="0"/>
              <w:marBottom w:val="0"/>
              <w:divBdr>
                <w:top w:val="none" w:sz="0" w:space="0" w:color="auto"/>
                <w:left w:val="none" w:sz="0" w:space="0" w:color="auto"/>
                <w:bottom w:val="none" w:sz="0" w:space="0" w:color="auto"/>
                <w:right w:val="none" w:sz="0" w:space="0" w:color="auto"/>
              </w:divBdr>
            </w:div>
            <w:div w:id="1274677482">
              <w:marLeft w:val="0"/>
              <w:marRight w:val="0"/>
              <w:marTop w:val="0"/>
              <w:marBottom w:val="0"/>
              <w:divBdr>
                <w:top w:val="none" w:sz="0" w:space="0" w:color="auto"/>
                <w:left w:val="none" w:sz="0" w:space="0" w:color="auto"/>
                <w:bottom w:val="none" w:sz="0" w:space="0" w:color="auto"/>
                <w:right w:val="none" w:sz="0" w:space="0" w:color="auto"/>
              </w:divBdr>
            </w:div>
            <w:div w:id="1278101540">
              <w:marLeft w:val="0"/>
              <w:marRight w:val="0"/>
              <w:marTop w:val="0"/>
              <w:marBottom w:val="0"/>
              <w:divBdr>
                <w:top w:val="none" w:sz="0" w:space="0" w:color="auto"/>
                <w:left w:val="none" w:sz="0" w:space="0" w:color="auto"/>
                <w:bottom w:val="none" w:sz="0" w:space="0" w:color="auto"/>
                <w:right w:val="none" w:sz="0" w:space="0" w:color="auto"/>
              </w:divBdr>
            </w:div>
            <w:div w:id="1282029363">
              <w:marLeft w:val="0"/>
              <w:marRight w:val="0"/>
              <w:marTop w:val="0"/>
              <w:marBottom w:val="0"/>
              <w:divBdr>
                <w:top w:val="none" w:sz="0" w:space="0" w:color="auto"/>
                <w:left w:val="none" w:sz="0" w:space="0" w:color="auto"/>
                <w:bottom w:val="none" w:sz="0" w:space="0" w:color="auto"/>
                <w:right w:val="none" w:sz="0" w:space="0" w:color="auto"/>
              </w:divBdr>
            </w:div>
            <w:div w:id="1290673482">
              <w:marLeft w:val="0"/>
              <w:marRight w:val="0"/>
              <w:marTop w:val="0"/>
              <w:marBottom w:val="0"/>
              <w:divBdr>
                <w:top w:val="none" w:sz="0" w:space="0" w:color="auto"/>
                <w:left w:val="none" w:sz="0" w:space="0" w:color="auto"/>
                <w:bottom w:val="none" w:sz="0" w:space="0" w:color="auto"/>
                <w:right w:val="none" w:sz="0" w:space="0" w:color="auto"/>
              </w:divBdr>
            </w:div>
            <w:div w:id="1291741392">
              <w:marLeft w:val="0"/>
              <w:marRight w:val="0"/>
              <w:marTop w:val="0"/>
              <w:marBottom w:val="0"/>
              <w:divBdr>
                <w:top w:val="none" w:sz="0" w:space="0" w:color="auto"/>
                <w:left w:val="none" w:sz="0" w:space="0" w:color="auto"/>
                <w:bottom w:val="none" w:sz="0" w:space="0" w:color="auto"/>
                <w:right w:val="none" w:sz="0" w:space="0" w:color="auto"/>
              </w:divBdr>
            </w:div>
            <w:div w:id="1306009829">
              <w:marLeft w:val="0"/>
              <w:marRight w:val="0"/>
              <w:marTop w:val="0"/>
              <w:marBottom w:val="0"/>
              <w:divBdr>
                <w:top w:val="none" w:sz="0" w:space="0" w:color="auto"/>
                <w:left w:val="none" w:sz="0" w:space="0" w:color="auto"/>
                <w:bottom w:val="none" w:sz="0" w:space="0" w:color="auto"/>
                <w:right w:val="none" w:sz="0" w:space="0" w:color="auto"/>
              </w:divBdr>
            </w:div>
            <w:div w:id="1334340455">
              <w:marLeft w:val="0"/>
              <w:marRight w:val="0"/>
              <w:marTop w:val="0"/>
              <w:marBottom w:val="0"/>
              <w:divBdr>
                <w:top w:val="none" w:sz="0" w:space="0" w:color="auto"/>
                <w:left w:val="none" w:sz="0" w:space="0" w:color="auto"/>
                <w:bottom w:val="none" w:sz="0" w:space="0" w:color="auto"/>
                <w:right w:val="none" w:sz="0" w:space="0" w:color="auto"/>
              </w:divBdr>
            </w:div>
            <w:div w:id="1347563183">
              <w:marLeft w:val="0"/>
              <w:marRight w:val="0"/>
              <w:marTop w:val="0"/>
              <w:marBottom w:val="0"/>
              <w:divBdr>
                <w:top w:val="none" w:sz="0" w:space="0" w:color="auto"/>
                <w:left w:val="none" w:sz="0" w:space="0" w:color="auto"/>
                <w:bottom w:val="none" w:sz="0" w:space="0" w:color="auto"/>
                <w:right w:val="none" w:sz="0" w:space="0" w:color="auto"/>
              </w:divBdr>
            </w:div>
            <w:div w:id="1349867450">
              <w:marLeft w:val="0"/>
              <w:marRight w:val="0"/>
              <w:marTop w:val="0"/>
              <w:marBottom w:val="0"/>
              <w:divBdr>
                <w:top w:val="none" w:sz="0" w:space="0" w:color="auto"/>
                <w:left w:val="none" w:sz="0" w:space="0" w:color="auto"/>
                <w:bottom w:val="none" w:sz="0" w:space="0" w:color="auto"/>
                <w:right w:val="none" w:sz="0" w:space="0" w:color="auto"/>
              </w:divBdr>
            </w:div>
            <w:div w:id="1352487319">
              <w:marLeft w:val="0"/>
              <w:marRight w:val="0"/>
              <w:marTop w:val="0"/>
              <w:marBottom w:val="0"/>
              <w:divBdr>
                <w:top w:val="none" w:sz="0" w:space="0" w:color="auto"/>
                <w:left w:val="none" w:sz="0" w:space="0" w:color="auto"/>
                <w:bottom w:val="none" w:sz="0" w:space="0" w:color="auto"/>
                <w:right w:val="none" w:sz="0" w:space="0" w:color="auto"/>
              </w:divBdr>
            </w:div>
            <w:div w:id="1355574354">
              <w:marLeft w:val="0"/>
              <w:marRight w:val="0"/>
              <w:marTop w:val="0"/>
              <w:marBottom w:val="0"/>
              <w:divBdr>
                <w:top w:val="none" w:sz="0" w:space="0" w:color="auto"/>
                <w:left w:val="none" w:sz="0" w:space="0" w:color="auto"/>
                <w:bottom w:val="none" w:sz="0" w:space="0" w:color="auto"/>
                <w:right w:val="none" w:sz="0" w:space="0" w:color="auto"/>
              </w:divBdr>
            </w:div>
            <w:div w:id="1361854761">
              <w:marLeft w:val="0"/>
              <w:marRight w:val="0"/>
              <w:marTop w:val="0"/>
              <w:marBottom w:val="0"/>
              <w:divBdr>
                <w:top w:val="none" w:sz="0" w:space="0" w:color="auto"/>
                <w:left w:val="none" w:sz="0" w:space="0" w:color="auto"/>
                <w:bottom w:val="none" w:sz="0" w:space="0" w:color="auto"/>
                <w:right w:val="none" w:sz="0" w:space="0" w:color="auto"/>
              </w:divBdr>
            </w:div>
            <w:div w:id="1363744017">
              <w:marLeft w:val="0"/>
              <w:marRight w:val="0"/>
              <w:marTop w:val="0"/>
              <w:marBottom w:val="0"/>
              <w:divBdr>
                <w:top w:val="none" w:sz="0" w:space="0" w:color="auto"/>
                <w:left w:val="none" w:sz="0" w:space="0" w:color="auto"/>
                <w:bottom w:val="none" w:sz="0" w:space="0" w:color="auto"/>
                <w:right w:val="none" w:sz="0" w:space="0" w:color="auto"/>
              </w:divBdr>
            </w:div>
            <w:div w:id="1366128617">
              <w:marLeft w:val="0"/>
              <w:marRight w:val="0"/>
              <w:marTop w:val="0"/>
              <w:marBottom w:val="0"/>
              <w:divBdr>
                <w:top w:val="none" w:sz="0" w:space="0" w:color="auto"/>
                <w:left w:val="none" w:sz="0" w:space="0" w:color="auto"/>
                <w:bottom w:val="none" w:sz="0" w:space="0" w:color="auto"/>
                <w:right w:val="none" w:sz="0" w:space="0" w:color="auto"/>
              </w:divBdr>
            </w:div>
            <w:div w:id="1379402198">
              <w:marLeft w:val="0"/>
              <w:marRight w:val="0"/>
              <w:marTop w:val="0"/>
              <w:marBottom w:val="0"/>
              <w:divBdr>
                <w:top w:val="none" w:sz="0" w:space="0" w:color="auto"/>
                <w:left w:val="none" w:sz="0" w:space="0" w:color="auto"/>
                <w:bottom w:val="none" w:sz="0" w:space="0" w:color="auto"/>
                <w:right w:val="none" w:sz="0" w:space="0" w:color="auto"/>
              </w:divBdr>
            </w:div>
            <w:div w:id="1386568007">
              <w:marLeft w:val="0"/>
              <w:marRight w:val="0"/>
              <w:marTop w:val="0"/>
              <w:marBottom w:val="0"/>
              <w:divBdr>
                <w:top w:val="none" w:sz="0" w:space="0" w:color="auto"/>
                <w:left w:val="none" w:sz="0" w:space="0" w:color="auto"/>
                <w:bottom w:val="none" w:sz="0" w:space="0" w:color="auto"/>
                <w:right w:val="none" w:sz="0" w:space="0" w:color="auto"/>
              </w:divBdr>
            </w:div>
            <w:div w:id="1391734771">
              <w:marLeft w:val="0"/>
              <w:marRight w:val="0"/>
              <w:marTop w:val="0"/>
              <w:marBottom w:val="0"/>
              <w:divBdr>
                <w:top w:val="none" w:sz="0" w:space="0" w:color="auto"/>
                <w:left w:val="none" w:sz="0" w:space="0" w:color="auto"/>
                <w:bottom w:val="none" w:sz="0" w:space="0" w:color="auto"/>
                <w:right w:val="none" w:sz="0" w:space="0" w:color="auto"/>
              </w:divBdr>
            </w:div>
            <w:div w:id="1400053218">
              <w:marLeft w:val="0"/>
              <w:marRight w:val="0"/>
              <w:marTop w:val="0"/>
              <w:marBottom w:val="0"/>
              <w:divBdr>
                <w:top w:val="none" w:sz="0" w:space="0" w:color="auto"/>
                <w:left w:val="none" w:sz="0" w:space="0" w:color="auto"/>
                <w:bottom w:val="none" w:sz="0" w:space="0" w:color="auto"/>
                <w:right w:val="none" w:sz="0" w:space="0" w:color="auto"/>
              </w:divBdr>
            </w:div>
            <w:div w:id="1401056448">
              <w:marLeft w:val="0"/>
              <w:marRight w:val="0"/>
              <w:marTop w:val="0"/>
              <w:marBottom w:val="0"/>
              <w:divBdr>
                <w:top w:val="none" w:sz="0" w:space="0" w:color="auto"/>
                <w:left w:val="none" w:sz="0" w:space="0" w:color="auto"/>
                <w:bottom w:val="none" w:sz="0" w:space="0" w:color="auto"/>
                <w:right w:val="none" w:sz="0" w:space="0" w:color="auto"/>
              </w:divBdr>
            </w:div>
            <w:div w:id="1403479298">
              <w:marLeft w:val="0"/>
              <w:marRight w:val="0"/>
              <w:marTop w:val="0"/>
              <w:marBottom w:val="0"/>
              <w:divBdr>
                <w:top w:val="none" w:sz="0" w:space="0" w:color="auto"/>
                <w:left w:val="none" w:sz="0" w:space="0" w:color="auto"/>
                <w:bottom w:val="none" w:sz="0" w:space="0" w:color="auto"/>
                <w:right w:val="none" w:sz="0" w:space="0" w:color="auto"/>
              </w:divBdr>
            </w:div>
            <w:div w:id="1413426197">
              <w:marLeft w:val="0"/>
              <w:marRight w:val="0"/>
              <w:marTop w:val="0"/>
              <w:marBottom w:val="0"/>
              <w:divBdr>
                <w:top w:val="none" w:sz="0" w:space="0" w:color="auto"/>
                <w:left w:val="none" w:sz="0" w:space="0" w:color="auto"/>
                <w:bottom w:val="none" w:sz="0" w:space="0" w:color="auto"/>
                <w:right w:val="none" w:sz="0" w:space="0" w:color="auto"/>
              </w:divBdr>
            </w:div>
            <w:div w:id="1418865101">
              <w:marLeft w:val="0"/>
              <w:marRight w:val="0"/>
              <w:marTop w:val="0"/>
              <w:marBottom w:val="0"/>
              <w:divBdr>
                <w:top w:val="none" w:sz="0" w:space="0" w:color="auto"/>
                <w:left w:val="none" w:sz="0" w:space="0" w:color="auto"/>
                <w:bottom w:val="none" w:sz="0" w:space="0" w:color="auto"/>
                <w:right w:val="none" w:sz="0" w:space="0" w:color="auto"/>
              </w:divBdr>
            </w:div>
            <w:div w:id="1425803235">
              <w:marLeft w:val="0"/>
              <w:marRight w:val="0"/>
              <w:marTop w:val="0"/>
              <w:marBottom w:val="0"/>
              <w:divBdr>
                <w:top w:val="none" w:sz="0" w:space="0" w:color="auto"/>
                <w:left w:val="none" w:sz="0" w:space="0" w:color="auto"/>
                <w:bottom w:val="none" w:sz="0" w:space="0" w:color="auto"/>
                <w:right w:val="none" w:sz="0" w:space="0" w:color="auto"/>
              </w:divBdr>
            </w:div>
            <w:div w:id="1440685908">
              <w:marLeft w:val="0"/>
              <w:marRight w:val="0"/>
              <w:marTop w:val="0"/>
              <w:marBottom w:val="0"/>
              <w:divBdr>
                <w:top w:val="none" w:sz="0" w:space="0" w:color="auto"/>
                <w:left w:val="none" w:sz="0" w:space="0" w:color="auto"/>
                <w:bottom w:val="none" w:sz="0" w:space="0" w:color="auto"/>
                <w:right w:val="none" w:sz="0" w:space="0" w:color="auto"/>
              </w:divBdr>
            </w:div>
            <w:div w:id="1442258653">
              <w:marLeft w:val="0"/>
              <w:marRight w:val="0"/>
              <w:marTop w:val="0"/>
              <w:marBottom w:val="0"/>
              <w:divBdr>
                <w:top w:val="none" w:sz="0" w:space="0" w:color="auto"/>
                <w:left w:val="none" w:sz="0" w:space="0" w:color="auto"/>
                <w:bottom w:val="none" w:sz="0" w:space="0" w:color="auto"/>
                <w:right w:val="none" w:sz="0" w:space="0" w:color="auto"/>
              </w:divBdr>
            </w:div>
            <w:div w:id="1444571045">
              <w:marLeft w:val="0"/>
              <w:marRight w:val="0"/>
              <w:marTop w:val="0"/>
              <w:marBottom w:val="0"/>
              <w:divBdr>
                <w:top w:val="none" w:sz="0" w:space="0" w:color="auto"/>
                <w:left w:val="none" w:sz="0" w:space="0" w:color="auto"/>
                <w:bottom w:val="none" w:sz="0" w:space="0" w:color="auto"/>
                <w:right w:val="none" w:sz="0" w:space="0" w:color="auto"/>
              </w:divBdr>
            </w:div>
            <w:div w:id="1447507300">
              <w:marLeft w:val="0"/>
              <w:marRight w:val="0"/>
              <w:marTop w:val="0"/>
              <w:marBottom w:val="0"/>
              <w:divBdr>
                <w:top w:val="none" w:sz="0" w:space="0" w:color="auto"/>
                <w:left w:val="none" w:sz="0" w:space="0" w:color="auto"/>
                <w:bottom w:val="none" w:sz="0" w:space="0" w:color="auto"/>
                <w:right w:val="none" w:sz="0" w:space="0" w:color="auto"/>
              </w:divBdr>
            </w:div>
            <w:div w:id="1452279901">
              <w:marLeft w:val="0"/>
              <w:marRight w:val="0"/>
              <w:marTop w:val="0"/>
              <w:marBottom w:val="0"/>
              <w:divBdr>
                <w:top w:val="none" w:sz="0" w:space="0" w:color="auto"/>
                <w:left w:val="none" w:sz="0" w:space="0" w:color="auto"/>
                <w:bottom w:val="none" w:sz="0" w:space="0" w:color="auto"/>
                <w:right w:val="none" w:sz="0" w:space="0" w:color="auto"/>
              </w:divBdr>
            </w:div>
            <w:div w:id="1457332350">
              <w:marLeft w:val="0"/>
              <w:marRight w:val="0"/>
              <w:marTop w:val="0"/>
              <w:marBottom w:val="0"/>
              <w:divBdr>
                <w:top w:val="none" w:sz="0" w:space="0" w:color="auto"/>
                <w:left w:val="none" w:sz="0" w:space="0" w:color="auto"/>
                <w:bottom w:val="none" w:sz="0" w:space="0" w:color="auto"/>
                <w:right w:val="none" w:sz="0" w:space="0" w:color="auto"/>
              </w:divBdr>
            </w:div>
            <w:div w:id="1474367807">
              <w:marLeft w:val="0"/>
              <w:marRight w:val="0"/>
              <w:marTop w:val="0"/>
              <w:marBottom w:val="0"/>
              <w:divBdr>
                <w:top w:val="none" w:sz="0" w:space="0" w:color="auto"/>
                <w:left w:val="none" w:sz="0" w:space="0" w:color="auto"/>
                <w:bottom w:val="none" w:sz="0" w:space="0" w:color="auto"/>
                <w:right w:val="none" w:sz="0" w:space="0" w:color="auto"/>
              </w:divBdr>
            </w:div>
            <w:div w:id="1484196965">
              <w:marLeft w:val="0"/>
              <w:marRight w:val="0"/>
              <w:marTop w:val="0"/>
              <w:marBottom w:val="0"/>
              <w:divBdr>
                <w:top w:val="none" w:sz="0" w:space="0" w:color="auto"/>
                <w:left w:val="none" w:sz="0" w:space="0" w:color="auto"/>
                <w:bottom w:val="none" w:sz="0" w:space="0" w:color="auto"/>
                <w:right w:val="none" w:sz="0" w:space="0" w:color="auto"/>
              </w:divBdr>
            </w:div>
            <w:div w:id="1486701012">
              <w:marLeft w:val="0"/>
              <w:marRight w:val="0"/>
              <w:marTop w:val="0"/>
              <w:marBottom w:val="0"/>
              <w:divBdr>
                <w:top w:val="none" w:sz="0" w:space="0" w:color="auto"/>
                <w:left w:val="none" w:sz="0" w:space="0" w:color="auto"/>
                <w:bottom w:val="none" w:sz="0" w:space="0" w:color="auto"/>
                <w:right w:val="none" w:sz="0" w:space="0" w:color="auto"/>
              </w:divBdr>
            </w:div>
            <w:div w:id="1490443638">
              <w:marLeft w:val="0"/>
              <w:marRight w:val="0"/>
              <w:marTop w:val="0"/>
              <w:marBottom w:val="0"/>
              <w:divBdr>
                <w:top w:val="none" w:sz="0" w:space="0" w:color="auto"/>
                <w:left w:val="none" w:sz="0" w:space="0" w:color="auto"/>
                <w:bottom w:val="none" w:sz="0" w:space="0" w:color="auto"/>
                <w:right w:val="none" w:sz="0" w:space="0" w:color="auto"/>
              </w:divBdr>
            </w:div>
            <w:div w:id="1504006201">
              <w:marLeft w:val="0"/>
              <w:marRight w:val="0"/>
              <w:marTop w:val="0"/>
              <w:marBottom w:val="0"/>
              <w:divBdr>
                <w:top w:val="none" w:sz="0" w:space="0" w:color="auto"/>
                <w:left w:val="none" w:sz="0" w:space="0" w:color="auto"/>
                <w:bottom w:val="none" w:sz="0" w:space="0" w:color="auto"/>
                <w:right w:val="none" w:sz="0" w:space="0" w:color="auto"/>
              </w:divBdr>
            </w:div>
            <w:div w:id="1511483350">
              <w:marLeft w:val="0"/>
              <w:marRight w:val="0"/>
              <w:marTop w:val="0"/>
              <w:marBottom w:val="0"/>
              <w:divBdr>
                <w:top w:val="none" w:sz="0" w:space="0" w:color="auto"/>
                <w:left w:val="none" w:sz="0" w:space="0" w:color="auto"/>
                <w:bottom w:val="none" w:sz="0" w:space="0" w:color="auto"/>
                <w:right w:val="none" w:sz="0" w:space="0" w:color="auto"/>
              </w:divBdr>
            </w:div>
            <w:div w:id="1515731702">
              <w:marLeft w:val="0"/>
              <w:marRight w:val="0"/>
              <w:marTop w:val="0"/>
              <w:marBottom w:val="0"/>
              <w:divBdr>
                <w:top w:val="none" w:sz="0" w:space="0" w:color="auto"/>
                <w:left w:val="none" w:sz="0" w:space="0" w:color="auto"/>
                <w:bottom w:val="none" w:sz="0" w:space="0" w:color="auto"/>
                <w:right w:val="none" w:sz="0" w:space="0" w:color="auto"/>
              </w:divBdr>
            </w:div>
            <w:div w:id="1527786791">
              <w:marLeft w:val="0"/>
              <w:marRight w:val="0"/>
              <w:marTop w:val="0"/>
              <w:marBottom w:val="0"/>
              <w:divBdr>
                <w:top w:val="none" w:sz="0" w:space="0" w:color="auto"/>
                <w:left w:val="none" w:sz="0" w:space="0" w:color="auto"/>
                <w:bottom w:val="none" w:sz="0" w:space="0" w:color="auto"/>
                <w:right w:val="none" w:sz="0" w:space="0" w:color="auto"/>
              </w:divBdr>
            </w:div>
            <w:div w:id="1532574982">
              <w:marLeft w:val="0"/>
              <w:marRight w:val="0"/>
              <w:marTop w:val="0"/>
              <w:marBottom w:val="0"/>
              <w:divBdr>
                <w:top w:val="none" w:sz="0" w:space="0" w:color="auto"/>
                <w:left w:val="none" w:sz="0" w:space="0" w:color="auto"/>
                <w:bottom w:val="none" w:sz="0" w:space="0" w:color="auto"/>
                <w:right w:val="none" w:sz="0" w:space="0" w:color="auto"/>
              </w:divBdr>
            </w:div>
            <w:div w:id="1534418734">
              <w:marLeft w:val="0"/>
              <w:marRight w:val="0"/>
              <w:marTop w:val="0"/>
              <w:marBottom w:val="0"/>
              <w:divBdr>
                <w:top w:val="none" w:sz="0" w:space="0" w:color="auto"/>
                <w:left w:val="none" w:sz="0" w:space="0" w:color="auto"/>
                <w:bottom w:val="none" w:sz="0" w:space="0" w:color="auto"/>
                <w:right w:val="none" w:sz="0" w:space="0" w:color="auto"/>
              </w:divBdr>
            </w:div>
            <w:div w:id="1543862833">
              <w:marLeft w:val="0"/>
              <w:marRight w:val="0"/>
              <w:marTop w:val="0"/>
              <w:marBottom w:val="0"/>
              <w:divBdr>
                <w:top w:val="none" w:sz="0" w:space="0" w:color="auto"/>
                <w:left w:val="none" w:sz="0" w:space="0" w:color="auto"/>
                <w:bottom w:val="none" w:sz="0" w:space="0" w:color="auto"/>
                <w:right w:val="none" w:sz="0" w:space="0" w:color="auto"/>
              </w:divBdr>
            </w:div>
            <w:div w:id="1547764556">
              <w:marLeft w:val="0"/>
              <w:marRight w:val="0"/>
              <w:marTop w:val="0"/>
              <w:marBottom w:val="0"/>
              <w:divBdr>
                <w:top w:val="none" w:sz="0" w:space="0" w:color="auto"/>
                <w:left w:val="none" w:sz="0" w:space="0" w:color="auto"/>
                <w:bottom w:val="none" w:sz="0" w:space="0" w:color="auto"/>
                <w:right w:val="none" w:sz="0" w:space="0" w:color="auto"/>
              </w:divBdr>
            </w:div>
            <w:div w:id="1550341682">
              <w:marLeft w:val="0"/>
              <w:marRight w:val="0"/>
              <w:marTop w:val="0"/>
              <w:marBottom w:val="0"/>
              <w:divBdr>
                <w:top w:val="none" w:sz="0" w:space="0" w:color="auto"/>
                <w:left w:val="none" w:sz="0" w:space="0" w:color="auto"/>
                <w:bottom w:val="none" w:sz="0" w:space="0" w:color="auto"/>
                <w:right w:val="none" w:sz="0" w:space="0" w:color="auto"/>
              </w:divBdr>
            </w:div>
            <w:div w:id="1550605752">
              <w:marLeft w:val="0"/>
              <w:marRight w:val="0"/>
              <w:marTop w:val="0"/>
              <w:marBottom w:val="0"/>
              <w:divBdr>
                <w:top w:val="none" w:sz="0" w:space="0" w:color="auto"/>
                <w:left w:val="none" w:sz="0" w:space="0" w:color="auto"/>
                <w:bottom w:val="none" w:sz="0" w:space="0" w:color="auto"/>
                <w:right w:val="none" w:sz="0" w:space="0" w:color="auto"/>
              </w:divBdr>
            </w:div>
            <w:div w:id="1552501567">
              <w:marLeft w:val="0"/>
              <w:marRight w:val="0"/>
              <w:marTop w:val="0"/>
              <w:marBottom w:val="0"/>
              <w:divBdr>
                <w:top w:val="none" w:sz="0" w:space="0" w:color="auto"/>
                <w:left w:val="none" w:sz="0" w:space="0" w:color="auto"/>
                <w:bottom w:val="none" w:sz="0" w:space="0" w:color="auto"/>
                <w:right w:val="none" w:sz="0" w:space="0" w:color="auto"/>
              </w:divBdr>
            </w:div>
            <w:div w:id="1558467132">
              <w:marLeft w:val="0"/>
              <w:marRight w:val="0"/>
              <w:marTop w:val="0"/>
              <w:marBottom w:val="0"/>
              <w:divBdr>
                <w:top w:val="none" w:sz="0" w:space="0" w:color="auto"/>
                <w:left w:val="none" w:sz="0" w:space="0" w:color="auto"/>
                <w:bottom w:val="none" w:sz="0" w:space="0" w:color="auto"/>
                <w:right w:val="none" w:sz="0" w:space="0" w:color="auto"/>
              </w:divBdr>
            </w:div>
            <w:div w:id="1561745050">
              <w:marLeft w:val="0"/>
              <w:marRight w:val="0"/>
              <w:marTop w:val="0"/>
              <w:marBottom w:val="0"/>
              <w:divBdr>
                <w:top w:val="none" w:sz="0" w:space="0" w:color="auto"/>
                <w:left w:val="none" w:sz="0" w:space="0" w:color="auto"/>
                <w:bottom w:val="none" w:sz="0" w:space="0" w:color="auto"/>
                <w:right w:val="none" w:sz="0" w:space="0" w:color="auto"/>
              </w:divBdr>
            </w:div>
            <w:div w:id="1562209428">
              <w:marLeft w:val="0"/>
              <w:marRight w:val="0"/>
              <w:marTop w:val="0"/>
              <w:marBottom w:val="0"/>
              <w:divBdr>
                <w:top w:val="none" w:sz="0" w:space="0" w:color="auto"/>
                <w:left w:val="none" w:sz="0" w:space="0" w:color="auto"/>
                <w:bottom w:val="none" w:sz="0" w:space="0" w:color="auto"/>
                <w:right w:val="none" w:sz="0" w:space="0" w:color="auto"/>
              </w:divBdr>
            </w:div>
            <w:div w:id="1565722096">
              <w:marLeft w:val="0"/>
              <w:marRight w:val="0"/>
              <w:marTop w:val="0"/>
              <w:marBottom w:val="0"/>
              <w:divBdr>
                <w:top w:val="none" w:sz="0" w:space="0" w:color="auto"/>
                <w:left w:val="none" w:sz="0" w:space="0" w:color="auto"/>
                <w:bottom w:val="none" w:sz="0" w:space="0" w:color="auto"/>
                <w:right w:val="none" w:sz="0" w:space="0" w:color="auto"/>
              </w:divBdr>
            </w:div>
            <w:div w:id="1570656317">
              <w:marLeft w:val="0"/>
              <w:marRight w:val="0"/>
              <w:marTop w:val="0"/>
              <w:marBottom w:val="0"/>
              <w:divBdr>
                <w:top w:val="none" w:sz="0" w:space="0" w:color="auto"/>
                <w:left w:val="none" w:sz="0" w:space="0" w:color="auto"/>
                <w:bottom w:val="none" w:sz="0" w:space="0" w:color="auto"/>
                <w:right w:val="none" w:sz="0" w:space="0" w:color="auto"/>
              </w:divBdr>
            </w:div>
            <w:div w:id="1571117581">
              <w:marLeft w:val="0"/>
              <w:marRight w:val="0"/>
              <w:marTop w:val="0"/>
              <w:marBottom w:val="0"/>
              <w:divBdr>
                <w:top w:val="none" w:sz="0" w:space="0" w:color="auto"/>
                <w:left w:val="none" w:sz="0" w:space="0" w:color="auto"/>
                <w:bottom w:val="none" w:sz="0" w:space="0" w:color="auto"/>
                <w:right w:val="none" w:sz="0" w:space="0" w:color="auto"/>
              </w:divBdr>
            </w:div>
            <w:div w:id="1573852944">
              <w:marLeft w:val="0"/>
              <w:marRight w:val="0"/>
              <w:marTop w:val="0"/>
              <w:marBottom w:val="0"/>
              <w:divBdr>
                <w:top w:val="none" w:sz="0" w:space="0" w:color="auto"/>
                <w:left w:val="none" w:sz="0" w:space="0" w:color="auto"/>
                <w:bottom w:val="none" w:sz="0" w:space="0" w:color="auto"/>
                <w:right w:val="none" w:sz="0" w:space="0" w:color="auto"/>
              </w:divBdr>
            </w:div>
            <w:div w:id="1576163707">
              <w:marLeft w:val="0"/>
              <w:marRight w:val="0"/>
              <w:marTop w:val="0"/>
              <w:marBottom w:val="0"/>
              <w:divBdr>
                <w:top w:val="none" w:sz="0" w:space="0" w:color="auto"/>
                <w:left w:val="none" w:sz="0" w:space="0" w:color="auto"/>
                <w:bottom w:val="none" w:sz="0" w:space="0" w:color="auto"/>
                <w:right w:val="none" w:sz="0" w:space="0" w:color="auto"/>
              </w:divBdr>
            </w:div>
            <w:div w:id="1578510770">
              <w:marLeft w:val="0"/>
              <w:marRight w:val="0"/>
              <w:marTop w:val="0"/>
              <w:marBottom w:val="0"/>
              <w:divBdr>
                <w:top w:val="none" w:sz="0" w:space="0" w:color="auto"/>
                <w:left w:val="none" w:sz="0" w:space="0" w:color="auto"/>
                <w:bottom w:val="none" w:sz="0" w:space="0" w:color="auto"/>
                <w:right w:val="none" w:sz="0" w:space="0" w:color="auto"/>
              </w:divBdr>
            </w:div>
            <w:div w:id="1582984845">
              <w:marLeft w:val="0"/>
              <w:marRight w:val="0"/>
              <w:marTop w:val="0"/>
              <w:marBottom w:val="0"/>
              <w:divBdr>
                <w:top w:val="none" w:sz="0" w:space="0" w:color="auto"/>
                <w:left w:val="none" w:sz="0" w:space="0" w:color="auto"/>
                <w:bottom w:val="none" w:sz="0" w:space="0" w:color="auto"/>
                <w:right w:val="none" w:sz="0" w:space="0" w:color="auto"/>
              </w:divBdr>
            </w:div>
            <w:div w:id="1584221569">
              <w:marLeft w:val="0"/>
              <w:marRight w:val="0"/>
              <w:marTop w:val="0"/>
              <w:marBottom w:val="0"/>
              <w:divBdr>
                <w:top w:val="none" w:sz="0" w:space="0" w:color="auto"/>
                <w:left w:val="none" w:sz="0" w:space="0" w:color="auto"/>
                <w:bottom w:val="none" w:sz="0" w:space="0" w:color="auto"/>
                <w:right w:val="none" w:sz="0" w:space="0" w:color="auto"/>
              </w:divBdr>
            </w:div>
            <w:div w:id="1584684909">
              <w:marLeft w:val="0"/>
              <w:marRight w:val="0"/>
              <w:marTop w:val="0"/>
              <w:marBottom w:val="0"/>
              <w:divBdr>
                <w:top w:val="none" w:sz="0" w:space="0" w:color="auto"/>
                <w:left w:val="none" w:sz="0" w:space="0" w:color="auto"/>
                <w:bottom w:val="none" w:sz="0" w:space="0" w:color="auto"/>
                <w:right w:val="none" w:sz="0" w:space="0" w:color="auto"/>
              </w:divBdr>
            </w:div>
            <w:div w:id="1591307179">
              <w:marLeft w:val="0"/>
              <w:marRight w:val="0"/>
              <w:marTop w:val="0"/>
              <w:marBottom w:val="0"/>
              <w:divBdr>
                <w:top w:val="none" w:sz="0" w:space="0" w:color="auto"/>
                <w:left w:val="none" w:sz="0" w:space="0" w:color="auto"/>
                <w:bottom w:val="none" w:sz="0" w:space="0" w:color="auto"/>
                <w:right w:val="none" w:sz="0" w:space="0" w:color="auto"/>
              </w:divBdr>
            </w:div>
            <w:div w:id="1595088635">
              <w:marLeft w:val="0"/>
              <w:marRight w:val="0"/>
              <w:marTop w:val="0"/>
              <w:marBottom w:val="0"/>
              <w:divBdr>
                <w:top w:val="none" w:sz="0" w:space="0" w:color="auto"/>
                <w:left w:val="none" w:sz="0" w:space="0" w:color="auto"/>
                <w:bottom w:val="none" w:sz="0" w:space="0" w:color="auto"/>
                <w:right w:val="none" w:sz="0" w:space="0" w:color="auto"/>
              </w:divBdr>
            </w:div>
            <w:div w:id="1596011149">
              <w:marLeft w:val="0"/>
              <w:marRight w:val="0"/>
              <w:marTop w:val="0"/>
              <w:marBottom w:val="0"/>
              <w:divBdr>
                <w:top w:val="none" w:sz="0" w:space="0" w:color="auto"/>
                <w:left w:val="none" w:sz="0" w:space="0" w:color="auto"/>
                <w:bottom w:val="none" w:sz="0" w:space="0" w:color="auto"/>
                <w:right w:val="none" w:sz="0" w:space="0" w:color="auto"/>
              </w:divBdr>
            </w:div>
            <w:div w:id="1599292476">
              <w:marLeft w:val="0"/>
              <w:marRight w:val="0"/>
              <w:marTop w:val="0"/>
              <w:marBottom w:val="0"/>
              <w:divBdr>
                <w:top w:val="none" w:sz="0" w:space="0" w:color="auto"/>
                <w:left w:val="none" w:sz="0" w:space="0" w:color="auto"/>
                <w:bottom w:val="none" w:sz="0" w:space="0" w:color="auto"/>
                <w:right w:val="none" w:sz="0" w:space="0" w:color="auto"/>
              </w:divBdr>
            </w:div>
            <w:div w:id="1602839575">
              <w:marLeft w:val="0"/>
              <w:marRight w:val="0"/>
              <w:marTop w:val="0"/>
              <w:marBottom w:val="0"/>
              <w:divBdr>
                <w:top w:val="none" w:sz="0" w:space="0" w:color="auto"/>
                <w:left w:val="none" w:sz="0" w:space="0" w:color="auto"/>
                <w:bottom w:val="none" w:sz="0" w:space="0" w:color="auto"/>
                <w:right w:val="none" w:sz="0" w:space="0" w:color="auto"/>
              </w:divBdr>
            </w:div>
            <w:div w:id="1614166796">
              <w:marLeft w:val="0"/>
              <w:marRight w:val="0"/>
              <w:marTop w:val="0"/>
              <w:marBottom w:val="0"/>
              <w:divBdr>
                <w:top w:val="none" w:sz="0" w:space="0" w:color="auto"/>
                <w:left w:val="none" w:sz="0" w:space="0" w:color="auto"/>
                <w:bottom w:val="none" w:sz="0" w:space="0" w:color="auto"/>
                <w:right w:val="none" w:sz="0" w:space="0" w:color="auto"/>
              </w:divBdr>
            </w:div>
            <w:div w:id="1631092376">
              <w:marLeft w:val="0"/>
              <w:marRight w:val="0"/>
              <w:marTop w:val="0"/>
              <w:marBottom w:val="0"/>
              <w:divBdr>
                <w:top w:val="none" w:sz="0" w:space="0" w:color="auto"/>
                <w:left w:val="none" w:sz="0" w:space="0" w:color="auto"/>
                <w:bottom w:val="none" w:sz="0" w:space="0" w:color="auto"/>
                <w:right w:val="none" w:sz="0" w:space="0" w:color="auto"/>
              </w:divBdr>
            </w:div>
            <w:div w:id="1635019810">
              <w:marLeft w:val="0"/>
              <w:marRight w:val="0"/>
              <w:marTop w:val="0"/>
              <w:marBottom w:val="0"/>
              <w:divBdr>
                <w:top w:val="none" w:sz="0" w:space="0" w:color="auto"/>
                <w:left w:val="none" w:sz="0" w:space="0" w:color="auto"/>
                <w:bottom w:val="none" w:sz="0" w:space="0" w:color="auto"/>
                <w:right w:val="none" w:sz="0" w:space="0" w:color="auto"/>
              </w:divBdr>
            </w:div>
            <w:div w:id="1635940307">
              <w:marLeft w:val="0"/>
              <w:marRight w:val="0"/>
              <w:marTop w:val="0"/>
              <w:marBottom w:val="0"/>
              <w:divBdr>
                <w:top w:val="none" w:sz="0" w:space="0" w:color="auto"/>
                <w:left w:val="none" w:sz="0" w:space="0" w:color="auto"/>
                <w:bottom w:val="none" w:sz="0" w:space="0" w:color="auto"/>
                <w:right w:val="none" w:sz="0" w:space="0" w:color="auto"/>
              </w:divBdr>
            </w:div>
            <w:div w:id="1643191478">
              <w:marLeft w:val="0"/>
              <w:marRight w:val="0"/>
              <w:marTop w:val="0"/>
              <w:marBottom w:val="0"/>
              <w:divBdr>
                <w:top w:val="none" w:sz="0" w:space="0" w:color="auto"/>
                <w:left w:val="none" w:sz="0" w:space="0" w:color="auto"/>
                <w:bottom w:val="none" w:sz="0" w:space="0" w:color="auto"/>
                <w:right w:val="none" w:sz="0" w:space="0" w:color="auto"/>
              </w:divBdr>
            </w:div>
            <w:div w:id="1657222763">
              <w:marLeft w:val="0"/>
              <w:marRight w:val="0"/>
              <w:marTop w:val="0"/>
              <w:marBottom w:val="0"/>
              <w:divBdr>
                <w:top w:val="none" w:sz="0" w:space="0" w:color="auto"/>
                <w:left w:val="none" w:sz="0" w:space="0" w:color="auto"/>
                <w:bottom w:val="none" w:sz="0" w:space="0" w:color="auto"/>
                <w:right w:val="none" w:sz="0" w:space="0" w:color="auto"/>
              </w:divBdr>
            </w:div>
            <w:div w:id="1659266799">
              <w:marLeft w:val="0"/>
              <w:marRight w:val="0"/>
              <w:marTop w:val="0"/>
              <w:marBottom w:val="0"/>
              <w:divBdr>
                <w:top w:val="none" w:sz="0" w:space="0" w:color="auto"/>
                <w:left w:val="none" w:sz="0" w:space="0" w:color="auto"/>
                <w:bottom w:val="none" w:sz="0" w:space="0" w:color="auto"/>
                <w:right w:val="none" w:sz="0" w:space="0" w:color="auto"/>
              </w:divBdr>
            </w:div>
            <w:div w:id="1661303110">
              <w:marLeft w:val="0"/>
              <w:marRight w:val="0"/>
              <w:marTop w:val="0"/>
              <w:marBottom w:val="0"/>
              <w:divBdr>
                <w:top w:val="none" w:sz="0" w:space="0" w:color="auto"/>
                <w:left w:val="none" w:sz="0" w:space="0" w:color="auto"/>
                <w:bottom w:val="none" w:sz="0" w:space="0" w:color="auto"/>
                <w:right w:val="none" w:sz="0" w:space="0" w:color="auto"/>
              </w:divBdr>
            </w:div>
            <w:div w:id="1668511754">
              <w:marLeft w:val="0"/>
              <w:marRight w:val="0"/>
              <w:marTop w:val="0"/>
              <w:marBottom w:val="0"/>
              <w:divBdr>
                <w:top w:val="none" w:sz="0" w:space="0" w:color="auto"/>
                <w:left w:val="none" w:sz="0" w:space="0" w:color="auto"/>
                <w:bottom w:val="none" w:sz="0" w:space="0" w:color="auto"/>
                <w:right w:val="none" w:sz="0" w:space="0" w:color="auto"/>
              </w:divBdr>
            </w:div>
            <w:div w:id="1678312994">
              <w:marLeft w:val="0"/>
              <w:marRight w:val="0"/>
              <w:marTop w:val="0"/>
              <w:marBottom w:val="0"/>
              <w:divBdr>
                <w:top w:val="none" w:sz="0" w:space="0" w:color="auto"/>
                <w:left w:val="none" w:sz="0" w:space="0" w:color="auto"/>
                <w:bottom w:val="none" w:sz="0" w:space="0" w:color="auto"/>
                <w:right w:val="none" w:sz="0" w:space="0" w:color="auto"/>
              </w:divBdr>
            </w:div>
            <w:div w:id="1678729526">
              <w:marLeft w:val="0"/>
              <w:marRight w:val="0"/>
              <w:marTop w:val="0"/>
              <w:marBottom w:val="0"/>
              <w:divBdr>
                <w:top w:val="none" w:sz="0" w:space="0" w:color="auto"/>
                <w:left w:val="none" w:sz="0" w:space="0" w:color="auto"/>
                <w:bottom w:val="none" w:sz="0" w:space="0" w:color="auto"/>
                <w:right w:val="none" w:sz="0" w:space="0" w:color="auto"/>
              </w:divBdr>
            </w:div>
            <w:div w:id="1689984982">
              <w:marLeft w:val="0"/>
              <w:marRight w:val="0"/>
              <w:marTop w:val="0"/>
              <w:marBottom w:val="0"/>
              <w:divBdr>
                <w:top w:val="none" w:sz="0" w:space="0" w:color="auto"/>
                <w:left w:val="none" w:sz="0" w:space="0" w:color="auto"/>
                <w:bottom w:val="none" w:sz="0" w:space="0" w:color="auto"/>
                <w:right w:val="none" w:sz="0" w:space="0" w:color="auto"/>
              </w:divBdr>
            </w:div>
            <w:div w:id="1693608504">
              <w:marLeft w:val="0"/>
              <w:marRight w:val="0"/>
              <w:marTop w:val="0"/>
              <w:marBottom w:val="0"/>
              <w:divBdr>
                <w:top w:val="none" w:sz="0" w:space="0" w:color="auto"/>
                <w:left w:val="none" w:sz="0" w:space="0" w:color="auto"/>
                <w:bottom w:val="none" w:sz="0" w:space="0" w:color="auto"/>
                <w:right w:val="none" w:sz="0" w:space="0" w:color="auto"/>
              </w:divBdr>
            </w:div>
            <w:div w:id="1694840686">
              <w:marLeft w:val="0"/>
              <w:marRight w:val="0"/>
              <w:marTop w:val="0"/>
              <w:marBottom w:val="0"/>
              <w:divBdr>
                <w:top w:val="none" w:sz="0" w:space="0" w:color="auto"/>
                <w:left w:val="none" w:sz="0" w:space="0" w:color="auto"/>
                <w:bottom w:val="none" w:sz="0" w:space="0" w:color="auto"/>
                <w:right w:val="none" w:sz="0" w:space="0" w:color="auto"/>
              </w:divBdr>
            </w:div>
            <w:div w:id="1701278721">
              <w:marLeft w:val="0"/>
              <w:marRight w:val="0"/>
              <w:marTop w:val="0"/>
              <w:marBottom w:val="0"/>
              <w:divBdr>
                <w:top w:val="none" w:sz="0" w:space="0" w:color="auto"/>
                <w:left w:val="none" w:sz="0" w:space="0" w:color="auto"/>
                <w:bottom w:val="none" w:sz="0" w:space="0" w:color="auto"/>
                <w:right w:val="none" w:sz="0" w:space="0" w:color="auto"/>
              </w:divBdr>
            </w:div>
            <w:div w:id="1705718011">
              <w:marLeft w:val="0"/>
              <w:marRight w:val="0"/>
              <w:marTop w:val="0"/>
              <w:marBottom w:val="0"/>
              <w:divBdr>
                <w:top w:val="none" w:sz="0" w:space="0" w:color="auto"/>
                <w:left w:val="none" w:sz="0" w:space="0" w:color="auto"/>
                <w:bottom w:val="none" w:sz="0" w:space="0" w:color="auto"/>
                <w:right w:val="none" w:sz="0" w:space="0" w:color="auto"/>
              </w:divBdr>
            </w:div>
            <w:div w:id="1717853291">
              <w:marLeft w:val="0"/>
              <w:marRight w:val="0"/>
              <w:marTop w:val="0"/>
              <w:marBottom w:val="0"/>
              <w:divBdr>
                <w:top w:val="none" w:sz="0" w:space="0" w:color="auto"/>
                <w:left w:val="none" w:sz="0" w:space="0" w:color="auto"/>
                <w:bottom w:val="none" w:sz="0" w:space="0" w:color="auto"/>
                <w:right w:val="none" w:sz="0" w:space="0" w:color="auto"/>
              </w:divBdr>
            </w:div>
            <w:div w:id="1719932970">
              <w:marLeft w:val="0"/>
              <w:marRight w:val="0"/>
              <w:marTop w:val="0"/>
              <w:marBottom w:val="0"/>
              <w:divBdr>
                <w:top w:val="none" w:sz="0" w:space="0" w:color="auto"/>
                <w:left w:val="none" w:sz="0" w:space="0" w:color="auto"/>
                <w:bottom w:val="none" w:sz="0" w:space="0" w:color="auto"/>
                <w:right w:val="none" w:sz="0" w:space="0" w:color="auto"/>
              </w:divBdr>
            </w:div>
            <w:div w:id="1726177303">
              <w:marLeft w:val="0"/>
              <w:marRight w:val="0"/>
              <w:marTop w:val="0"/>
              <w:marBottom w:val="0"/>
              <w:divBdr>
                <w:top w:val="none" w:sz="0" w:space="0" w:color="auto"/>
                <w:left w:val="none" w:sz="0" w:space="0" w:color="auto"/>
                <w:bottom w:val="none" w:sz="0" w:space="0" w:color="auto"/>
                <w:right w:val="none" w:sz="0" w:space="0" w:color="auto"/>
              </w:divBdr>
            </w:div>
            <w:div w:id="1741324143">
              <w:marLeft w:val="0"/>
              <w:marRight w:val="0"/>
              <w:marTop w:val="0"/>
              <w:marBottom w:val="0"/>
              <w:divBdr>
                <w:top w:val="none" w:sz="0" w:space="0" w:color="auto"/>
                <w:left w:val="none" w:sz="0" w:space="0" w:color="auto"/>
                <w:bottom w:val="none" w:sz="0" w:space="0" w:color="auto"/>
                <w:right w:val="none" w:sz="0" w:space="0" w:color="auto"/>
              </w:divBdr>
            </w:div>
            <w:div w:id="1747650703">
              <w:marLeft w:val="0"/>
              <w:marRight w:val="0"/>
              <w:marTop w:val="0"/>
              <w:marBottom w:val="0"/>
              <w:divBdr>
                <w:top w:val="none" w:sz="0" w:space="0" w:color="auto"/>
                <w:left w:val="none" w:sz="0" w:space="0" w:color="auto"/>
                <w:bottom w:val="none" w:sz="0" w:space="0" w:color="auto"/>
                <w:right w:val="none" w:sz="0" w:space="0" w:color="auto"/>
              </w:divBdr>
            </w:div>
            <w:div w:id="1753889495">
              <w:marLeft w:val="0"/>
              <w:marRight w:val="0"/>
              <w:marTop w:val="0"/>
              <w:marBottom w:val="0"/>
              <w:divBdr>
                <w:top w:val="none" w:sz="0" w:space="0" w:color="auto"/>
                <w:left w:val="none" w:sz="0" w:space="0" w:color="auto"/>
                <w:bottom w:val="none" w:sz="0" w:space="0" w:color="auto"/>
                <w:right w:val="none" w:sz="0" w:space="0" w:color="auto"/>
              </w:divBdr>
            </w:div>
            <w:div w:id="1771119609">
              <w:marLeft w:val="0"/>
              <w:marRight w:val="0"/>
              <w:marTop w:val="0"/>
              <w:marBottom w:val="0"/>
              <w:divBdr>
                <w:top w:val="none" w:sz="0" w:space="0" w:color="auto"/>
                <w:left w:val="none" w:sz="0" w:space="0" w:color="auto"/>
                <w:bottom w:val="none" w:sz="0" w:space="0" w:color="auto"/>
                <w:right w:val="none" w:sz="0" w:space="0" w:color="auto"/>
              </w:divBdr>
            </w:div>
            <w:div w:id="1772358415">
              <w:marLeft w:val="0"/>
              <w:marRight w:val="0"/>
              <w:marTop w:val="0"/>
              <w:marBottom w:val="0"/>
              <w:divBdr>
                <w:top w:val="none" w:sz="0" w:space="0" w:color="auto"/>
                <w:left w:val="none" w:sz="0" w:space="0" w:color="auto"/>
                <w:bottom w:val="none" w:sz="0" w:space="0" w:color="auto"/>
                <w:right w:val="none" w:sz="0" w:space="0" w:color="auto"/>
              </w:divBdr>
            </w:div>
            <w:div w:id="1778137976">
              <w:marLeft w:val="0"/>
              <w:marRight w:val="0"/>
              <w:marTop w:val="0"/>
              <w:marBottom w:val="0"/>
              <w:divBdr>
                <w:top w:val="none" w:sz="0" w:space="0" w:color="auto"/>
                <w:left w:val="none" w:sz="0" w:space="0" w:color="auto"/>
                <w:bottom w:val="none" w:sz="0" w:space="0" w:color="auto"/>
                <w:right w:val="none" w:sz="0" w:space="0" w:color="auto"/>
              </w:divBdr>
            </w:div>
            <w:div w:id="1782186423">
              <w:marLeft w:val="0"/>
              <w:marRight w:val="0"/>
              <w:marTop w:val="0"/>
              <w:marBottom w:val="0"/>
              <w:divBdr>
                <w:top w:val="none" w:sz="0" w:space="0" w:color="auto"/>
                <w:left w:val="none" w:sz="0" w:space="0" w:color="auto"/>
                <w:bottom w:val="none" w:sz="0" w:space="0" w:color="auto"/>
                <w:right w:val="none" w:sz="0" w:space="0" w:color="auto"/>
              </w:divBdr>
            </w:div>
            <w:div w:id="1791899160">
              <w:marLeft w:val="0"/>
              <w:marRight w:val="0"/>
              <w:marTop w:val="0"/>
              <w:marBottom w:val="0"/>
              <w:divBdr>
                <w:top w:val="none" w:sz="0" w:space="0" w:color="auto"/>
                <w:left w:val="none" w:sz="0" w:space="0" w:color="auto"/>
                <w:bottom w:val="none" w:sz="0" w:space="0" w:color="auto"/>
                <w:right w:val="none" w:sz="0" w:space="0" w:color="auto"/>
              </w:divBdr>
            </w:div>
            <w:div w:id="1794250864">
              <w:marLeft w:val="0"/>
              <w:marRight w:val="0"/>
              <w:marTop w:val="0"/>
              <w:marBottom w:val="0"/>
              <w:divBdr>
                <w:top w:val="none" w:sz="0" w:space="0" w:color="auto"/>
                <w:left w:val="none" w:sz="0" w:space="0" w:color="auto"/>
                <w:bottom w:val="none" w:sz="0" w:space="0" w:color="auto"/>
                <w:right w:val="none" w:sz="0" w:space="0" w:color="auto"/>
              </w:divBdr>
            </w:div>
            <w:div w:id="1799954398">
              <w:marLeft w:val="0"/>
              <w:marRight w:val="0"/>
              <w:marTop w:val="0"/>
              <w:marBottom w:val="0"/>
              <w:divBdr>
                <w:top w:val="none" w:sz="0" w:space="0" w:color="auto"/>
                <w:left w:val="none" w:sz="0" w:space="0" w:color="auto"/>
                <w:bottom w:val="none" w:sz="0" w:space="0" w:color="auto"/>
                <w:right w:val="none" w:sz="0" w:space="0" w:color="auto"/>
              </w:divBdr>
            </w:div>
            <w:div w:id="1805733935">
              <w:marLeft w:val="0"/>
              <w:marRight w:val="0"/>
              <w:marTop w:val="0"/>
              <w:marBottom w:val="0"/>
              <w:divBdr>
                <w:top w:val="none" w:sz="0" w:space="0" w:color="auto"/>
                <w:left w:val="none" w:sz="0" w:space="0" w:color="auto"/>
                <w:bottom w:val="none" w:sz="0" w:space="0" w:color="auto"/>
                <w:right w:val="none" w:sz="0" w:space="0" w:color="auto"/>
              </w:divBdr>
            </w:div>
            <w:div w:id="1812477984">
              <w:marLeft w:val="0"/>
              <w:marRight w:val="0"/>
              <w:marTop w:val="0"/>
              <w:marBottom w:val="0"/>
              <w:divBdr>
                <w:top w:val="none" w:sz="0" w:space="0" w:color="auto"/>
                <w:left w:val="none" w:sz="0" w:space="0" w:color="auto"/>
                <w:bottom w:val="none" w:sz="0" w:space="0" w:color="auto"/>
                <w:right w:val="none" w:sz="0" w:space="0" w:color="auto"/>
              </w:divBdr>
            </w:div>
            <w:div w:id="1813668292">
              <w:marLeft w:val="0"/>
              <w:marRight w:val="0"/>
              <w:marTop w:val="0"/>
              <w:marBottom w:val="0"/>
              <w:divBdr>
                <w:top w:val="none" w:sz="0" w:space="0" w:color="auto"/>
                <w:left w:val="none" w:sz="0" w:space="0" w:color="auto"/>
                <w:bottom w:val="none" w:sz="0" w:space="0" w:color="auto"/>
                <w:right w:val="none" w:sz="0" w:space="0" w:color="auto"/>
              </w:divBdr>
            </w:div>
            <w:div w:id="1814369716">
              <w:marLeft w:val="0"/>
              <w:marRight w:val="0"/>
              <w:marTop w:val="0"/>
              <w:marBottom w:val="0"/>
              <w:divBdr>
                <w:top w:val="none" w:sz="0" w:space="0" w:color="auto"/>
                <w:left w:val="none" w:sz="0" w:space="0" w:color="auto"/>
                <w:bottom w:val="none" w:sz="0" w:space="0" w:color="auto"/>
                <w:right w:val="none" w:sz="0" w:space="0" w:color="auto"/>
              </w:divBdr>
            </w:div>
            <w:div w:id="1816094903">
              <w:marLeft w:val="0"/>
              <w:marRight w:val="0"/>
              <w:marTop w:val="0"/>
              <w:marBottom w:val="0"/>
              <w:divBdr>
                <w:top w:val="none" w:sz="0" w:space="0" w:color="auto"/>
                <w:left w:val="none" w:sz="0" w:space="0" w:color="auto"/>
                <w:bottom w:val="none" w:sz="0" w:space="0" w:color="auto"/>
                <w:right w:val="none" w:sz="0" w:space="0" w:color="auto"/>
              </w:divBdr>
            </w:div>
            <w:div w:id="1841385269">
              <w:marLeft w:val="0"/>
              <w:marRight w:val="0"/>
              <w:marTop w:val="0"/>
              <w:marBottom w:val="0"/>
              <w:divBdr>
                <w:top w:val="none" w:sz="0" w:space="0" w:color="auto"/>
                <w:left w:val="none" w:sz="0" w:space="0" w:color="auto"/>
                <w:bottom w:val="none" w:sz="0" w:space="0" w:color="auto"/>
                <w:right w:val="none" w:sz="0" w:space="0" w:color="auto"/>
              </w:divBdr>
            </w:div>
            <w:div w:id="1850947295">
              <w:marLeft w:val="0"/>
              <w:marRight w:val="0"/>
              <w:marTop w:val="0"/>
              <w:marBottom w:val="0"/>
              <w:divBdr>
                <w:top w:val="none" w:sz="0" w:space="0" w:color="auto"/>
                <w:left w:val="none" w:sz="0" w:space="0" w:color="auto"/>
                <w:bottom w:val="none" w:sz="0" w:space="0" w:color="auto"/>
                <w:right w:val="none" w:sz="0" w:space="0" w:color="auto"/>
              </w:divBdr>
            </w:div>
            <w:div w:id="1868447572">
              <w:marLeft w:val="0"/>
              <w:marRight w:val="0"/>
              <w:marTop w:val="0"/>
              <w:marBottom w:val="0"/>
              <w:divBdr>
                <w:top w:val="none" w:sz="0" w:space="0" w:color="auto"/>
                <w:left w:val="none" w:sz="0" w:space="0" w:color="auto"/>
                <w:bottom w:val="none" w:sz="0" w:space="0" w:color="auto"/>
                <w:right w:val="none" w:sz="0" w:space="0" w:color="auto"/>
              </w:divBdr>
            </w:div>
            <w:div w:id="1869756173">
              <w:marLeft w:val="0"/>
              <w:marRight w:val="0"/>
              <w:marTop w:val="0"/>
              <w:marBottom w:val="0"/>
              <w:divBdr>
                <w:top w:val="none" w:sz="0" w:space="0" w:color="auto"/>
                <w:left w:val="none" w:sz="0" w:space="0" w:color="auto"/>
                <w:bottom w:val="none" w:sz="0" w:space="0" w:color="auto"/>
                <w:right w:val="none" w:sz="0" w:space="0" w:color="auto"/>
              </w:divBdr>
            </w:div>
            <w:div w:id="1881893743">
              <w:marLeft w:val="0"/>
              <w:marRight w:val="0"/>
              <w:marTop w:val="0"/>
              <w:marBottom w:val="0"/>
              <w:divBdr>
                <w:top w:val="none" w:sz="0" w:space="0" w:color="auto"/>
                <w:left w:val="none" w:sz="0" w:space="0" w:color="auto"/>
                <w:bottom w:val="none" w:sz="0" w:space="0" w:color="auto"/>
                <w:right w:val="none" w:sz="0" w:space="0" w:color="auto"/>
              </w:divBdr>
            </w:div>
            <w:div w:id="1889223125">
              <w:marLeft w:val="0"/>
              <w:marRight w:val="0"/>
              <w:marTop w:val="0"/>
              <w:marBottom w:val="0"/>
              <w:divBdr>
                <w:top w:val="none" w:sz="0" w:space="0" w:color="auto"/>
                <w:left w:val="none" w:sz="0" w:space="0" w:color="auto"/>
                <w:bottom w:val="none" w:sz="0" w:space="0" w:color="auto"/>
                <w:right w:val="none" w:sz="0" w:space="0" w:color="auto"/>
              </w:divBdr>
            </w:div>
            <w:div w:id="1896626012">
              <w:marLeft w:val="0"/>
              <w:marRight w:val="0"/>
              <w:marTop w:val="0"/>
              <w:marBottom w:val="0"/>
              <w:divBdr>
                <w:top w:val="none" w:sz="0" w:space="0" w:color="auto"/>
                <w:left w:val="none" w:sz="0" w:space="0" w:color="auto"/>
                <w:bottom w:val="none" w:sz="0" w:space="0" w:color="auto"/>
                <w:right w:val="none" w:sz="0" w:space="0" w:color="auto"/>
              </w:divBdr>
            </w:div>
            <w:div w:id="1907372369">
              <w:marLeft w:val="0"/>
              <w:marRight w:val="0"/>
              <w:marTop w:val="0"/>
              <w:marBottom w:val="0"/>
              <w:divBdr>
                <w:top w:val="none" w:sz="0" w:space="0" w:color="auto"/>
                <w:left w:val="none" w:sz="0" w:space="0" w:color="auto"/>
                <w:bottom w:val="none" w:sz="0" w:space="0" w:color="auto"/>
                <w:right w:val="none" w:sz="0" w:space="0" w:color="auto"/>
              </w:divBdr>
            </w:div>
            <w:div w:id="1917786856">
              <w:marLeft w:val="0"/>
              <w:marRight w:val="0"/>
              <w:marTop w:val="0"/>
              <w:marBottom w:val="0"/>
              <w:divBdr>
                <w:top w:val="none" w:sz="0" w:space="0" w:color="auto"/>
                <w:left w:val="none" w:sz="0" w:space="0" w:color="auto"/>
                <w:bottom w:val="none" w:sz="0" w:space="0" w:color="auto"/>
                <w:right w:val="none" w:sz="0" w:space="0" w:color="auto"/>
              </w:divBdr>
            </w:div>
            <w:div w:id="1921526828">
              <w:marLeft w:val="0"/>
              <w:marRight w:val="0"/>
              <w:marTop w:val="0"/>
              <w:marBottom w:val="0"/>
              <w:divBdr>
                <w:top w:val="none" w:sz="0" w:space="0" w:color="auto"/>
                <w:left w:val="none" w:sz="0" w:space="0" w:color="auto"/>
                <w:bottom w:val="none" w:sz="0" w:space="0" w:color="auto"/>
                <w:right w:val="none" w:sz="0" w:space="0" w:color="auto"/>
              </w:divBdr>
            </w:div>
            <w:div w:id="1921861802">
              <w:marLeft w:val="0"/>
              <w:marRight w:val="0"/>
              <w:marTop w:val="0"/>
              <w:marBottom w:val="0"/>
              <w:divBdr>
                <w:top w:val="none" w:sz="0" w:space="0" w:color="auto"/>
                <w:left w:val="none" w:sz="0" w:space="0" w:color="auto"/>
                <w:bottom w:val="none" w:sz="0" w:space="0" w:color="auto"/>
                <w:right w:val="none" w:sz="0" w:space="0" w:color="auto"/>
              </w:divBdr>
            </w:div>
            <w:div w:id="1927809366">
              <w:marLeft w:val="0"/>
              <w:marRight w:val="0"/>
              <w:marTop w:val="0"/>
              <w:marBottom w:val="0"/>
              <w:divBdr>
                <w:top w:val="none" w:sz="0" w:space="0" w:color="auto"/>
                <w:left w:val="none" w:sz="0" w:space="0" w:color="auto"/>
                <w:bottom w:val="none" w:sz="0" w:space="0" w:color="auto"/>
                <w:right w:val="none" w:sz="0" w:space="0" w:color="auto"/>
              </w:divBdr>
            </w:div>
            <w:div w:id="1930037627">
              <w:marLeft w:val="0"/>
              <w:marRight w:val="0"/>
              <w:marTop w:val="0"/>
              <w:marBottom w:val="0"/>
              <w:divBdr>
                <w:top w:val="none" w:sz="0" w:space="0" w:color="auto"/>
                <w:left w:val="none" w:sz="0" w:space="0" w:color="auto"/>
                <w:bottom w:val="none" w:sz="0" w:space="0" w:color="auto"/>
                <w:right w:val="none" w:sz="0" w:space="0" w:color="auto"/>
              </w:divBdr>
            </w:div>
            <w:div w:id="1940020223">
              <w:marLeft w:val="0"/>
              <w:marRight w:val="0"/>
              <w:marTop w:val="0"/>
              <w:marBottom w:val="0"/>
              <w:divBdr>
                <w:top w:val="none" w:sz="0" w:space="0" w:color="auto"/>
                <w:left w:val="none" w:sz="0" w:space="0" w:color="auto"/>
                <w:bottom w:val="none" w:sz="0" w:space="0" w:color="auto"/>
                <w:right w:val="none" w:sz="0" w:space="0" w:color="auto"/>
              </w:divBdr>
            </w:div>
            <w:div w:id="1940522394">
              <w:marLeft w:val="0"/>
              <w:marRight w:val="0"/>
              <w:marTop w:val="0"/>
              <w:marBottom w:val="0"/>
              <w:divBdr>
                <w:top w:val="none" w:sz="0" w:space="0" w:color="auto"/>
                <w:left w:val="none" w:sz="0" w:space="0" w:color="auto"/>
                <w:bottom w:val="none" w:sz="0" w:space="0" w:color="auto"/>
                <w:right w:val="none" w:sz="0" w:space="0" w:color="auto"/>
              </w:divBdr>
            </w:div>
            <w:div w:id="1953852667">
              <w:marLeft w:val="0"/>
              <w:marRight w:val="0"/>
              <w:marTop w:val="0"/>
              <w:marBottom w:val="0"/>
              <w:divBdr>
                <w:top w:val="none" w:sz="0" w:space="0" w:color="auto"/>
                <w:left w:val="none" w:sz="0" w:space="0" w:color="auto"/>
                <w:bottom w:val="none" w:sz="0" w:space="0" w:color="auto"/>
                <w:right w:val="none" w:sz="0" w:space="0" w:color="auto"/>
              </w:divBdr>
            </w:div>
            <w:div w:id="1959413279">
              <w:marLeft w:val="0"/>
              <w:marRight w:val="0"/>
              <w:marTop w:val="0"/>
              <w:marBottom w:val="0"/>
              <w:divBdr>
                <w:top w:val="none" w:sz="0" w:space="0" w:color="auto"/>
                <w:left w:val="none" w:sz="0" w:space="0" w:color="auto"/>
                <w:bottom w:val="none" w:sz="0" w:space="0" w:color="auto"/>
                <w:right w:val="none" w:sz="0" w:space="0" w:color="auto"/>
              </w:divBdr>
            </w:div>
            <w:div w:id="1965034908">
              <w:marLeft w:val="0"/>
              <w:marRight w:val="0"/>
              <w:marTop w:val="0"/>
              <w:marBottom w:val="0"/>
              <w:divBdr>
                <w:top w:val="none" w:sz="0" w:space="0" w:color="auto"/>
                <w:left w:val="none" w:sz="0" w:space="0" w:color="auto"/>
                <w:bottom w:val="none" w:sz="0" w:space="0" w:color="auto"/>
                <w:right w:val="none" w:sz="0" w:space="0" w:color="auto"/>
              </w:divBdr>
            </w:div>
            <w:div w:id="1966424971">
              <w:marLeft w:val="0"/>
              <w:marRight w:val="0"/>
              <w:marTop w:val="0"/>
              <w:marBottom w:val="0"/>
              <w:divBdr>
                <w:top w:val="none" w:sz="0" w:space="0" w:color="auto"/>
                <w:left w:val="none" w:sz="0" w:space="0" w:color="auto"/>
                <w:bottom w:val="none" w:sz="0" w:space="0" w:color="auto"/>
                <w:right w:val="none" w:sz="0" w:space="0" w:color="auto"/>
              </w:divBdr>
            </w:div>
            <w:div w:id="1976062579">
              <w:marLeft w:val="0"/>
              <w:marRight w:val="0"/>
              <w:marTop w:val="0"/>
              <w:marBottom w:val="0"/>
              <w:divBdr>
                <w:top w:val="none" w:sz="0" w:space="0" w:color="auto"/>
                <w:left w:val="none" w:sz="0" w:space="0" w:color="auto"/>
                <w:bottom w:val="none" w:sz="0" w:space="0" w:color="auto"/>
                <w:right w:val="none" w:sz="0" w:space="0" w:color="auto"/>
              </w:divBdr>
            </w:div>
            <w:div w:id="1986204955">
              <w:marLeft w:val="0"/>
              <w:marRight w:val="0"/>
              <w:marTop w:val="0"/>
              <w:marBottom w:val="0"/>
              <w:divBdr>
                <w:top w:val="none" w:sz="0" w:space="0" w:color="auto"/>
                <w:left w:val="none" w:sz="0" w:space="0" w:color="auto"/>
                <w:bottom w:val="none" w:sz="0" w:space="0" w:color="auto"/>
                <w:right w:val="none" w:sz="0" w:space="0" w:color="auto"/>
              </w:divBdr>
            </w:div>
            <w:div w:id="1986887286">
              <w:marLeft w:val="0"/>
              <w:marRight w:val="0"/>
              <w:marTop w:val="0"/>
              <w:marBottom w:val="0"/>
              <w:divBdr>
                <w:top w:val="none" w:sz="0" w:space="0" w:color="auto"/>
                <w:left w:val="none" w:sz="0" w:space="0" w:color="auto"/>
                <w:bottom w:val="none" w:sz="0" w:space="0" w:color="auto"/>
                <w:right w:val="none" w:sz="0" w:space="0" w:color="auto"/>
              </w:divBdr>
            </w:div>
            <w:div w:id="1993169535">
              <w:marLeft w:val="0"/>
              <w:marRight w:val="0"/>
              <w:marTop w:val="0"/>
              <w:marBottom w:val="0"/>
              <w:divBdr>
                <w:top w:val="none" w:sz="0" w:space="0" w:color="auto"/>
                <w:left w:val="none" w:sz="0" w:space="0" w:color="auto"/>
                <w:bottom w:val="none" w:sz="0" w:space="0" w:color="auto"/>
                <w:right w:val="none" w:sz="0" w:space="0" w:color="auto"/>
              </w:divBdr>
            </w:div>
            <w:div w:id="2009164331">
              <w:marLeft w:val="0"/>
              <w:marRight w:val="0"/>
              <w:marTop w:val="0"/>
              <w:marBottom w:val="0"/>
              <w:divBdr>
                <w:top w:val="none" w:sz="0" w:space="0" w:color="auto"/>
                <w:left w:val="none" w:sz="0" w:space="0" w:color="auto"/>
                <w:bottom w:val="none" w:sz="0" w:space="0" w:color="auto"/>
                <w:right w:val="none" w:sz="0" w:space="0" w:color="auto"/>
              </w:divBdr>
            </w:div>
            <w:div w:id="2010327998">
              <w:marLeft w:val="0"/>
              <w:marRight w:val="0"/>
              <w:marTop w:val="0"/>
              <w:marBottom w:val="0"/>
              <w:divBdr>
                <w:top w:val="none" w:sz="0" w:space="0" w:color="auto"/>
                <w:left w:val="none" w:sz="0" w:space="0" w:color="auto"/>
                <w:bottom w:val="none" w:sz="0" w:space="0" w:color="auto"/>
                <w:right w:val="none" w:sz="0" w:space="0" w:color="auto"/>
              </w:divBdr>
            </w:div>
            <w:div w:id="2027901680">
              <w:marLeft w:val="0"/>
              <w:marRight w:val="0"/>
              <w:marTop w:val="0"/>
              <w:marBottom w:val="0"/>
              <w:divBdr>
                <w:top w:val="none" w:sz="0" w:space="0" w:color="auto"/>
                <w:left w:val="none" w:sz="0" w:space="0" w:color="auto"/>
                <w:bottom w:val="none" w:sz="0" w:space="0" w:color="auto"/>
                <w:right w:val="none" w:sz="0" w:space="0" w:color="auto"/>
              </w:divBdr>
            </w:div>
            <w:div w:id="2035232364">
              <w:marLeft w:val="0"/>
              <w:marRight w:val="0"/>
              <w:marTop w:val="0"/>
              <w:marBottom w:val="0"/>
              <w:divBdr>
                <w:top w:val="none" w:sz="0" w:space="0" w:color="auto"/>
                <w:left w:val="none" w:sz="0" w:space="0" w:color="auto"/>
                <w:bottom w:val="none" w:sz="0" w:space="0" w:color="auto"/>
                <w:right w:val="none" w:sz="0" w:space="0" w:color="auto"/>
              </w:divBdr>
            </w:div>
            <w:div w:id="2041471790">
              <w:marLeft w:val="0"/>
              <w:marRight w:val="0"/>
              <w:marTop w:val="0"/>
              <w:marBottom w:val="0"/>
              <w:divBdr>
                <w:top w:val="none" w:sz="0" w:space="0" w:color="auto"/>
                <w:left w:val="none" w:sz="0" w:space="0" w:color="auto"/>
                <w:bottom w:val="none" w:sz="0" w:space="0" w:color="auto"/>
                <w:right w:val="none" w:sz="0" w:space="0" w:color="auto"/>
              </w:divBdr>
            </w:div>
            <w:div w:id="2042365038">
              <w:marLeft w:val="0"/>
              <w:marRight w:val="0"/>
              <w:marTop w:val="0"/>
              <w:marBottom w:val="0"/>
              <w:divBdr>
                <w:top w:val="none" w:sz="0" w:space="0" w:color="auto"/>
                <w:left w:val="none" w:sz="0" w:space="0" w:color="auto"/>
                <w:bottom w:val="none" w:sz="0" w:space="0" w:color="auto"/>
                <w:right w:val="none" w:sz="0" w:space="0" w:color="auto"/>
              </w:divBdr>
            </w:div>
            <w:div w:id="2044134494">
              <w:marLeft w:val="0"/>
              <w:marRight w:val="0"/>
              <w:marTop w:val="0"/>
              <w:marBottom w:val="0"/>
              <w:divBdr>
                <w:top w:val="none" w:sz="0" w:space="0" w:color="auto"/>
                <w:left w:val="none" w:sz="0" w:space="0" w:color="auto"/>
                <w:bottom w:val="none" w:sz="0" w:space="0" w:color="auto"/>
                <w:right w:val="none" w:sz="0" w:space="0" w:color="auto"/>
              </w:divBdr>
            </w:div>
            <w:div w:id="2053769072">
              <w:marLeft w:val="0"/>
              <w:marRight w:val="0"/>
              <w:marTop w:val="0"/>
              <w:marBottom w:val="0"/>
              <w:divBdr>
                <w:top w:val="none" w:sz="0" w:space="0" w:color="auto"/>
                <w:left w:val="none" w:sz="0" w:space="0" w:color="auto"/>
                <w:bottom w:val="none" w:sz="0" w:space="0" w:color="auto"/>
                <w:right w:val="none" w:sz="0" w:space="0" w:color="auto"/>
              </w:divBdr>
            </w:div>
            <w:div w:id="2056617467">
              <w:marLeft w:val="0"/>
              <w:marRight w:val="0"/>
              <w:marTop w:val="0"/>
              <w:marBottom w:val="0"/>
              <w:divBdr>
                <w:top w:val="none" w:sz="0" w:space="0" w:color="auto"/>
                <w:left w:val="none" w:sz="0" w:space="0" w:color="auto"/>
                <w:bottom w:val="none" w:sz="0" w:space="0" w:color="auto"/>
                <w:right w:val="none" w:sz="0" w:space="0" w:color="auto"/>
              </w:divBdr>
            </w:div>
            <w:div w:id="2064713958">
              <w:marLeft w:val="0"/>
              <w:marRight w:val="0"/>
              <w:marTop w:val="0"/>
              <w:marBottom w:val="0"/>
              <w:divBdr>
                <w:top w:val="none" w:sz="0" w:space="0" w:color="auto"/>
                <w:left w:val="none" w:sz="0" w:space="0" w:color="auto"/>
                <w:bottom w:val="none" w:sz="0" w:space="0" w:color="auto"/>
                <w:right w:val="none" w:sz="0" w:space="0" w:color="auto"/>
              </w:divBdr>
            </w:div>
            <w:div w:id="2068146805">
              <w:marLeft w:val="0"/>
              <w:marRight w:val="0"/>
              <w:marTop w:val="0"/>
              <w:marBottom w:val="0"/>
              <w:divBdr>
                <w:top w:val="none" w:sz="0" w:space="0" w:color="auto"/>
                <w:left w:val="none" w:sz="0" w:space="0" w:color="auto"/>
                <w:bottom w:val="none" w:sz="0" w:space="0" w:color="auto"/>
                <w:right w:val="none" w:sz="0" w:space="0" w:color="auto"/>
              </w:divBdr>
            </w:div>
            <w:div w:id="2068213057">
              <w:marLeft w:val="0"/>
              <w:marRight w:val="0"/>
              <w:marTop w:val="0"/>
              <w:marBottom w:val="0"/>
              <w:divBdr>
                <w:top w:val="none" w:sz="0" w:space="0" w:color="auto"/>
                <w:left w:val="none" w:sz="0" w:space="0" w:color="auto"/>
                <w:bottom w:val="none" w:sz="0" w:space="0" w:color="auto"/>
                <w:right w:val="none" w:sz="0" w:space="0" w:color="auto"/>
              </w:divBdr>
            </w:div>
            <w:div w:id="2070616305">
              <w:marLeft w:val="0"/>
              <w:marRight w:val="0"/>
              <w:marTop w:val="0"/>
              <w:marBottom w:val="0"/>
              <w:divBdr>
                <w:top w:val="none" w:sz="0" w:space="0" w:color="auto"/>
                <w:left w:val="none" w:sz="0" w:space="0" w:color="auto"/>
                <w:bottom w:val="none" w:sz="0" w:space="0" w:color="auto"/>
                <w:right w:val="none" w:sz="0" w:space="0" w:color="auto"/>
              </w:divBdr>
            </w:div>
            <w:div w:id="2073459682">
              <w:marLeft w:val="0"/>
              <w:marRight w:val="0"/>
              <w:marTop w:val="0"/>
              <w:marBottom w:val="0"/>
              <w:divBdr>
                <w:top w:val="none" w:sz="0" w:space="0" w:color="auto"/>
                <w:left w:val="none" w:sz="0" w:space="0" w:color="auto"/>
                <w:bottom w:val="none" w:sz="0" w:space="0" w:color="auto"/>
                <w:right w:val="none" w:sz="0" w:space="0" w:color="auto"/>
              </w:divBdr>
            </w:div>
            <w:div w:id="2076198548">
              <w:marLeft w:val="0"/>
              <w:marRight w:val="0"/>
              <w:marTop w:val="0"/>
              <w:marBottom w:val="0"/>
              <w:divBdr>
                <w:top w:val="none" w:sz="0" w:space="0" w:color="auto"/>
                <w:left w:val="none" w:sz="0" w:space="0" w:color="auto"/>
                <w:bottom w:val="none" w:sz="0" w:space="0" w:color="auto"/>
                <w:right w:val="none" w:sz="0" w:space="0" w:color="auto"/>
              </w:divBdr>
            </w:div>
            <w:div w:id="2076656709">
              <w:marLeft w:val="0"/>
              <w:marRight w:val="0"/>
              <w:marTop w:val="0"/>
              <w:marBottom w:val="0"/>
              <w:divBdr>
                <w:top w:val="none" w:sz="0" w:space="0" w:color="auto"/>
                <w:left w:val="none" w:sz="0" w:space="0" w:color="auto"/>
                <w:bottom w:val="none" w:sz="0" w:space="0" w:color="auto"/>
                <w:right w:val="none" w:sz="0" w:space="0" w:color="auto"/>
              </w:divBdr>
            </w:div>
            <w:div w:id="2081516591">
              <w:marLeft w:val="0"/>
              <w:marRight w:val="0"/>
              <w:marTop w:val="0"/>
              <w:marBottom w:val="0"/>
              <w:divBdr>
                <w:top w:val="none" w:sz="0" w:space="0" w:color="auto"/>
                <w:left w:val="none" w:sz="0" w:space="0" w:color="auto"/>
                <w:bottom w:val="none" w:sz="0" w:space="0" w:color="auto"/>
                <w:right w:val="none" w:sz="0" w:space="0" w:color="auto"/>
              </w:divBdr>
            </w:div>
            <w:div w:id="2082947620">
              <w:marLeft w:val="0"/>
              <w:marRight w:val="0"/>
              <w:marTop w:val="0"/>
              <w:marBottom w:val="0"/>
              <w:divBdr>
                <w:top w:val="none" w:sz="0" w:space="0" w:color="auto"/>
                <w:left w:val="none" w:sz="0" w:space="0" w:color="auto"/>
                <w:bottom w:val="none" w:sz="0" w:space="0" w:color="auto"/>
                <w:right w:val="none" w:sz="0" w:space="0" w:color="auto"/>
              </w:divBdr>
            </w:div>
            <w:div w:id="2085569799">
              <w:marLeft w:val="0"/>
              <w:marRight w:val="0"/>
              <w:marTop w:val="0"/>
              <w:marBottom w:val="0"/>
              <w:divBdr>
                <w:top w:val="none" w:sz="0" w:space="0" w:color="auto"/>
                <w:left w:val="none" w:sz="0" w:space="0" w:color="auto"/>
                <w:bottom w:val="none" w:sz="0" w:space="0" w:color="auto"/>
                <w:right w:val="none" w:sz="0" w:space="0" w:color="auto"/>
              </w:divBdr>
            </w:div>
            <w:div w:id="2087798802">
              <w:marLeft w:val="0"/>
              <w:marRight w:val="0"/>
              <w:marTop w:val="0"/>
              <w:marBottom w:val="0"/>
              <w:divBdr>
                <w:top w:val="none" w:sz="0" w:space="0" w:color="auto"/>
                <w:left w:val="none" w:sz="0" w:space="0" w:color="auto"/>
                <w:bottom w:val="none" w:sz="0" w:space="0" w:color="auto"/>
                <w:right w:val="none" w:sz="0" w:space="0" w:color="auto"/>
              </w:divBdr>
            </w:div>
            <w:div w:id="2099671696">
              <w:marLeft w:val="0"/>
              <w:marRight w:val="0"/>
              <w:marTop w:val="0"/>
              <w:marBottom w:val="0"/>
              <w:divBdr>
                <w:top w:val="none" w:sz="0" w:space="0" w:color="auto"/>
                <w:left w:val="none" w:sz="0" w:space="0" w:color="auto"/>
                <w:bottom w:val="none" w:sz="0" w:space="0" w:color="auto"/>
                <w:right w:val="none" w:sz="0" w:space="0" w:color="auto"/>
              </w:divBdr>
            </w:div>
            <w:div w:id="2107145874">
              <w:marLeft w:val="0"/>
              <w:marRight w:val="0"/>
              <w:marTop w:val="0"/>
              <w:marBottom w:val="0"/>
              <w:divBdr>
                <w:top w:val="none" w:sz="0" w:space="0" w:color="auto"/>
                <w:left w:val="none" w:sz="0" w:space="0" w:color="auto"/>
                <w:bottom w:val="none" w:sz="0" w:space="0" w:color="auto"/>
                <w:right w:val="none" w:sz="0" w:space="0" w:color="auto"/>
              </w:divBdr>
            </w:div>
            <w:div w:id="2108039074">
              <w:marLeft w:val="0"/>
              <w:marRight w:val="0"/>
              <w:marTop w:val="0"/>
              <w:marBottom w:val="0"/>
              <w:divBdr>
                <w:top w:val="none" w:sz="0" w:space="0" w:color="auto"/>
                <w:left w:val="none" w:sz="0" w:space="0" w:color="auto"/>
                <w:bottom w:val="none" w:sz="0" w:space="0" w:color="auto"/>
                <w:right w:val="none" w:sz="0" w:space="0" w:color="auto"/>
              </w:divBdr>
            </w:div>
            <w:div w:id="2109809651">
              <w:marLeft w:val="0"/>
              <w:marRight w:val="0"/>
              <w:marTop w:val="0"/>
              <w:marBottom w:val="0"/>
              <w:divBdr>
                <w:top w:val="none" w:sz="0" w:space="0" w:color="auto"/>
                <w:left w:val="none" w:sz="0" w:space="0" w:color="auto"/>
                <w:bottom w:val="none" w:sz="0" w:space="0" w:color="auto"/>
                <w:right w:val="none" w:sz="0" w:space="0" w:color="auto"/>
              </w:divBdr>
            </w:div>
            <w:div w:id="2118519806">
              <w:marLeft w:val="0"/>
              <w:marRight w:val="0"/>
              <w:marTop w:val="0"/>
              <w:marBottom w:val="0"/>
              <w:divBdr>
                <w:top w:val="none" w:sz="0" w:space="0" w:color="auto"/>
                <w:left w:val="none" w:sz="0" w:space="0" w:color="auto"/>
                <w:bottom w:val="none" w:sz="0" w:space="0" w:color="auto"/>
                <w:right w:val="none" w:sz="0" w:space="0" w:color="auto"/>
              </w:divBdr>
            </w:div>
            <w:div w:id="2118870328">
              <w:marLeft w:val="0"/>
              <w:marRight w:val="0"/>
              <w:marTop w:val="0"/>
              <w:marBottom w:val="0"/>
              <w:divBdr>
                <w:top w:val="none" w:sz="0" w:space="0" w:color="auto"/>
                <w:left w:val="none" w:sz="0" w:space="0" w:color="auto"/>
                <w:bottom w:val="none" w:sz="0" w:space="0" w:color="auto"/>
                <w:right w:val="none" w:sz="0" w:space="0" w:color="auto"/>
              </w:divBdr>
            </w:div>
            <w:div w:id="2122072217">
              <w:marLeft w:val="0"/>
              <w:marRight w:val="0"/>
              <w:marTop w:val="0"/>
              <w:marBottom w:val="0"/>
              <w:divBdr>
                <w:top w:val="none" w:sz="0" w:space="0" w:color="auto"/>
                <w:left w:val="none" w:sz="0" w:space="0" w:color="auto"/>
                <w:bottom w:val="none" w:sz="0" w:space="0" w:color="auto"/>
                <w:right w:val="none" w:sz="0" w:space="0" w:color="auto"/>
              </w:divBdr>
            </w:div>
            <w:div w:id="2125805201">
              <w:marLeft w:val="0"/>
              <w:marRight w:val="0"/>
              <w:marTop w:val="0"/>
              <w:marBottom w:val="0"/>
              <w:divBdr>
                <w:top w:val="none" w:sz="0" w:space="0" w:color="auto"/>
                <w:left w:val="none" w:sz="0" w:space="0" w:color="auto"/>
                <w:bottom w:val="none" w:sz="0" w:space="0" w:color="auto"/>
                <w:right w:val="none" w:sz="0" w:space="0" w:color="auto"/>
              </w:divBdr>
            </w:div>
            <w:div w:id="2138793443">
              <w:marLeft w:val="0"/>
              <w:marRight w:val="0"/>
              <w:marTop w:val="0"/>
              <w:marBottom w:val="0"/>
              <w:divBdr>
                <w:top w:val="none" w:sz="0" w:space="0" w:color="auto"/>
                <w:left w:val="none" w:sz="0" w:space="0" w:color="auto"/>
                <w:bottom w:val="none" w:sz="0" w:space="0" w:color="auto"/>
                <w:right w:val="none" w:sz="0" w:space="0" w:color="auto"/>
              </w:divBdr>
            </w:div>
            <w:div w:id="2146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92804">
      <w:bodyDiv w:val="1"/>
      <w:marLeft w:val="0"/>
      <w:marRight w:val="0"/>
      <w:marTop w:val="0"/>
      <w:marBottom w:val="0"/>
      <w:divBdr>
        <w:top w:val="none" w:sz="0" w:space="0" w:color="auto"/>
        <w:left w:val="none" w:sz="0" w:space="0" w:color="auto"/>
        <w:bottom w:val="none" w:sz="0" w:space="0" w:color="auto"/>
        <w:right w:val="none" w:sz="0" w:space="0" w:color="auto"/>
      </w:divBdr>
      <w:divsChild>
        <w:div w:id="1103763435">
          <w:marLeft w:val="0"/>
          <w:marRight w:val="0"/>
          <w:marTop w:val="0"/>
          <w:marBottom w:val="0"/>
          <w:divBdr>
            <w:top w:val="none" w:sz="0" w:space="0" w:color="auto"/>
            <w:left w:val="none" w:sz="0" w:space="0" w:color="auto"/>
            <w:bottom w:val="none" w:sz="0" w:space="0" w:color="auto"/>
            <w:right w:val="none" w:sz="0" w:space="0" w:color="auto"/>
          </w:divBdr>
          <w:divsChild>
            <w:div w:id="1049305">
              <w:marLeft w:val="0"/>
              <w:marRight w:val="0"/>
              <w:marTop w:val="0"/>
              <w:marBottom w:val="0"/>
              <w:divBdr>
                <w:top w:val="none" w:sz="0" w:space="0" w:color="auto"/>
                <w:left w:val="none" w:sz="0" w:space="0" w:color="auto"/>
                <w:bottom w:val="none" w:sz="0" w:space="0" w:color="auto"/>
                <w:right w:val="none" w:sz="0" w:space="0" w:color="auto"/>
              </w:divBdr>
            </w:div>
            <w:div w:id="20589512">
              <w:marLeft w:val="0"/>
              <w:marRight w:val="0"/>
              <w:marTop w:val="0"/>
              <w:marBottom w:val="0"/>
              <w:divBdr>
                <w:top w:val="none" w:sz="0" w:space="0" w:color="auto"/>
                <w:left w:val="none" w:sz="0" w:space="0" w:color="auto"/>
                <w:bottom w:val="none" w:sz="0" w:space="0" w:color="auto"/>
                <w:right w:val="none" w:sz="0" w:space="0" w:color="auto"/>
              </w:divBdr>
            </w:div>
            <w:div w:id="20788108">
              <w:marLeft w:val="0"/>
              <w:marRight w:val="0"/>
              <w:marTop w:val="0"/>
              <w:marBottom w:val="0"/>
              <w:divBdr>
                <w:top w:val="none" w:sz="0" w:space="0" w:color="auto"/>
                <w:left w:val="none" w:sz="0" w:space="0" w:color="auto"/>
                <w:bottom w:val="none" w:sz="0" w:space="0" w:color="auto"/>
                <w:right w:val="none" w:sz="0" w:space="0" w:color="auto"/>
              </w:divBdr>
            </w:div>
            <w:div w:id="29957764">
              <w:marLeft w:val="0"/>
              <w:marRight w:val="0"/>
              <w:marTop w:val="0"/>
              <w:marBottom w:val="0"/>
              <w:divBdr>
                <w:top w:val="none" w:sz="0" w:space="0" w:color="auto"/>
                <w:left w:val="none" w:sz="0" w:space="0" w:color="auto"/>
                <w:bottom w:val="none" w:sz="0" w:space="0" w:color="auto"/>
                <w:right w:val="none" w:sz="0" w:space="0" w:color="auto"/>
              </w:divBdr>
            </w:div>
            <w:div w:id="34623071">
              <w:marLeft w:val="0"/>
              <w:marRight w:val="0"/>
              <w:marTop w:val="0"/>
              <w:marBottom w:val="0"/>
              <w:divBdr>
                <w:top w:val="none" w:sz="0" w:space="0" w:color="auto"/>
                <w:left w:val="none" w:sz="0" w:space="0" w:color="auto"/>
                <w:bottom w:val="none" w:sz="0" w:space="0" w:color="auto"/>
                <w:right w:val="none" w:sz="0" w:space="0" w:color="auto"/>
              </w:divBdr>
            </w:div>
            <w:div w:id="37973776">
              <w:marLeft w:val="0"/>
              <w:marRight w:val="0"/>
              <w:marTop w:val="0"/>
              <w:marBottom w:val="0"/>
              <w:divBdr>
                <w:top w:val="none" w:sz="0" w:space="0" w:color="auto"/>
                <w:left w:val="none" w:sz="0" w:space="0" w:color="auto"/>
                <w:bottom w:val="none" w:sz="0" w:space="0" w:color="auto"/>
                <w:right w:val="none" w:sz="0" w:space="0" w:color="auto"/>
              </w:divBdr>
            </w:div>
            <w:div w:id="48964177">
              <w:marLeft w:val="0"/>
              <w:marRight w:val="0"/>
              <w:marTop w:val="0"/>
              <w:marBottom w:val="0"/>
              <w:divBdr>
                <w:top w:val="none" w:sz="0" w:space="0" w:color="auto"/>
                <w:left w:val="none" w:sz="0" w:space="0" w:color="auto"/>
                <w:bottom w:val="none" w:sz="0" w:space="0" w:color="auto"/>
                <w:right w:val="none" w:sz="0" w:space="0" w:color="auto"/>
              </w:divBdr>
            </w:div>
            <w:div w:id="56631774">
              <w:marLeft w:val="0"/>
              <w:marRight w:val="0"/>
              <w:marTop w:val="0"/>
              <w:marBottom w:val="0"/>
              <w:divBdr>
                <w:top w:val="none" w:sz="0" w:space="0" w:color="auto"/>
                <w:left w:val="none" w:sz="0" w:space="0" w:color="auto"/>
                <w:bottom w:val="none" w:sz="0" w:space="0" w:color="auto"/>
                <w:right w:val="none" w:sz="0" w:space="0" w:color="auto"/>
              </w:divBdr>
            </w:div>
            <w:div w:id="63577647">
              <w:marLeft w:val="0"/>
              <w:marRight w:val="0"/>
              <w:marTop w:val="0"/>
              <w:marBottom w:val="0"/>
              <w:divBdr>
                <w:top w:val="none" w:sz="0" w:space="0" w:color="auto"/>
                <w:left w:val="none" w:sz="0" w:space="0" w:color="auto"/>
                <w:bottom w:val="none" w:sz="0" w:space="0" w:color="auto"/>
                <w:right w:val="none" w:sz="0" w:space="0" w:color="auto"/>
              </w:divBdr>
            </w:div>
            <w:div w:id="76756111">
              <w:marLeft w:val="0"/>
              <w:marRight w:val="0"/>
              <w:marTop w:val="0"/>
              <w:marBottom w:val="0"/>
              <w:divBdr>
                <w:top w:val="none" w:sz="0" w:space="0" w:color="auto"/>
                <w:left w:val="none" w:sz="0" w:space="0" w:color="auto"/>
                <w:bottom w:val="none" w:sz="0" w:space="0" w:color="auto"/>
                <w:right w:val="none" w:sz="0" w:space="0" w:color="auto"/>
              </w:divBdr>
            </w:div>
            <w:div w:id="94250194">
              <w:marLeft w:val="0"/>
              <w:marRight w:val="0"/>
              <w:marTop w:val="0"/>
              <w:marBottom w:val="0"/>
              <w:divBdr>
                <w:top w:val="none" w:sz="0" w:space="0" w:color="auto"/>
                <w:left w:val="none" w:sz="0" w:space="0" w:color="auto"/>
                <w:bottom w:val="none" w:sz="0" w:space="0" w:color="auto"/>
                <w:right w:val="none" w:sz="0" w:space="0" w:color="auto"/>
              </w:divBdr>
            </w:div>
            <w:div w:id="96562191">
              <w:marLeft w:val="0"/>
              <w:marRight w:val="0"/>
              <w:marTop w:val="0"/>
              <w:marBottom w:val="0"/>
              <w:divBdr>
                <w:top w:val="none" w:sz="0" w:space="0" w:color="auto"/>
                <w:left w:val="none" w:sz="0" w:space="0" w:color="auto"/>
                <w:bottom w:val="none" w:sz="0" w:space="0" w:color="auto"/>
                <w:right w:val="none" w:sz="0" w:space="0" w:color="auto"/>
              </w:divBdr>
            </w:div>
            <w:div w:id="97259862">
              <w:marLeft w:val="0"/>
              <w:marRight w:val="0"/>
              <w:marTop w:val="0"/>
              <w:marBottom w:val="0"/>
              <w:divBdr>
                <w:top w:val="none" w:sz="0" w:space="0" w:color="auto"/>
                <w:left w:val="none" w:sz="0" w:space="0" w:color="auto"/>
                <w:bottom w:val="none" w:sz="0" w:space="0" w:color="auto"/>
                <w:right w:val="none" w:sz="0" w:space="0" w:color="auto"/>
              </w:divBdr>
            </w:div>
            <w:div w:id="100613618">
              <w:marLeft w:val="0"/>
              <w:marRight w:val="0"/>
              <w:marTop w:val="0"/>
              <w:marBottom w:val="0"/>
              <w:divBdr>
                <w:top w:val="none" w:sz="0" w:space="0" w:color="auto"/>
                <w:left w:val="none" w:sz="0" w:space="0" w:color="auto"/>
                <w:bottom w:val="none" w:sz="0" w:space="0" w:color="auto"/>
                <w:right w:val="none" w:sz="0" w:space="0" w:color="auto"/>
              </w:divBdr>
            </w:div>
            <w:div w:id="104232849">
              <w:marLeft w:val="0"/>
              <w:marRight w:val="0"/>
              <w:marTop w:val="0"/>
              <w:marBottom w:val="0"/>
              <w:divBdr>
                <w:top w:val="none" w:sz="0" w:space="0" w:color="auto"/>
                <w:left w:val="none" w:sz="0" w:space="0" w:color="auto"/>
                <w:bottom w:val="none" w:sz="0" w:space="0" w:color="auto"/>
                <w:right w:val="none" w:sz="0" w:space="0" w:color="auto"/>
              </w:divBdr>
            </w:div>
            <w:div w:id="114521857">
              <w:marLeft w:val="0"/>
              <w:marRight w:val="0"/>
              <w:marTop w:val="0"/>
              <w:marBottom w:val="0"/>
              <w:divBdr>
                <w:top w:val="none" w:sz="0" w:space="0" w:color="auto"/>
                <w:left w:val="none" w:sz="0" w:space="0" w:color="auto"/>
                <w:bottom w:val="none" w:sz="0" w:space="0" w:color="auto"/>
                <w:right w:val="none" w:sz="0" w:space="0" w:color="auto"/>
              </w:divBdr>
            </w:div>
            <w:div w:id="115411907">
              <w:marLeft w:val="0"/>
              <w:marRight w:val="0"/>
              <w:marTop w:val="0"/>
              <w:marBottom w:val="0"/>
              <w:divBdr>
                <w:top w:val="none" w:sz="0" w:space="0" w:color="auto"/>
                <w:left w:val="none" w:sz="0" w:space="0" w:color="auto"/>
                <w:bottom w:val="none" w:sz="0" w:space="0" w:color="auto"/>
                <w:right w:val="none" w:sz="0" w:space="0" w:color="auto"/>
              </w:divBdr>
            </w:div>
            <w:div w:id="123618485">
              <w:marLeft w:val="0"/>
              <w:marRight w:val="0"/>
              <w:marTop w:val="0"/>
              <w:marBottom w:val="0"/>
              <w:divBdr>
                <w:top w:val="none" w:sz="0" w:space="0" w:color="auto"/>
                <w:left w:val="none" w:sz="0" w:space="0" w:color="auto"/>
                <w:bottom w:val="none" w:sz="0" w:space="0" w:color="auto"/>
                <w:right w:val="none" w:sz="0" w:space="0" w:color="auto"/>
              </w:divBdr>
            </w:div>
            <w:div w:id="139537622">
              <w:marLeft w:val="0"/>
              <w:marRight w:val="0"/>
              <w:marTop w:val="0"/>
              <w:marBottom w:val="0"/>
              <w:divBdr>
                <w:top w:val="none" w:sz="0" w:space="0" w:color="auto"/>
                <w:left w:val="none" w:sz="0" w:space="0" w:color="auto"/>
                <w:bottom w:val="none" w:sz="0" w:space="0" w:color="auto"/>
                <w:right w:val="none" w:sz="0" w:space="0" w:color="auto"/>
              </w:divBdr>
            </w:div>
            <w:div w:id="139927873">
              <w:marLeft w:val="0"/>
              <w:marRight w:val="0"/>
              <w:marTop w:val="0"/>
              <w:marBottom w:val="0"/>
              <w:divBdr>
                <w:top w:val="none" w:sz="0" w:space="0" w:color="auto"/>
                <w:left w:val="none" w:sz="0" w:space="0" w:color="auto"/>
                <w:bottom w:val="none" w:sz="0" w:space="0" w:color="auto"/>
                <w:right w:val="none" w:sz="0" w:space="0" w:color="auto"/>
              </w:divBdr>
            </w:div>
            <w:div w:id="179976415">
              <w:marLeft w:val="0"/>
              <w:marRight w:val="0"/>
              <w:marTop w:val="0"/>
              <w:marBottom w:val="0"/>
              <w:divBdr>
                <w:top w:val="none" w:sz="0" w:space="0" w:color="auto"/>
                <w:left w:val="none" w:sz="0" w:space="0" w:color="auto"/>
                <w:bottom w:val="none" w:sz="0" w:space="0" w:color="auto"/>
                <w:right w:val="none" w:sz="0" w:space="0" w:color="auto"/>
              </w:divBdr>
            </w:div>
            <w:div w:id="185560604">
              <w:marLeft w:val="0"/>
              <w:marRight w:val="0"/>
              <w:marTop w:val="0"/>
              <w:marBottom w:val="0"/>
              <w:divBdr>
                <w:top w:val="none" w:sz="0" w:space="0" w:color="auto"/>
                <w:left w:val="none" w:sz="0" w:space="0" w:color="auto"/>
                <w:bottom w:val="none" w:sz="0" w:space="0" w:color="auto"/>
                <w:right w:val="none" w:sz="0" w:space="0" w:color="auto"/>
              </w:divBdr>
            </w:div>
            <w:div w:id="193084344">
              <w:marLeft w:val="0"/>
              <w:marRight w:val="0"/>
              <w:marTop w:val="0"/>
              <w:marBottom w:val="0"/>
              <w:divBdr>
                <w:top w:val="none" w:sz="0" w:space="0" w:color="auto"/>
                <w:left w:val="none" w:sz="0" w:space="0" w:color="auto"/>
                <w:bottom w:val="none" w:sz="0" w:space="0" w:color="auto"/>
                <w:right w:val="none" w:sz="0" w:space="0" w:color="auto"/>
              </w:divBdr>
            </w:div>
            <w:div w:id="193736761">
              <w:marLeft w:val="0"/>
              <w:marRight w:val="0"/>
              <w:marTop w:val="0"/>
              <w:marBottom w:val="0"/>
              <w:divBdr>
                <w:top w:val="none" w:sz="0" w:space="0" w:color="auto"/>
                <w:left w:val="none" w:sz="0" w:space="0" w:color="auto"/>
                <w:bottom w:val="none" w:sz="0" w:space="0" w:color="auto"/>
                <w:right w:val="none" w:sz="0" w:space="0" w:color="auto"/>
              </w:divBdr>
            </w:div>
            <w:div w:id="193884539">
              <w:marLeft w:val="0"/>
              <w:marRight w:val="0"/>
              <w:marTop w:val="0"/>
              <w:marBottom w:val="0"/>
              <w:divBdr>
                <w:top w:val="none" w:sz="0" w:space="0" w:color="auto"/>
                <w:left w:val="none" w:sz="0" w:space="0" w:color="auto"/>
                <w:bottom w:val="none" w:sz="0" w:space="0" w:color="auto"/>
                <w:right w:val="none" w:sz="0" w:space="0" w:color="auto"/>
              </w:divBdr>
            </w:div>
            <w:div w:id="204684665">
              <w:marLeft w:val="0"/>
              <w:marRight w:val="0"/>
              <w:marTop w:val="0"/>
              <w:marBottom w:val="0"/>
              <w:divBdr>
                <w:top w:val="none" w:sz="0" w:space="0" w:color="auto"/>
                <w:left w:val="none" w:sz="0" w:space="0" w:color="auto"/>
                <w:bottom w:val="none" w:sz="0" w:space="0" w:color="auto"/>
                <w:right w:val="none" w:sz="0" w:space="0" w:color="auto"/>
              </w:divBdr>
            </w:div>
            <w:div w:id="208689529">
              <w:marLeft w:val="0"/>
              <w:marRight w:val="0"/>
              <w:marTop w:val="0"/>
              <w:marBottom w:val="0"/>
              <w:divBdr>
                <w:top w:val="none" w:sz="0" w:space="0" w:color="auto"/>
                <w:left w:val="none" w:sz="0" w:space="0" w:color="auto"/>
                <w:bottom w:val="none" w:sz="0" w:space="0" w:color="auto"/>
                <w:right w:val="none" w:sz="0" w:space="0" w:color="auto"/>
              </w:divBdr>
            </w:div>
            <w:div w:id="213389693">
              <w:marLeft w:val="0"/>
              <w:marRight w:val="0"/>
              <w:marTop w:val="0"/>
              <w:marBottom w:val="0"/>
              <w:divBdr>
                <w:top w:val="none" w:sz="0" w:space="0" w:color="auto"/>
                <w:left w:val="none" w:sz="0" w:space="0" w:color="auto"/>
                <w:bottom w:val="none" w:sz="0" w:space="0" w:color="auto"/>
                <w:right w:val="none" w:sz="0" w:space="0" w:color="auto"/>
              </w:divBdr>
            </w:div>
            <w:div w:id="213858233">
              <w:marLeft w:val="0"/>
              <w:marRight w:val="0"/>
              <w:marTop w:val="0"/>
              <w:marBottom w:val="0"/>
              <w:divBdr>
                <w:top w:val="none" w:sz="0" w:space="0" w:color="auto"/>
                <w:left w:val="none" w:sz="0" w:space="0" w:color="auto"/>
                <w:bottom w:val="none" w:sz="0" w:space="0" w:color="auto"/>
                <w:right w:val="none" w:sz="0" w:space="0" w:color="auto"/>
              </w:divBdr>
            </w:div>
            <w:div w:id="214974074">
              <w:marLeft w:val="0"/>
              <w:marRight w:val="0"/>
              <w:marTop w:val="0"/>
              <w:marBottom w:val="0"/>
              <w:divBdr>
                <w:top w:val="none" w:sz="0" w:space="0" w:color="auto"/>
                <w:left w:val="none" w:sz="0" w:space="0" w:color="auto"/>
                <w:bottom w:val="none" w:sz="0" w:space="0" w:color="auto"/>
                <w:right w:val="none" w:sz="0" w:space="0" w:color="auto"/>
              </w:divBdr>
            </w:div>
            <w:div w:id="215633012">
              <w:marLeft w:val="0"/>
              <w:marRight w:val="0"/>
              <w:marTop w:val="0"/>
              <w:marBottom w:val="0"/>
              <w:divBdr>
                <w:top w:val="none" w:sz="0" w:space="0" w:color="auto"/>
                <w:left w:val="none" w:sz="0" w:space="0" w:color="auto"/>
                <w:bottom w:val="none" w:sz="0" w:space="0" w:color="auto"/>
                <w:right w:val="none" w:sz="0" w:space="0" w:color="auto"/>
              </w:divBdr>
            </w:div>
            <w:div w:id="223368787">
              <w:marLeft w:val="0"/>
              <w:marRight w:val="0"/>
              <w:marTop w:val="0"/>
              <w:marBottom w:val="0"/>
              <w:divBdr>
                <w:top w:val="none" w:sz="0" w:space="0" w:color="auto"/>
                <w:left w:val="none" w:sz="0" w:space="0" w:color="auto"/>
                <w:bottom w:val="none" w:sz="0" w:space="0" w:color="auto"/>
                <w:right w:val="none" w:sz="0" w:space="0" w:color="auto"/>
              </w:divBdr>
            </w:div>
            <w:div w:id="234317544">
              <w:marLeft w:val="0"/>
              <w:marRight w:val="0"/>
              <w:marTop w:val="0"/>
              <w:marBottom w:val="0"/>
              <w:divBdr>
                <w:top w:val="none" w:sz="0" w:space="0" w:color="auto"/>
                <w:left w:val="none" w:sz="0" w:space="0" w:color="auto"/>
                <w:bottom w:val="none" w:sz="0" w:space="0" w:color="auto"/>
                <w:right w:val="none" w:sz="0" w:space="0" w:color="auto"/>
              </w:divBdr>
            </w:div>
            <w:div w:id="236284454">
              <w:marLeft w:val="0"/>
              <w:marRight w:val="0"/>
              <w:marTop w:val="0"/>
              <w:marBottom w:val="0"/>
              <w:divBdr>
                <w:top w:val="none" w:sz="0" w:space="0" w:color="auto"/>
                <w:left w:val="none" w:sz="0" w:space="0" w:color="auto"/>
                <w:bottom w:val="none" w:sz="0" w:space="0" w:color="auto"/>
                <w:right w:val="none" w:sz="0" w:space="0" w:color="auto"/>
              </w:divBdr>
            </w:div>
            <w:div w:id="240332285">
              <w:marLeft w:val="0"/>
              <w:marRight w:val="0"/>
              <w:marTop w:val="0"/>
              <w:marBottom w:val="0"/>
              <w:divBdr>
                <w:top w:val="none" w:sz="0" w:space="0" w:color="auto"/>
                <w:left w:val="none" w:sz="0" w:space="0" w:color="auto"/>
                <w:bottom w:val="none" w:sz="0" w:space="0" w:color="auto"/>
                <w:right w:val="none" w:sz="0" w:space="0" w:color="auto"/>
              </w:divBdr>
            </w:div>
            <w:div w:id="246959357">
              <w:marLeft w:val="0"/>
              <w:marRight w:val="0"/>
              <w:marTop w:val="0"/>
              <w:marBottom w:val="0"/>
              <w:divBdr>
                <w:top w:val="none" w:sz="0" w:space="0" w:color="auto"/>
                <w:left w:val="none" w:sz="0" w:space="0" w:color="auto"/>
                <w:bottom w:val="none" w:sz="0" w:space="0" w:color="auto"/>
                <w:right w:val="none" w:sz="0" w:space="0" w:color="auto"/>
              </w:divBdr>
            </w:div>
            <w:div w:id="247466930">
              <w:marLeft w:val="0"/>
              <w:marRight w:val="0"/>
              <w:marTop w:val="0"/>
              <w:marBottom w:val="0"/>
              <w:divBdr>
                <w:top w:val="none" w:sz="0" w:space="0" w:color="auto"/>
                <w:left w:val="none" w:sz="0" w:space="0" w:color="auto"/>
                <w:bottom w:val="none" w:sz="0" w:space="0" w:color="auto"/>
                <w:right w:val="none" w:sz="0" w:space="0" w:color="auto"/>
              </w:divBdr>
            </w:div>
            <w:div w:id="256328137">
              <w:marLeft w:val="0"/>
              <w:marRight w:val="0"/>
              <w:marTop w:val="0"/>
              <w:marBottom w:val="0"/>
              <w:divBdr>
                <w:top w:val="none" w:sz="0" w:space="0" w:color="auto"/>
                <w:left w:val="none" w:sz="0" w:space="0" w:color="auto"/>
                <w:bottom w:val="none" w:sz="0" w:space="0" w:color="auto"/>
                <w:right w:val="none" w:sz="0" w:space="0" w:color="auto"/>
              </w:divBdr>
            </w:div>
            <w:div w:id="256406239">
              <w:marLeft w:val="0"/>
              <w:marRight w:val="0"/>
              <w:marTop w:val="0"/>
              <w:marBottom w:val="0"/>
              <w:divBdr>
                <w:top w:val="none" w:sz="0" w:space="0" w:color="auto"/>
                <w:left w:val="none" w:sz="0" w:space="0" w:color="auto"/>
                <w:bottom w:val="none" w:sz="0" w:space="0" w:color="auto"/>
                <w:right w:val="none" w:sz="0" w:space="0" w:color="auto"/>
              </w:divBdr>
            </w:div>
            <w:div w:id="264266071">
              <w:marLeft w:val="0"/>
              <w:marRight w:val="0"/>
              <w:marTop w:val="0"/>
              <w:marBottom w:val="0"/>
              <w:divBdr>
                <w:top w:val="none" w:sz="0" w:space="0" w:color="auto"/>
                <w:left w:val="none" w:sz="0" w:space="0" w:color="auto"/>
                <w:bottom w:val="none" w:sz="0" w:space="0" w:color="auto"/>
                <w:right w:val="none" w:sz="0" w:space="0" w:color="auto"/>
              </w:divBdr>
            </w:div>
            <w:div w:id="267394785">
              <w:marLeft w:val="0"/>
              <w:marRight w:val="0"/>
              <w:marTop w:val="0"/>
              <w:marBottom w:val="0"/>
              <w:divBdr>
                <w:top w:val="none" w:sz="0" w:space="0" w:color="auto"/>
                <w:left w:val="none" w:sz="0" w:space="0" w:color="auto"/>
                <w:bottom w:val="none" w:sz="0" w:space="0" w:color="auto"/>
                <w:right w:val="none" w:sz="0" w:space="0" w:color="auto"/>
              </w:divBdr>
            </w:div>
            <w:div w:id="278952218">
              <w:marLeft w:val="0"/>
              <w:marRight w:val="0"/>
              <w:marTop w:val="0"/>
              <w:marBottom w:val="0"/>
              <w:divBdr>
                <w:top w:val="none" w:sz="0" w:space="0" w:color="auto"/>
                <w:left w:val="none" w:sz="0" w:space="0" w:color="auto"/>
                <w:bottom w:val="none" w:sz="0" w:space="0" w:color="auto"/>
                <w:right w:val="none" w:sz="0" w:space="0" w:color="auto"/>
              </w:divBdr>
            </w:div>
            <w:div w:id="281303599">
              <w:marLeft w:val="0"/>
              <w:marRight w:val="0"/>
              <w:marTop w:val="0"/>
              <w:marBottom w:val="0"/>
              <w:divBdr>
                <w:top w:val="none" w:sz="0" w:space="0" w:color="auto"/>
                <w:left w:val="none" w:sz="0" w:space="0" w:color="auto"/>
                <w:bottom w:val="none" w:sz="0" w:space="0" w:color="auto"/>
                <w:right w:val="none" w:sz="0" w:space="0" w:color="auto"/>
              </w:divBdr>
            </w:div>
            <w:div w:id="293371481">
              <w:marLeft w:val="0"/>
              <w:marRight w:val="0"/>
              <w:marTop w:val="0"/>
              <w:marBottom w:val="0"/>
              <w:divBdr>
                <w:top w:val="none" w:sz="0" w:space="0" w:color="auto"/>
                <w:left w:val="none" w:sz="0" w:space="0" w:color="auto"/>
                <w:bottom w:val="none" w:sz="0" w:space="0" w:color="auto"/>
                <w:right w:val="none" w:sz="0" w:space="0" w:color="auto"/>
              </w:divBdr>
            </w:div>
            <w:div w:id="294875783">
              <w:marLeft w:val="0"/>
              <w:marRight w:val="0"/>
              <w:marTop w:val="0"/>
              <w:marBottom w:val="0"/>
              <w:divBdr>
                <w:top w:val="none" w:sz="0" w:space="0" w:color="auto"/>
                <w:left w:val="none" w:sz="0" w:space="0" w:color="auto"/>
                <w:bottom w:val="none" w:sz="0" w:space="0" w:color="auto"/>
                <w:right w:val="none" w:sz="0" w:space="0" w:color="auto"/>
              </w:divBdr>
            </w:div>
            <w:div w:id="303660634">
              <w:marLeft w:val="0"/>
              <w:marRight w:val="0"/>
              <w:marTop w:val="0"/>
              <w:marBottom w:val="0"/>
              <w:divBdr>
                <w:top w:val="none" w:sz="0" w:space="0" w:color="auto"/>
                <w:left w:val="none" w:sz="0" w:space="0" w:color="auto"/>
                <w:bottom w:val="none" w:sz="0" w:space="0" w:color="auto"/>
                <w:right w:val="none" w:sz="0" w:space="0" w:color="auto"/>
              </w:divBdr>
            </w:div>
            <w:div w:id="307637208">
              <w:marLeft w:val="0"/>
              <w:marRight w:val="0"/>
              <w:marTop w:val="0"/>
              <w:marBottom w:val="0"/>
              <w:divBdr>
                <w:top w:val="none" w:sz="0" w:space="0" w:color="auto"/>
                <w:left w:val="none" w:sz="0" w:space="0" w:color="auto"/>
                <w:bottom w:val="none" w:sz="0" w:space="0" w:color="auto"/>
                <w:right w:val="none" w:sz="0" w:space="0" w:color="auto"/>
              </w:divBdr>
            </w:div>
            <w:div w:id="308675807">
              <w:marLeft w:val="0"/>
              <w:marRight w:val="0"/>
              <w:marTop w:val="0"/>
              <w:marBottom w:val="0"/>
              <w:divBdr>
                <w:top w:val="none" w:sz="0" w:space="0" w:color="auto"/>
                <w:left w:val="none" w:sz="0" w:space="0" w:color="auto"/>
                <w:bottom w:val="none" w:sz="0" w:space="0" w:color="auto"/>
                <w:right w:val="none" w:sz="0" w:space="0" w:color="auto"/>
              </w:divBdr>
            </w:div>
            <w:div w:id="321589409">
              <w:marLeft w:val="0"/>
              <w:marRight w:val="0"/>
              <w:marTop w:val="0"/>
              <w:marBottom w:val="0"/>
              <w:divBdr>
                <w:top w:val="none" w:sz="0" w:space="0" w:color="auto"/>
                <w:left w:val="none" w:sz="0" w:space="0" w:color="auto"/>
                <w:bottom w:val="none" w:sz="0" w:space="0" w:color="auto"/>
                <w:right w:val="none" w:sz="0" w:space="0" w:color="auto"/>
              </w:divBdr>
            </w:div>
            <w:div w:id="322853131">
              <w:marLeft w:val="0"/>
              <w:marRight w:val="0"/>
              <w:marTop w:val="0"/>
              <w:marBottom w:val="0"/>
              <w:divBdr>
                <w:top w:val="none" w:sz="0" w:space="0" w:color="auto"/>
                <w:left w:val="none" w:sz="0" w:space="0" w:color="auto"/>
                <w:bottom w:val="none" w:sz="0" w:space="0" w:color="auto"/>
                <w:right w:val="none" w:sz="0" w:space="0" w:color="auto"/>
              </w:divBdr>
            </w:div>
            <w:div w:id="332416103">
              <w:marLeft w:val="0"/>
              <w:marRight w:val="0"/>
              <w:marTop w:val="0"/>
              <w:marBottom w:val="0"/>
              <w:divBdr>
                <w:top w:val="none" w:sz="0" w:space="0" w:color="auto"/>
                <w:left w:val="none" w:sz="0" w:space="0" w:color="auto"/>
                <w:bottom w:val="none" w:sz="0" w:space="0" w:color="auto"/>
                <w:right w:val="none" w:sz="0" w:space="0" w:color="auto"/>
              </w:divBdr>
            </w:div>
            <w:div w:id="333192068">
              <w:marLeft w:val="0"/>
              <w:marRight w:val="0"/>
              <w:marTop w:val="0"/>
              <w:marBottom w:val="0"/>
              <w:divBdr>
                <w:top w:val="none" w:sz="0" w:space="0" w:color="auto"/>
                <w:left w:val="none" w:sz="0" w:space="0" w:color="auto"/>
                <w:bottom w:val="none" w:sz="0" w:space="0" w:color="auto"/>
                <w:right w:val="none" w:sz="0" w:space="0" w:color="auto"/>
              </w:divBdr>
            </w:div>
            <w:div w:id="333267894">
              <w:marLeft w:val="0"/>
              <w:marRight w:val="0"/>
              <w:marTop w:val="0"/>
              <w:marBottom w:val="0"/>
              <w:divBdr>
                <w:top w:val="none" w:sz="0" w:space="0" w:color="auto"/>
                <w:left w:val="none" w:sz="0" w:space="0" w:color="auto"/>
                <w:bottom w:val="none" w:sz="0" w:space="0" w:color="auto"/>
                <w:right w:val="none" w:sz="0" w:space="0" w:color="auto"/>
              </w:divBdr>
            </w:div>
            <w:div w:id="333340295">
              <w:marLeft w:val="0"/>
              <w:marRight w:val="0"/>
              <w:marTop w:val="0"/>
              <w:marBottom w:val="0"/>
              <w:divBdr>
                <w:top w:val="none" w:sz="0" w:space="0" w:color="auto"/>
                <w:left w:val="none" w:sz="0" w:space="0" w:color="auto"/>
                <w:bottom w:val="none" w:sz="0" w:space="0" w:color="auto"/>
                <w:right w:val="none" w:sz="0" w:space="0" w:color="auto"/>
              </w:divBdr>
            </w:div>
            <w:div w:id="338775420">
              <w:marLeft w:val="0"/>
              <w:marRight w:val="0"/>
              <w:marTop w:val="0"/>
              <w:marBottom w:val="0"/>
              <w:divBdr>
                <w:top w:val="none" w:sz="0" w:space="0" w:color="auto"/>
                <w:left w:val="none" w:sz="0" w:space="0" w:color="auto"/>
                <w:bottom w:val="none" w:sz="0" w:space="0" w:color="auto"/>
                <w:right w:val="none" w:sz="0" w:space="0" w:color="auto"/>
              </w:divBdr>
            </w:div>
            <w:div w:id="341856407">
              <w:marLeft w:val="0"/>
              <w:marRight w:val="0"/>
              <w:marTop w:val="0"/>
              <w:marBottom w:val="0"/>
              <w:divBdr>
                <w:top w:val="none" w:sz="0" w:space="0" w:color="auto"/>
                <w:left w:val="none" w:sz="0" w:space="0" w:color="auto"/>
                <w:bottom w:val="none" w:sz="0" w:space="0" w:color="auto"/>
                <w:right w:val="none" w:sz="0" w:space="0" w:color="auto"/>
              </w:divBdr>
            </w:div>
            <w:div w:id="353270424">
              <w:marLeft w:val="0"/>
              <w:marRight w:val="0"/>
              <w:marTop w:val="0"/>
              <w:marBottom w:val="0"/>
              <w:divBdr>
                <w:top w:val="none" w:sz="0" w:space="0" w:color="auto"/>
                <w:left w:val="none" w:sz="0" w:space="0" w:color="auto"/>
                <w:bottom w:val="none" w:sz="0" w:space="0" w:color="auto"/>
                <w:right w:val="none" w:sz="0" w:space="0" w:color="auto"/>
              </w:divBdr>
            </w:div>
            <w:div w:id="364983595">
              <w:marLeft w:val="0"/>
              <w:marRight w:val="0"/>
              <w:marTop w:val="0"/>
              <w:marBottom w:val="0"/>
              <w:divBdr>
                <w:top w:val="none" w:sz="0" w:space="0" w:color="auto"/>
                <w:left w:val="none" w:sz="0" w:space="0" w:color="auto"/>
                <w:bottom w:val="none" w:sz="0" w:space="0" w:color="auto"/>
                <w:right w:val="none" w:sz="0" w:space="0" w:color="auto"/>
              </w:divBdr>
            </w:div>
            <w:div w:id="365837314">
              <w:marLeft w:val="0"/>
              <w:marRight w:val="0"/>
              <w:marTop w:val="0"/>
              <w:marBottom w:val="0"/>
              <w:divBdr>
                <w:top w:val="none" w:sz="0" w:space="0" w:color="auto"/>
                <w:left w:val="none" w:sz="0" w:space="0" w:color="auto"/>
                <w:bottom w:val="none" w:sz="0" w:space="0" w:color="auto"/>
                <w:right w:val="none" w:sz="0" w:space="0" w:color="auto"/>
              </w:divBdr>
            </w:div>
            <w:div w:id="376123581">
              <w:marLeft w:val="0"/>
              <w:marRight w:val="0"/>
              <w:marTop w:val="0"/>
              <w:marBottom w:val="0"/>
              <w:divBdr>
                <w:top w:val="none" w:sz="0" w:space="0" w:color="auto"/>
                <w:left w:val="none" w:sz="0" w:space="0" w:color="auto"/>
                <w:bottom w:val="none" w:sz="0" w:space="0" w:color="auto"/>
                <w:right w:val="none" w:sz="0" w:space="0" w:color="auto"/>
              </w:divBdr>
            </w:div>
            <w:div w:id="376660645">
              <w:marLeft w:val="0"/>
              <w:marRight w:val="0"/>
              <w:marTop w:val="0"/>
              <w:marBottom w:val="0"/>
              <w:divBdr>
                <w:top w:val="none" w:sz="0" w:space="0" w:color="auto"/>
                <w:left w:val="none" w:sz="0" w:space="0" w:color="auto"/>
                <w:bottom w:val="none" w:sz="0" w:space="0" w:color="auto"/>
                <w:right w:val="none" w:sz="0" w:space="0" w:color="auto"/>
              </w:divBdr>
            </w:div>
            <w:div w:id="378163201">
              <w:marLeft w:val="0"/>
              <w:marRight w:val="0"/>
              <w:marTop w:val="0"/>
              <w:marBottom w:val="0"/>
              <w:divBdr>
                <w:top w:val="none" w:sz="0" w:space="0" w:color="auto"/>
                <w:left w:val="none" w:sz="0" w:space="0" w:color="auto"/>
                <w:bottom w:val="none" w:sz="0" w:space="0" w:color="auto"/>
                <w:right w:val="none" w:sz="0" w:space="0" w:color="auto"/>
              </w:divBdr>
            </w:div>
            <w:div w:id="379403212">
              <w:marLeft w:val="0"/>
              <w:marRight w:val="0"/>
              <w:marTop w:val="0"/>
              <w:marBottom w:val="0"/>
              <w:divBdr>
                <w:top w:val="none" w:sz="0" w:space="0" w:color="auto"/>
                <w:left w:val="none" w:sz="0" w:space="0" w:color="auto"/>
                <w:bottom w:val="none" w:sz="0" w:space="0" w:color="auto"/>
                <w:right w:val="none" w:sz="0" w:space="0" w:color="auto"/>
              </w:divBdr>
            </w:div>
            <w:div w:id="390423658">
              <w:marLeft w:val="0"/>
              <w:marRight w:val="0"/>
              <w:marTop w:val="0"/>
              <w:marBottom w:val="0"/>
              <w:divBdr>
                <w:top w:val="none" w:sz="0" w:space="0" w:color="auto"/>
                <w:left w:val="none" w:sz="0" w:space="0" w:color="auto"/>
                <w:bottom w:val="none" w:sz="0" w:space="0" w:color="auto"/>
                <w:right w:val="none" w:sz="0" w:space="0" w:color="auto"/>
              </w:divBdr>
            </w:div>
            <w:div w:id="407581101">
              <w:marLeft w:val="0"/>
              <w:marRight w:val="0"/>
              <w:marTop w:val="0"/>
              <w:marBottom w:val="0"/>
              <w:divBdr>
                <w:top w:val="none" w:sz="0" w:space="0" w:color="auto"/>
                <w:left w:val="none" w:sz="0" w:space="0" w:color="auto"/>
                <w:bottom w:val="none" w:sz="0" w:space="0" w:color="auto"/>
                <w:right w:val="none" w:sz="0" w:space="0" w:color="auto"/>
              </w:divBdr>
            </w:div>
            <w:div w:id="417336252">
              <w:marLeft w:val="0"/>
              <w:marRight w:val="0"/>
              <w:marTop w:val="0"/>
              <w:marBottom w:val="0"/>
              <w:divBdr>
                <w:top w:val="none" w:sz="0" w:space="0" w:color="auto"/>
                <w:left w:val="none" w:sz="0" w:space="0" w:color="auto"/>
                <w:bottom w:val="none" w:sz="0" w:space="0" w:color="auto"/>
                <w:right w:val="none" w:sz="0" w:space="0" w:color="auto"/>
              </w:divBdr>
            </w:div>
            <w:div w:id="422992430">
              <w:marLeft w:val="0"/>
              <w:marRight w:val="0"/>
              <w:marTop w:val="0"/>
              <w:marBottom w:val="0"/>
              <w:divBdr>
                <w:top w:val="none" w:sz="0" w:space="0" w:color="auto"/>
                <w:left w:val="none" w:sz="0" w:space="0" w:color="auto"/>
                <w:bottom w:val="none" w:sz="0" w:space="0" w:color="auto"/>
                <w:right w:val="none" w:sz="0" w:space="0" w:color="auto"/>
              </w:divBdr>
            </w:div>
            <w:div w:id="425880321">
              <w:marLeft w:val="0"/>
              <w:marRight w:val="0"/>
              <w:marTop w:val="0"/>
              <w:marBottom w:val="0"/>
              <w:divBdr>
                <w:top w:val="none" w:sz="0" w:space="0" w:color="auto"/>
                <w:left w:val="none" w:sz="0" w:space="0" w:color="auto"/>
                <w:bottom w:val="none" w:sz="0" w:space="0" w:color="auto"/>
                <w:right w:val="none" w:sz="0" w:space="0" w:color="auto"/>
              </w:divBdr>
            </w:div>
            <w:div w:id="431706219">
              <w:marLeft w:val="0"/>
              <w:marRight w:val="0"/>
              <w:marTop w:val="0"/>
              <w:marBottom w:val="0"/>
              <w:divBdr>
                <w:top w:val="none" w:sz="0" w:space="0" w:color="auto"/>
                <w:left w:val="none" w:sz="0" w:space="0" w:color="auto"/>
                <w:bottom w:val="none" w:sz="0" w:space="0" w:color="auto"/>
                <w:right w:val="none" w:sz="0" w:space="0" w:color="auto"/>
              </w:divBdr>
            </w:div>
            <w:div w:id="433594396">
              <w:marLeft w:val="0"/>
              <w:marRight w:val="0"/>
              <w:marTop w:val="0"/>
              <w:marBottom w:val="0"/>
              <w:divBdr>
                <w:top w:val="none" w:sz="0" w:space="0" w:color="auto"/>
                <w:left w:val="none" w:sz="0" w:space="0" w:color="auto"/>
                <w:bottom w:val="none" w:sz="0" w:space="0" w:color="auto"/>
                <w:right w:val="none" w:sz="0" w:space="0" w:color="auto"/>
              </w:divBdr>
            </w:div>
            <w:div w:id="434710043">
              <w:marLeft w:val="0"/>
              <w:marRight w:val="0"/>
              <w:marTop w:val="0"/>
              <w:marBottom w:val="0"/>
              <w:divBdr>
                <w:top w:val="none" w:sz="0" w:space="0" w:color="auto"/>
                <w:left w:val="none" w:sz="0" w:space="0" w:color="auto"/>
                <w:bottom w:val="none" w:sz="0" w:space="0" w:color="auto"/>
                <w:right w:val="none" w:sz="0" w:space="0" w:color="auto"/>
              </w:divBdr>
            </w:div>
            <w:div w:id="435752163">
              <w:marLeft w:val="0"/>
              <w:marRight w:val="0"/>
              <w:marTop w:val="0"/>
              <w:marBottom w:val="0"/>
              <w:divBdr>
                <w:top w:val="none" w:sz="0" w:space="0" w:color="auto"/>
                <w:left w:val="none" w:sz="0" w:space="0" w:color="auto"/>
                <w:bottom w:val="none" w:sz="0" w:space="0" w:color="auto"/>
                <w:right w:val="none" w:sz="0" w:space="0" w:color="auto"/>
              </w:divBdr>
            </w:div>
            <w:div w:id="436482478">
              <w:marLeft w:val="0"/>
              <w:marRight w:val="0"/>
              <w:marTop w:val="0"/>
              <w:marBottom w:val="0"/>
              <w:divBdr>
                <w:top w:val="none" w:sz="0" w:space="0" w:color="auto"/>
                <w:left w:val="none" w:sz="0" w:space="0" w:color="auto"/>
                <w:bottom w:val="none" w:sz="0" w:space="0" w:color="auto"/>
                <w:right w:val="none" w:sz="0" w:space="0" w:color="auto"/>
              </w:divBdr>
            </w:div>
            <w:div w:id="456801429">
              <w:marLeft w:val="0"/>
              <w:marRight w:val="0"/>
              <w:marTop w:val="0"/>
              <w:marBottom w:val="0"/>
              <w:divBdr>
                <w:top w:val="none" w:sz="0" w:space="0" w:color="auto"/>
                <w:left w:val="none" w:sz="0" w:space="0" w:color="auto"/>
                <w:bottom w:val="none" w:sz="0" w:space="0" w:color="auto"/>
                <w:right w:val="none" w:sz="0" w:space="0" w:color="auto"/>
              </w:divBdr>
            </w:div>
            <w:div w:id="460461919">
              <w:marLeft w:val="0"/>
              <w:marRight w:val="0"/>
              <w:marTop w:val="0"/>
              <w:marBottom w:val="0"/>
              <w:divBdr>
                <w:top w:val="none" w:sz="0" w:space="0" w:color="auto"/>
                <w:left w:val="none" w:sz="0" w:space="0" w:color="auto"/>
                <w:bottom w:val="none" w:sz="0" w:space="0" w:color="auto"/>
                <w:right w:val="none" w:sz="0" w:space="0" w:color="auto"/>
              </w:divBdr>
            </w:div>
            <w:div w:id="461509008">
              <w:marLeft w:val="0"/>
              <w:marRight w:val="0"/>
              <w:marTop w:val="0"/>
              <w:marBottom w:val="0"/>
              <w:divBdr>
                <w:top w:val="none" w:sz="0" w:space="0" w:color="auto"/>
                <w:left w:val="none" w:sz="0" w:space="0" w:color="auto"/>
                <w:bottom w:val="none" w:sz="0" w:space="0" w:color="auto"/>
                <w:right w:val="none" w:sz="0" w:space="0" w:color="auto"/>
              </w:divBdr>
            </w:div>
            <w:div w:id="480469649">
              <w:marLeft w:val="0"/>
              <w:marRight w:val="0"/>
              <w:marTop w:val="0"/>
              <w:marBottom w:val="0"/>
              <w:divBdr>
                <w:top w:val="none" w:sz="0" w:space="0" w:color="auto"/>
                <w:left w:val="none" w:sz="0" w:space="0" w:color="auto"/>
                <w:bottom w:val="none" w:sz="0" w:space="0" w:color="auto"/>
                <w:right w:val="none" w:sz="0" w:space="0" w:color="auto"/>
              </w:divBdr>
            </w:div>
            <w:div w:id="481115517">
              <w:marLeft w:val="0"/>
              <w:marRight w:val="0"/>
              <w:marTop w:val="0"/>
              <w:marBottom w:val="0"/>
              <w:divBdr>
                <w:top w:val="none" w:sz="0" w:space="0" w:color="auto"/>
                <w:left w:val="none" w:sz="0" w:space="0" w:color="auto"/>
                <w:bottom w:val="none" w:sz="0" w:space="0" w:color="auto"/>
                <w:right w:val="none" w:sz="0" w:space="0" w:color="auto"/>
              </w:divBdr>
            </w:div>
            <w:div w:id="486047200">
              <w:marLeft w:val="0"/>
              <w:marRight w:val="0"/>
              <w:marTop w:val="0"/>
              <w:marBottom w:val="0"/>
              <w:divBdr>
                <w:top w:val="none" w:sz="0" w:space="0" w:color="auto"/>
                <w:left w:val="none" w:sz="0" w:space="0" w:color="auto"/>
                <w:bottom w:val="none" w:sz="0" w:space="0" w:color="auto"/>
                <w:right w:val="none" w:sz="0" w:space="0" w:color="auto"/>
              </w:divBdr>
            </w:div>
            <w:div w:id="492574076">
              <w:marLeft w:val="0"/>
              <w:marRight w:val="0"/>
              <w:marTop w:val="0"/>
              <w:marBottom w:val="0"/>
              <w:divBdr>
                <w:top w:val="none" w:sz="0" w:space="0" w:color="auto"/>
                <w:left w:val="none" w:sz="0" w:space="0" w:color="auto"/>
                <w:bottom w:val="none" w:sz="0" w:space="0" w:color="auto"/>
                <w:right w:val="none" w:sz="0" w:space="0" w:color="auto"/>
              </w:divBdr>
            </w:div>
            <w:div w:id="498807595">
              <w:marLeft w:val="0"/>
              <w:marRight w:val="0"/>
              <w:marTop w:val="0"/>
              <w:marBottom w:val="0"/>
              <w:divBdr>
                <w:top w:val="none" w:sz="0" w:space="0" w:color="auto"/>
                <w:left w:val="none" w:sz="0" w:space="0" w:color="auto"/>
                <w:bottom w:val="none" w:sz="0" w:space="0" w:color="auto"/>
                <w:right w:val="none" w:sz="0" w:space="0" w:color="auto"/>
              </w:divBdr>
            </w:div>
            <w:div w:id="501774223">
              <w:marLeft w:val="0"/>
              <w:marRight w:val="0"/>
              <w:marTop w:val="0"/>
              <w:marBottom w:val="0"/>
              <w:divBdr>
                <w:top w:val="none" w:sz="0" w:space="0" w:color="auto"/>
                <w:left w:val="none" w:sz="0" w:space="0" w:color="auto"/>
                <w:bottom w:val="none" w:sz="0" w:space="0" w:color="auto"/>
                <w:right w:val="none" w:sz="0" w:space="0" w:color="auto"/>
              </w:divBdr>
            </w:div>
            <w:div w:id="504444597">
              <w:marLeft w:val="0"/>
              <w:marRight w:val="0"/>
              <w:marTop w:val="0"/>
              <w:marBottom w:val="0"/>
              <w:divBdr>
                <w:top w:val="none" w:sz="0" w:space="0" w:color="auto"/>
                <w:left w:val="none" w:sz="0" w:space="0" w:color="auto"/>
                <w:bottom w:val="none" w:sz="0" w:space="0" w:color="auto"/>
                <w:right w:val="none" w:sz="0" w:space="0" w:color="auto"/>
              </w:divBdr>
            </w:div>
            <w:div w:id="506287628">
              <w:marLeft w:val="0"/>
              <w:marRight w:val="0"/>
              <w:marTop w:val="0"/>
              <w:marBottom w:val="0"/>
              <w:divBdr>
                <w:top w:val="none" w:sz="0" w:space="0" w:color="auto"/>
                <w:left w:val="none" w:sz="0" w:space="0" w:color="auto"/>
                <w:bottom w:val="none" w:sz="0" w:space="0" w:color="auto"/>
                <w:right w:val="none" w:sz="0" w:space="0" w:color="auto"/>
              </w:divBdr>
            </w:div>
            <w:div w:id="514853677">
              <w:marLeft w:val="0"/>
              <w:marRight w:val="0"/>
              <w:marTop w:val="0"/>
              <w:marBottom w:val="0"/>
              <w:divBdr>
                <w:top w:val="none" w:sz="0" w:space="0" w:color="auto"/>
                <w:left w:val="none" w:sz="0" w:space="0" w:color="auto"/>
                <w:bottom w:val="none" w:sz="0" w:space="0" w:color="auto"/>
                <w:right w:val="none" w:sz="0" w:space="0" w:color="auto"/>
              </w:divBdr>
            </w:div>
            <w:div w:id="517812281">
              <w:marLeft w:val="0"/>
              <w:marRight w:val="0"/>
              <w:marTop w:val="0"/>
              <w:marBottom w:val="0"/>
              <w:divBdr>
                <w:top w:val="none" w:sz="0" w:space="0" w:color="auto"/>
                <w:left w:val="none" w:sz="0" w:space="0" w:color="auto"/>
                <w:bottom w:val="none" w:sz="0" w:space="0" w:color="auto"/>
                <w:right w:val="none" w:sz="0" w:space="0" w:color="auto"/>
              </w:divBdr>
            </w:div>
            <w:div w:id="524490631">
              <w:marLeft w:val="0"/>
              <w:marRight w:val="0"/>
              <w:marTop w:val="0"/>
              <w:marBottom w:val="0"/>
              <w:divBdr>
                <w:top w:val="none" w:sz="0" w:space="0" w:color="auto"/>
                <w:left w:val="none" w:sz="0" w:space="0" w:color="auto"/>
                <w:bottom w:val="none" w:sz="0" w:space="0" w:color="auto"/>
                <w:right w:val="none" w:sz="0" w:space="0" w:color="auto"/>
              </w:divBdr>
            </w:div>
            <w:div w:id="542644657">
              <w:marLeft w:val="0"/>
              <w:marRight w:val="0"/>
              <w:marTop w:val="0"/>
              <w:marBottom w:val="0"/>
              <w:divBdr>
                <w:top w:val="none" w:sz="0" w:space="0" w:color="auto"/>
                <w:left w:val="none" w:sz="0" w:space="0" w:color="auto"/>
                <w:bottom w:val="none" w:sz="0" w:space="0" w:color="auto"/>
                <w:right w:val="none" w:sz="0" w:space="0" w:color="auto"/>
              </w:divBdr>
            </w:div>
            <w:div w:id="543062028">
              <w:marLeft w:val="0"/>
              <w:marRight w:val="0"/>
              <w:marTop w:val="0"/>
              <w:marBottom w:val="0"/>
              <w:divBdr>
                <w:top w:val="none" w:sz="0" w:space="0" w:color="auto"/>
                <w:left w:val="none" w:sz="0" w:space="0" w:color="auto"/>
                <w:bottom w:val="none" w:sz="0" w:space="0" w:color="auto"/>
                <w:right w:val="none" w:sz="0" w:space="0" w:color="auto"/>
              </w:divBdr>
            </w:div>
            <w:div w:id="550390224">
              <w:marLeft w:val="0"/>
              <w:marRight w:val="0"/>
              <w:marTop w:val="0"/>
              <w:marBottom w:val="0"/>
              <w:divBdr>
                <w:top w:val="none" w:sz="0" w:space="0" w:color="auto"/>
                <w:left w:val="none" w:sz="0" w:space="0" w:color="auto"/>
                <w:bottom w:val="none" w:sz="0" w:space="0" w:color="auto"/>
                <w:right w:val="none" w:sz="0" w:space="0" w:color="auto"/>
              </w:divBdr>
            </w:div>
            <w:div w:id="555438694">
              <w:marLeft w:val="0"/>
              <w:marRight w:val="0"/>
              <w:marTop w:val="0"/>
              <w:marBottom w:val="0"/>
              <w:divBdr>
                <w:top w:val="none" w:sz="0" w:space="0" w:color="auto"/>
                <w:left w:val="none" w:sz="0" w:space="0" w:color="auto"/>
                <w:bottom w:val="none" w:sz="0" w:space="0" w:color="auto"/>
                <w:right w:val="none" w:sz="0" w:space="0" w:color="auto"/>
              </w:divBdr>
            </w:div>
            <w:div w:id="564872550">
              <w:marLeft w:val="0"/>
              <w:marRight w:val="0"/>
              <w:marTop w:val="0"/>
              <w:marBottom w:val="0"/>
              <w:divBdr>
                <w:top w:val="none" w:sz="0" w:space="0" w:color="auto"/>
                <w:left w:val="none" w:sz="0" w:space="0" w:color="auto"/>
                <w:bottom w:val="none" w:sz="0" w:space="0" w:color="auto"/>
                <w:right w:val="none" w:sz="0" w:space="0" w:color="auto"/>
              </w:divBdr>
            </w:div>
            <w:div w:id="575751208">
              <w:marLeft w:val="0"/>
              <w:marRight w:val="0"/>
              <w:marTop w:val="0"/>
              <w:marBottom w:val="0"/>
              <w:divBdr>
                <w:top w:val="none" w:sz="0" w:space="0" w:color="auto"/>
                <w:left w:val="none" w:sz="0" w:space="0" w:color="auto"/>
                <w:bottom w:val="none" w:sz="0" w:space="0" w:color="auto"/>
                <w:right w:val="none" w:sz="0" w:space="0" w:color="auto"/>
              </w:divBdr>
            </w:div>
            <w:div w:id="578833023">
              <w:marLeft w:val="0"/>
              <w:marRight w:val="0"/>
              <w:marTop w:val="0"/>
              <w:marBottom w:val="0"/>
              <w:divBdr>
                <w:top w:val="none" w:sz="0" w:space="0" w:color="auto"/>
                <w:left w:val="none" w:sz="0" w:space="0" w:color="auto"/>
                <w:bottom w:val="none" w:sz="0" w:space="0" w:color="auto"/>
                <w:right w:val="none" w:sz="0" w:space="0" w:color="auto"/>
              </w:divBdr>
            </w:div>
            <w:div w:id="583491175">
              <w:marLeft w:val="0"/>
              <w:marRight w:val="0"/>
              <w:marTop w:val="0"/>
              <w:marBottom w:val="0"/>
              <w:divBdr>
                <w:top w:val="none" w:sz="0" w:space="0" w:color="auto"/>
                <w:left w:val="none" w:sz="0" w:space="0" w:color="auto"/>
                <w:bottom w:val="none" w:sz="0" w:space="0" w:color="auto"/>
                <w:right w:val="none" w:sz="0" w:space="0" w:color="auto"/>
              </w:divBdr>
            </w:div>
            <w:div w:id="601764595">
              <w:marLeft w:val="0"/>
              <w:marRight w:val="0"/>
              <w:marTop w:val="0"/>
              <w:marBottom w:val="0"/>
              <w:divBdr>
                <w:top w:val="none" w:sz="0" w:space="0" w:color="auto"/>
                <w:left w:val="none" w:sz="0" w:space="0" w:color="auto"/>
                <w:bottom w:val="none" w:sz="0" w:space="0" w:color="auto"/>
                <w:right w:val="none" w:sz="0" w:space="0" w:color="auto"/>
              </w:divBdr>
            </w:div>
            <w:div w:id="609900321">
              <w:marLeft w:val="0"/>
              <w:marRight w:val="0"/>
              <w:marTop w:val="0"/>
              <w:marBottom w:val="0"/>
              <w:divBdr>
                <w:top w:val="none" w:sz="0" w:space="0" w:color="auto"/>
                <w:left w:val="none" w:sz="0" w:space="0" w:color="auto"/>
                <w:bottom w:val="none" w:sz="0" w:space="0" w:color="auto"/>
                <w:right w:val="none" w:sz="0" w:space="0" w:color="auto"/>
              </w:divBdr>
            </w:div>
            <w:div w:id="618222208">
              <w:marLeft w:val="0"/>
              <w:marRight w:val="0"/>
              <w:marTop w:val="0"/>
              <w:marBottom w:val="0"/>
              <w:divBdr>
                <w:top w:val="none" w:sz="0" w:space="0" w:color="auto"/>
                <w:left w:val="none" w:sz="0" w:space="0" w:color="auto"/>
                <w:bottom w:val="none" w:sz="0" w:space="0" w:color="auto"/>
                <w:right w:val="none" w:sz="0" w:space="0" w:color="auto"/>
              </w:divBdr>
            </w:div>
            <w:div w:id="618415829">
              <w:marLeft w:val="0"/>
              <w:marRight w:val="0"/>
              <w:marTop w:val="0"/>
              <w:marBottom w:val="0"/>
              <w:divBdr>
                <w:top w:val="none" w:sz="0" w:space="0" w:color="auto"/>
                <w:left w:val="none" w:sz="0" w:space="0" w:color="auto"/>
                <w:bottom w:val="none" w:sz="0" w:space="0" w:color="auto"/>
                <w:right w:val="none" w:sz="0" w:space="0" w:color="auto"/>
              </w:divBdr>
            </w:div>
            <w:div w:id="625429435">
              <w:marLeft w:val="0"/>
              <w:marRight w:val="0"/>
              <w:marTop w:val="0"/>
              <w:marBottom w:val="0"/>
              <w:divBdr>
                <w:top w:val="none" w:sz="0" w:space="0" w:color="auto"/>
                <w:left w:val="none" w:sz="0" w:space="0" w:color="auto"/>
                <w:bottom w:val="none" w:sz="0" w:space="0" w:color="auto"/>
                <w:right w:val="none" w:sz="0" w:space="0" w:color="auto"/>
              </w:divBdr>
            </w:div>
            <w:div w:id="633563104">
              <w:marLeft w:val="0"/>
              <w:marRight w:val="0"/>
              <w:marTop w:val="0"/>
              <w:marBottom w:val="0"/>
              <w:divBdr>
                <w:top w:val="none" w:sz="0" w:space="0" w:color="auto"/>
                <w:left w:val="none" w:sz="0" w:space="0" w:color="auto"/>
                <w:bottom w:val="none" w:sz="0" w:space="0" w:color="auto"/>
                <w:right w:val="none" w:sz="0" w:space="0" w:color="auto"/>
              </w:divBdr>
            </w:div>
            <w:div w:id="634523581">
              <w:marLeft w:val="0"/>
              <w:marRight w:val="0"/>
              <w:marTop w:val="0"/>
              <w:marBottom w:val="0"/>
              <w:divBdr>
                <w:top w:val="none" w:sz="0" w:space="0" w:color="auto"/>
                <w:left w:val="none" w:sz="0" w:space="0" w:color="auto"/>
                <w:bottom w:val="none" w:sz="0" w:space="0" w:color="auto"/>
                <w:right w:val="none" w:sz="0" w:space="0" w:color="auto"/>
              </w:divBdr>
            </w:div>
            <w:div w:id="640310784">
              <w:marLeft w:val="0"/>
              <w:marRight w:val="0"/>
              <w:marTop w:val="0"/>
              <w:marBottom w:val="0"/>
              <w:divBdr>
                <w:top w:val="none" w:sz="0" w:space="0" w:color="auto"/>
                <w:left w:val="none" w:sz="0" w:space="0" w:color="auto"/>
                <w:bottom w:val="none" w:sz="0" w:space="0" w:color="auto"/>
                <w:right w:val="none" w:sz="0" w:space="0" w:color="auto"/>
              </w:divBdr>
            </w:div>
            <w:div w:id="651913411">
              <w:marLeft w:val="0"/>
              <w:marRight w:val="0"/>
              <w:marTop w:val="0"/>
              <w:marBottom w:val="0"/>
              <w:divBdr>
                <w:top w:val="none" w:sz="0" w:space="0" w:color="auto"/>
                <w:left w:val="none" w:sz="0" w:space="0" w:color="auto"/>
                <w:bottom w:val="none" w:sz="0" w:space="0" w:color="auto"/>
                <w:right w:val="none" w:sz="0" w:space="0" w:color="auto"/>
              </w:divBdr>
            </w:div>
            <w:div w:id="652804133">
              <w:marLeft w:val="0"/>
              <w:marRight w:val="0"/>
              <w:marTop w:val="0"/>
              <w:marBottom w:val="0"/>
              <w:divBdr>
                <w:top w:val="none" w:sz="0" w:space="0" w:color="auto"/>
                <w:left w:val="none" w:sz="0" w:space="0" w:color="auto"/>
                <w:bottom w:val="none" w:sz="0" w:space="0" w:color="auto"/>
                <w:right w:val="none" w:sz="0" w:space="0" w:color="auto"/>
              </w:divBdr>
            </w:div>
            <w:div w:id="654067417">
              <w:marLeft w:val="0"/>
              <w:marRight w:val="0"/>
              <w:marTop w:val="0"/>
              <w:marBottom w:val="0"/>
              <w:divBdr>
                <w:top w:val="none" w:sz="0" w:space="0" w:color="auto"/>
                <w:left w:val="none" w:sz="0" w:space="0" w:color="auto"/>
                <w:bottom w:val="none" w:sz="0" w:space="0" w:color="auto"/>
                <w:right w:val="none" w:sz="0" w:space="0" w:color="auto"/>
              </w:divBdr>
            </w:div>
            <w:div w:id="659041338">
              <w:marLeft w:val="0"/>
              <w:marRight w:val="0"/>
              <w:marTop w:val="0"/>
              <w:marBottom w:val="0"/>
              <w:divBdr>
                <w:top w:val="none" w:sz="0" w:space="0" w:color="auto"/>
                <w:left w:val="none" w:sz="0" w:space="0" w:color="auto"/>
                <w:bottom w:val="none" w:sz="0" w:space="0" w:color="auto"/>
                <w:right w:val="none" w:sz="0" w:space="0" w:color="auto"/>
              </w:divBdr>
            </w:div>
            <w:div w:id="659771358">
              <w:marLeft w:val="0"/>
              <w:marRight w:val="0"/>
              <w:marTop w:val="0"/>
              <w:marBottom w:val="0"/>
              <w:divBdr>
                <w:top w:val="none" w:sz="0" w:space="0" w:color="auto"/>
                <w:left w:val="none" w:sz="0" w:space="0" w:color="auto"/>
                <w:bottom w:val="none" w:sz="0" w:space="0" w:color="auto"/>
                <w:right w:val="none" w:sz="0" w:space="0" w:color="auto"/>
              </w:divBdr>
            </w:div>
            <w:div w:id="662051192">
              <w:marLeft w:val="0"/>
              <w:marRight w:val="0"/>
              <w:marTop w:val="0"/>
              <w:marBottom w:val="0"/>
              <w:divBdr>
                <w:top w:val="none" w:sz="0" w:space="0" w:color="auto"/>
                <w:left w:val="none" w:sz="0" w:space="0" w:color="auto"/>
                <w:bottom w:val="none" w:sz="0" w:space="0" w:color="auto"/>
                <w:right w:val="none" w:sz="0" w:space="0" w:color="auto"/>
              </w:divBdr>
            </w:div>
            <w:div w:id="662197878">
              <w:marLeft w:val="0"/>
              <w:marRight w:val="0"/>
              <w:marTop w:val="0"/>
              <w:marBottom w:val="0"/>
              <w:divBdr>
                <w:top w:val="none" w:sz="0" w:space="0" w:color="auto"/>
                <w:left w:val="none" w:sz="0" w:space="0" w:color="auto"/>
                <w:bottom w:val="none" w:sz="0" w:space="0" w:color="auto"/>
                <w:right w:val="none" w:sz="0" w:space="0" w:color="auto"/>
              </w:divBdr>
            </w:div>
            <w:div w:id="662582483">
              <w:marLeft w:val="0"/>
              <w:marRight w:val="0"/>
              <w:marTop w:val="0"/>
              <w:marBottom w:val="0"/>
              <w:divBdr>
                <w:top w:val="none" w:sz="0" w:space="0" w:color="auto"/>
                <w:left w:val="none" w:sz="0" w:space="0" w:color="auto"/>
                <w:bottom w:val="none" w:sz="0" w:space="0" w:color="auto"/>
                <w:right w:val="none" w:sz="0" w:space="0" w:color="auto"/>
              </w:divBdr>
            </w:div>
            <w:div w:id="663095644">
              <w:marLeft w:val="0"/>
              <w:marRight w:val="0"/>
              <w:marTop w:val="0"/>
              <w:marBottom w:val="0"/>
              <w:divBdr>
                <w:top w:val="none" w:sz="0" w:space="0" w:color="auto"/>
                <w:left w:val="none" w:sz="0" w:space="0" w:color="auto"/>
                <w:bottom w:val="none" w:sz="0" w:space="0" w:color="auto"/>
                <w:right w:val="none" w:sz="0" w:space="0" w:color="auto"/>
              </w:divBdr>
            </w:div>
            <w:div w:id="674653274">
              <w:marLeft w:val="0"/>
              <w:marRight w:val="0"/>
              <w:marTop w:val="0"/>
              <w:marBottom w:val="0"/>
              <w:divBdr>
                <w:top w:val="none" w:sz="0" w:space="0" w:color="auto"/>
                <w:left w:val="none" w:sz="0" w:space="0" w:color="auto"/>
                <w:bottom w:val="none" w:sz="0" w:space="0" w:color="auto"/>
                <w:right w:val="none" w:sz="0" w:space="0" w:color="auto"/>
              </w:divBdr>
            </w:div>
            <w:div w:id="680860185">
              <w:marLeft w:val="0"/>
              <w:marRight w:val="0"/>
              <w:marTop w:val="0"/>
              <w:marBottom w:val="0"/>
              <w:divBdr>
                <w:top w:val="none" w:sz="0" w:space="0" w:color="auto"/>
                <w:left w:val="none" w:sz="0" w:space="0" w:color="auto"/>
                <w:bottom w:val="none" w:sz="0" w:space="0" w:color="auto"/>
                <w:right w:val="none" w:sz="0" w:space="0" w:color="auto"/>
              </w:divBdr>
            </w:div>
            <w:div w:id="689844234">
              <w:marLeft w:val="0"/>
              <w:marRight w:val="0"/>
              <w:marTop w:val="0"/>
              <w:marBottom w:val="0"/>
              <w:divBdr>
                <w:top w:val="none" w:sz="0" w:space="0" w:color="auto"/>
                <w:left w:val="none" w:sz="0" w:space="0" w:color="auto"/>
                <w:bottom w:val="none" w:sz="0" w:space="0" w:color="auto"/>
                <w:right w:val="none" w:sz="0" w:space="0" w:color="auto"/>
              </w:divBdr>
            </w:div>
            <w:div w:id="692415994">
              <w:marLeft w:val="0"/>
              <w:marRight w:val="0"/>
              <w:marTop w:val="0"/>
              <w:marBottom w:val="0"/>
              <w:divBdr>
                <w:top w:val="none" w:sz="0" w:space="0" w:color="auto"/>
                <w:left w:val="none" w:sz="0" w:space="0" w:color="auto"/>
                <w:bottom w:val="none" w:sz="0" w:space="0" w:color="auto"/>
                <w:right w:val="none" w:sz="0" w:space="0" w:color="auto"/>
              </w:divBdr>
            </w:div>
            <w:div w:id="695887294">
              <w:marLeft w:val="0"/>
              <w:marRight w:val="0"/>
              <w:marTop w:val="0"/>
              <w:marBottom w:val="0"/>
              <w:divBdr>
                <w:top w:val="none" w:sz="0" w:space="0" w:color="auto"/>
                <w:left w:val="none" w:sz="0" w:space="0" w:color="auto"/>
                <w:bottom w:val="none" w:sz="0" w:space="0" w:color="auto"/>
                <w:right w:val="none" w:sz="0" w:space="0" w:color="auto"/>
              </w:divBdr>
            </w:div>
            <w:div w:id="698706703">
              <w:marLeft w:val="0"/>
              <w:marRight w:val="0"/>
              <w:marTop w:val="0"/>
              <w:marBottom w:val="0"/>
              <w:divBdr>
                <w:top w:val="none" w:sz="0" w:space="0" w:color="auto"/>
                <w:left w:val="none" w:sz="0" w:space="0" w:color="auto"/>
                <w:bottom w:val="none" w:sz="0" w:space="0" w:color="auto"/>
                <w:right w:val="none" w:sz="0" w:space="0" w:color="auto"/>
              </w:divBdr>
            </w:div>
            <w:div w:id="709232730">
              <w:marLeft w:val="0"/>
              <w:marRight w:val="0"/>
              <w:marTop w:val="0"/>
              <w:marBottom w:val="0"/>
              <w:divBdr>
                <w:top w:val="none" w:sz="0" w:space="0" w:color="auto"/>
                <w:left w:val="none" w:sz="0" w:space="0" w:color="auto"/>
                <w:bottom w:val="none" w:sz="0" w:space="0" w:color="auto"/>
                <w:right w:val="none" w:sz="0" w:space="0" w:color="auto"/>
              </w:divBdr>
            </w:div>
            <w:div w:id="711611849">
              <w:marLeft w:val="0"/>
              <w:marRight w:val="0"/>
              <w:marTop w:val="0"/>
              <w:marBottom w:val="0"/>
              <w:divBdr>
                <w:top w:val="none" w:sz="0" w:space="0" w:color="auto"/>
                <w:left w:val="none" w:sz="0" w:space="0" w:color="auto"/>
                <w:bottom w:val="none" w:sz="0" w:space="0" w:color="auto"/>
                <w:right w:val="none" w:sz="0" w:space="0" w:color="auto"/>
              </w:divBdr>
            </w:div>
            <w:div w:id="715814629">
              <w:marLeft w:val="0"/>
              <w:marRight w:val="0"/>
              <w:marTop w:val="0"/>
              <w:marBottom w:val="0"/>
              <w:divBdr>
                <w:top w:val="none" w:sz="0" w:space="0" w:color="auto"/>
                <w:left w:val="none" w:sz="0" w:space="0" w:color="auto"/>
                <w:bottom w:val="none" w:sz="0" w:space="0" w:color="auto"/>
                <w:right w:val="none" w:sz="0" w:space="0" w:color="auto"/>
              </w:divBdr>
            </w:div>
            <w:div w:id="730080469">
              <w:marLeft w:val="0"/>
              <w:marRight w:val="0"/>
              <w:marTop w:val="0"/>
              <w:marBottom w:val="0"/>
              <w:divBdr>
                <w:top w:val="none" w:sz="0" w:space="0" w:color="auto"/>
                <w:left w:val="none" w:sz="0" w:space="0" w:color="auto"/>
                <w:bottom w:val="none" w:sz="0" w:space="0" w:color="auto"/>
                <w:right w:val="none" w:sz="0" w:space="0" w:color="auto"/>
              </w:divBdr>
            </w:div>
            <w:div w:id="732629998">
              <w:marLeft w:val="0"/>
              <w:marRight w:val="0"/>
              <w:marTop w:val="0"/>
              <w:marBottom w:val="0"/>
              <w:divBdr>
                <w:top w:val="none" w:sz="0" w:space="0" w:color="auto"/>
                <w:left w:val="none" w:sz="0" w:space="0" w:color="auto"/>
                <w:bottom w:val="none" w:sz="0" w:space="0" w:color="auto"/>
                <w:right w:val="none" w:sz="0" w:space="0" w:color="auto"/>
              </w:divBdr>
            </w:div>
            <w:div w:id="734819514">
              <w:marLeft w:val="0"/>
              <w:marRight w:val="0"/>
              <w:marTop w:val="0"/>
              <w:marBottom w:val="0"/>
              <w:divBdr>
                <w:top w:val="none" w:sz="0" w:space="0" w:color="auto"/>
                <w:left w:val="none" w:sz="0" w:space="0" w:color="auto"/>
                <w:bottom w:val="none" w:sz="0" w:space="0" w:color="auto"/>
                <w:right w:val="none" w:sz="0" w:space="0" w:color="auto"/>
              </w:divBdr>
            </w:div>
            <w:div w:id="744911001">
              <w:marLeft w:val="0"/>
              <w:marRight w:val="0"/>
              <w:marTop w:val="0"/>
              <w:marBottom w:val="0"/>
              <w:divBdr>
                <w:top w:val="none" w:sz="0" w:space="0" w:color="auto"/>
                <w:left w:val="none" w:sz="0" w:space="0" w:color="auto"/>
                <w:bottom w:val="none" w:sz="0" w:space="0" w:color="auto"/>
                <w:right w:val="none" w:sz="0" w:space="0" w:color="auto"/>
              </w:divBdr>
            </w:div>
            <w:div w:id="746460131">
              <w:marLeft w:val="0"/>
              <w:marRight w:val="0"/>
              <w:marTop w:val="0"/>
              <w:marBottom w:val="0"/>
              <w:divBdr>
                <w:top w:val="none" w:sz="0" w:space="0" w:color="auto"/>
                <w:left w:val="none" w:sz="0" w:space="0" w:color="auto"/>
                <w:bottom w:val="none" w:sz="0" w:space="0" w:color="auto"/>
                <w:right w:val="none" w:sz="0" w:space="0" w:color="auto"/>
              </w:divBdr>
            </w:div>
            <w:div w:id="752044010">
              <w:marLeft w:val="0"/>
              <w:marRight w:val="0"/>
              <w:marTop w:val="0"/>
              <w:marBottom w:val="0"/>
              <w:divBdr>
                <w:top w:val="none" w:sz="0" w:space="0" w:color="auto"/>
                <w:left w:val="none" w:sz="0" w:space="0" w:color="auto"/>
                <w:bottom w:val="none" w:sz="0" w:space="0" w:color="auto"/>
                <w:right w:val="none" w:sz="0" w:space="0" w:color="auto"/>
              </w:divBdr>
            </w:div>
            <w:div w:id="757750281">
              <w:marLeft w:val="0"/>
              <w:marRight w:val="0"/>
              <w:marTop w:val="0"/>
              <w:marBottom w:val="0"/>
              <w:divBdr>
                <w:top w:val="none" w:sz="0" w:space="0" w:color="auto"/>
                <w:left w:val="none" w:sz="0" w:space="0" w:color="auto"/>
                <w:bottom w:val="none" w:sz="0" w:space="0" w:color="auto"/>
                <w:right w:val="none" w:sz="0" w:space="0" w:color="auto"/>
              </w:divBdr>
            </w:div>
            <w:div w:id="760487745">
              <w:marLeft w:val="0"/>
              <w:marRight w:val="0"/>
              <w:marTop w:val="0"/>
              <w:marBottom w:val="0"/>
              <w:divBdr>
                <w:top w:val="none" w:sz="0" w:space="0" w:color="auto"/>
                <w:left w:val="none" w:sz="0" w:space="0" w:color="auto"/>
                <w:bottom w:val="none" w:sz="0" w:space="0" w:color="auto"/>
                <w:right w:val="none" w:sz="0" w:space="0" w:color="auto"/>
              </w:divBdr>
            </w:div>
            <w:div w:id="763963084">
              <w:marLeft w:val="0"/>
              <w:marRight w:val="0"/>
              <w:marTop w:val="0"/>
              <w:marBottom w:val="0"/>
              <w:divBdr>
                <w:top w:val="none" w:sz="0" w:space="0" w:color="auto"/>
                <w:left w:val="none" w:sz="0" w:space="0" w:color="auto"/>
                <w:bottom w:val="none" w:sz="0" w:space="0" w:color="auto"/>
                <w:right w:val="none" w:sz="0" w:space="0" w:color="auto"/>
              </w:divBdr>
            </w:div>
            <w:div w:id="765077813">
              <w:marLeft w:val="0"/>
              <w:marRight w:val="0"/>
              <w:marTop w:val="0"/>
              <w:marBottom w:val="0"/>
              <w:divBdr>
                <w:top w:val="none" w:sz="0" w:space="0" w:color="auto"/>
                <w:left w:val="none" w:sz="0" w:space="0" w:color="auto"/>
                <w:bottom w:val="none" w:sz="0" w:space="0" w:color="auto"/>
                <w:right w:val="none" w:sz="0" w:space="0" w:color="auto"/>
              </w:divBdr>
            </w:div>
            <w:div w:id="769273861">
              <w:marLeft w:val="0"/>
              <w:marRight w:val="0"/>
              <w:marTop w:val="0"/>
              <w:marBottom w:val="0"/>
              <w:divBdr>
                <w:top w:val="none" w:sz="0" w:space="0" w:color="auto"/>
                <w:left w:val="none" w:sz="0" w:space="0" w:color="auto"/>
                <w:bottom w:val="none" w:sz="0" w:space="0" w:color="auto"/>
                <w:right w:val="none" w:sz="0" w:space="0" w:color="auto"/>
              </w:divBdr>
            </w:div>
            <w:div w:id="769932581">
              <w:marLeft w:val="0"/>
              <w:marRight w:val="0"/>
              <w:marTop w:val="0"/>
              <w:marBottom w:val="0"/>
              <w:divBdr>
                <w:top w:val="none" w:sz="0" w:space="0" w:color="auto"/>
                <w:left w:val="none" w:sz="0" w:space="0" w:color="auto"/>
                <w:bottom w:val="none" w:sz="0" w:space="0" w:color="auto"/>
                <w:right w:val="none" w:sz="0" w:space="0" w:color="auto"/>
              </w:divBdr>
            </w:div>
            <w:div w:id="772557410">
              <w:marLeft w:val="0"/>
              <w:marRight w:val="0"/>
              <w:marTop w:val="0"/>
              <w:marBottom w:val="0"/>
              <w:divBdr>
                <w:top w:val="none" w:sz="0" w:space="0" w:color="auto"/>
                <w:left w:val="none" w:sz="0" w:space="0" w:color="auto"/>
                <w:bottom w:val="none" w:sz="0" w:space="0" w:color="auto"/>
                <w:right w:val="none" w:sz="0" w:space="0" w:color="auto"/>
              </w:divBdr>
            </w:div>
            <w:div w:id="778378842">
              <w:marLeft w:val="0"/>
              <w:marRight w:val="0"/>
              <w:marTop w:val="0"/>
              <w:marBottom w:val="0"/>
              <w:divBdr>
                <w:top w:val="none" w:sz="0" w:space="0" w:color="auto"/>
                <w:left w:val="none" w:sz="0" w:space="0" w:color="auto"/>
                <w:bottom w:val="none" w:sz="0" w:space="0" w:color="auto"/>
                <w:right w:val="none" w:sz="0" w:space="0" w:color="auto"/>
              </w:divBdr>
            </w:div>
            <w:div w:id="789475497">
              <w:marLeft w:val="0"/>
              <w:marRight w:val="0"/>
              <w:marTop w:val="0"/>
              <w:marBottom w:val="0"/>
              <w:divBdr>
                <w:top w:val="none" w:sz="0" w:space="0" w:color="auto"/>
                <w:left w:val="none" w:sz="0" w:space="0" w:color="auto"/>
                <w:bottom w:val="none" w:sz="0" w:space="0" w:color="auto"/>
                <w:right w:val="none" w:sz="0" w:space="0" w:color="auto"/>
              </w:divBdr>
            </w:div>
            <w:div w:id="791632580">
              <w:marLeft w:val="0"/>
              <w:marRight w:val="0"/>
              <w:marTop w:val="0"/>
              <w:marBottom w:val="0"/>
              <w:divBdr>
                <w:top w:val="none" w:sz="0" w:space="0" w:color="auto"/>
                <w:left w:val="none" w:sz="0" w:space="0" w:color="auto"/>
                <w:bottom w:val="none" w:sz="0" w:space="0" w:color="auto"/>
                <w:right w:val="none" w:sz="0" w:space="0" w:color="auto"/>
              </w:divBdr>
            </w:div>
            <w:div w:id="792938442">
              <w:marLeft w:val="0"/>
              <w:marRight w:val="0"/>
              <w:marTop w:val="0"/>
              <w:marBottom w:val="0"/>
              <w:divBdr>
                <w:top w:val="none" w:sz="0" w:space="0" w:color="auto"/>
                <w:left w:val="none" w:sz="0" w:space="0" w:color="auto"/>
                <w:bottom w:val="none" w:sz="0" w:space="0" w:color="auto"/>
                <w:right w:val="none" w:sz="0" w:space="0" w:color="auto"/>
              </w:divBdr>
            </w:div>
            <w:div w:id="797844581">
              <w:marLeft w:val="0"/>
              <w:marRight w:val="0"/>
              <w:marTop w:val="0"/>
              <w:marBottom w:val="0"/>
              <w:divBdr>
                <w:top w:val="none" w:sz="0" w:space="0" w:color="auto"/>
                <w:left w:val="none" w:sz="0" w:space="0" w:color="auto"/>
                <w:bottom w:val="none" w:sz="0" w:space="0" w:color="auto"/>
                <w:right w:val="none" w:sz="0" w:space="0" w:color="auto"/>
              </w:divBdr>
            </w:div>
            <w:div w:id="802695470">
              <w:marLeft w:val="0"/>
              <w:marRight w:val="0"/>
              <w:marTop w:val="0"/>
              <w:marBottom w:val="0"/>
              <w:divBdr>
                <w:top w:val="none" w:sz="0" w:space="0" w:color="auto"/>
                <w:left w:val="none" w:sz="0" w:space="0" w:color="auto"/>
                <w:bottom w:val="none" w:sz="0" w:space="0" w:color="auto"/>
                <w:right w:val="none" w:sz="0" w:space="0" w:color="auto"/>
              </w:divBdr>
            </w:div>
            <w:div w:id="805970259">
              <w:marLeft w:val="0"/>
              <w:marRight w:val="0"/>
              <w:marTop w:val="0"/>
              <w:marBottom w:val="0"/>
              <w:divBdr>
                <w:top w:val="none" w:sz="0" w:space="0" w:color="auto"/>
                <w:left w:val="none" w:sz="0" w:space="0" w:color="auto"/>
                <w:bottom w:val="none" w:sz="0" w:space="0" w:color="auto"/>
                <w:right w:val="none" w:sz="0" w:space="0" w:color="auto"/>
              </w:divBdr>
            </w:div>
            <w:div w:id="812209892">
              <w:marLeft w:val="0"/>
              <w:marRight w:val="0"/>
              <w:marTop w:val="0"/>
              <w:marBottom w:val="0"/>
              <w:divBdr>
                <w:top w:val="none" w:sz="0" w:space="0" w:color="auto"/>
                <w:left w:val="none" w:sz="0" w:space="0" w:color="auto"/>
                <w:bottom w:val="none" w:sz="0" w:space="0" w:color="auto"/>
                <w:right w:val="none" w:sz="0" w:space="0" w:color="auto"/>
              </w:divBdr>
            </w:div>
            <w:div w:id="819922206">
              <w:marLeft w:val="0"/>
              <w:marRight w:val="0"/>
              <w:marTop w:val="0"/>
              <w:marBottom w:val="0"/>
              <w:divBdr>
                <w:top w:val="none" w:sz="0" w:space="0" w:color="auto"/>
                <w:left w:val="none" w:sz="0" w:space="0" w:color="auto"/>
                <w:bottom w:val="none" w:sz="0" w:space="0" w:color="auto"/>
                <w:right w:val="none" w:sz="0" w:space="0" w:color="auto"/>
              </w:divBdr>
            </w:div>
            <w:div w:id="821971904">
              <w:marLeft w:val="0"/>
              <w:marRight w:val="0"/>
              <w:marTop w:val="0"/>
              <w:marBottom w:val="0"/>
              <w:divBdr>
                <w:top w:val="none" w:sz="0" w:space="0" w:color="auto"/>
                <w:left w:val="none" w:sz="0" w:space="0" w:color="auto"/>
                <w:bottom w:val="none" w:sz="0" w:space="0" w:color="auto"/>
                <w:right w:val="none" w:sz="0" w:space="0" w:color="auto"/>
              </w:divBdr>
            </w:div>
            <w:div w:id="830758023">
              <w:marLeft w:val="0"/>
              <w:marRight w:val="0"/>
              <w:marTop w:val="0"/>
              <w:marBottom w:val="0"/>
              <w:divBdr>
                <w:top w:val="none" w:sz="0" w:space="0" w:color="auto"/>
                <w:left w:val="none" w:sz="0" w:space="0" w:color="auto"/>
                <w:bottom w:val="none" w:sz="0" w:space="0" w:color="auto"/>
                <w:right w:val="none" w:sz="0" w:space="0" w:color="auto"/>
              </w:divBdr>
            </w:div>
            <w:div w:id="835416027">
              <w:marLeft w:val="0"/>
              <w:marRight w:val="0"/>
              <w:marTop w:val="0"/>
              <w:marBottom w:val="0"/>
              <w:divBdr>
                <w:top w:val="none" w:sz="0" w:space="0" w:color="auto"/>
                <w:left w:val="none" w:sz="0" w:space="0" w:color="auto"/>
                <w:bottom w:val="none" w:sz="0" w:space="0" w:color="auto"/>
                <w:right w:val="none" w:sz="0" w:space="0" w:color="auto"/>
              </w:divBdr>
            </w:div>
            <w:div w:id="845829558">
              <w:marLeft w:val="0"/>
              <w:marRight w:val="0"/>
              <w:marTop w:val="0"/>
              <w:marBottom w:val="0"/>
              <w:divBdr>
                <w:top w:val="none" w:sz="0" w:space="0" w:color="auto"/>
                <w:left w:val="none" w:sz="0" w:space="0" w:color="auto"/>
                <w:bottom w:val="none" w:sz="0" w:space="0" w:color="auto"/>
                <w:right w:val="none" w:sz="0" w:space="0" w:color="auto"/>
              </w:divBdr>
            </w:div>
            <w:div w:id="847258427">
              <w:marLeft w:val="0"/>
              <w:marRight w:val="0"/>
              <w:marTop w:val="0"/>
              <w:marBottom w:val="0"/>
              <w:divBdr>
                <w:top w:val="none" w:sz="0" w:space="0" w:color="auto"/>
                <w:left w:val="none" w:sz="0" w:space="0" w:color="auto"/>
                <w:bottom w:val="none" w:sz="0" w:space="0" w:color="auto"/>
                <w:right w:val="none" w:sz="0" w:space="0" w:color="auto"/>
              </w:divBdr>
            </w:div>
            <w:div w:id="849030071">
              <w:marLeft w:val="0"/>
              <w:marRight w:val="0"/>
              <w:marTop w:val="0"/>
              <w:marBottom w:val="0"/>
              <w:divBdr>
                <w:top w:val="none" w:sz="0" w:space="0" w:color="auto"/>
                <w:left w:val="none" w:sz="0" w:space="0" w:color="auto"/>
                <w:bottom w:val="none" w:sz="0" w:space="0" w:color="auto"/>
                <w:right w:val="none" w:sz="0" w:space="0" w:color="auto"/>
              </w:divBdr>
            </w:div>
            <w:div w:id="850919743">
              <w:marLeft w:val="0"/>
              <w:marRight w:val="0"/>
              <w:marTop w:val="0"/>
              <w:marBottom w:val="0"/>
              <w:divBdr>
                <w:top w:val="none" w:sz="0" w:space="0" w:color="auto"/>
                <w:left w:val="none" w:sz="0" w:space="0" w:color="auto"/>
                <w:bottom w:val="none" w:sz="0" w:space="0" w:color="auto"/>
                <w:right w:val="none" w:sz="0" w:space="0" w:color="auto"/>
              </w:divBdr>
            </w:div>
            <w:div w:id="855730739">
              <w:marLeft w:val="0"/>
              <w:marRight w:val="0"/>
              <w:marTop w:val="0"/>
              <w:marBottom w:val="0"/>
              <w:divBdr>
                <w:top w:val="none" w:sz="0" w:space="0" w:color="auto"/>
                <w:left w:val="none" w:sz="0" w:space="0" w:color="auto"/>
                <w:bottom w:val="none" w:sz="0" w:space="0" w:color="auto"/>
                <w:right w:val="none" w:sz="0" w:space="0" w:color="auto"/>
              </w:divBdr>
            </w:div>
            <w:div w:id="855966923">
              <w:marLeft w:val="0"/>
              <w:marRight w:val="0"/>
              <w:marTop w:val="0"/>
              <w:marBottom w:val="0"/>
              <w:divBdr>
                <w:top w:val="none" w:sz="0" w:space="0" w:color="auto"/>
                <w:left w:val="none" w:sz="0" w:space="0" w:color="auto"/>
                <w:bottom w:val="none" w:sz="0" w:space="0" w:color="auto"/>
                <w:right w:val="none" w:sz="0" w:space="0" w:color="auto"/>
              </w:divBdr>
            </w:div>
            <w:div w:id="871114334">
              <w:marLeft w:val="0"/>
              <w:marRight w:val="0"/>
              <w:marTop w:val="0"/>
              <w:marBottom w:val="0"/>
              <w:divBdr>
                <w:top w:val="none" w:sz="0" w:space="0" w:color="auto"/>
                <w:left w:val="none" w:sz="0" w:space="0" w:color="auto"/>
                <w:bottom w:val="none" w:sz="0" w:space="0" w:color="auto"/>
                <w:right w:val="none" w:sz="0" w:space="0" w:color="auto"/>
              </w:divBdr>
            </w:div>
            <w:div w:id="873932205">
              <w:marLeft w:val="0"/>
              <w:marRight w:val="0"/>
              <w:marTop w:val="0"/>
              <w:marBottom w:val="0"/>
              <w:divBdr>
                <w:top w:val="none" w:sz="0" w:space="0" w:color="auto"/>
                <w:left w:val="none" w:sz="0" w:space="0" w:color="auto"/>
                <w:bottom w:val="none" w:sz="0" w:space="0" w:color="auto"/>
                <w:right w:val="none" w:sz="0" w:space="0" w:color="auto"/>
              </w:divBdr>
            </w:div>
            <w:div w:id="880941391">
              <w:marLeft w:val="0"/>
              <w:marRight w:val="0"/>
              <w:marTop w:val="0"/>
              <w:marBottom w:val="0"/>
              <w:divBdr>
                <w:top w:val="none" w:sz="0" w:space="0" w:color="auto"/>
                <w:left w:val="none" w:sz="0" w:space="0" w:color="auto"/>
                <w:bottom w:val="none" w:sz="0" w:space="0" w:color="auto"/>
                <w:right w:val="none" w:sz="0" w:space="0" w:color="auto"/>
              </w:divBdr>
            </w:div>
            <w:div w:id="892812955">
              <w:marLeft w:val="0"/>
              <w:marRight w:val="0"/>
              <w:marTop w:val="0"/>
              <w:marBottom w:val="0"/>
              <w:divBdr>
                <w:top w:val="none" w:sz="0" w:space="0" w:color="auto"/>
                <w:left w:val="none" w:sz="0" w:space="0" w:color="auto"/>
                <w:bottom w:val="none" w:sz="0" w:space="0" w:color="auto"/>
                <w:right w:val="none" w:sz="0" w:space="0" w:color="auto"/>
              </w:divBdr>
            </w:div>
            <w:div w:id="914820811">
              <w:marLeft w:val="0"/>
              <w:marRight w:val="0"/>
              <w:marTop w:val="0"/>
              <w:marBottom w:val="0"/>
              <w:divBdr>
                <w:top w:val="none" w:sz="0" w:space="0" w:color="auto"/>
                <w:left w:val="none" w:sz="0" w:space="0" w:color="auto"/>
                <w:bottom w:val="none" w:sz="0" w:space="0" w:color="auto"/>
                <w:right w:val="none" w:sz="0" w:space="0" w:color="auto"/>
              </w:divBdr>
            </w:div>
            <w:div w:id="920868791">
              <w:marLeft w:val="0"/>
              <w:marRight w:val="0"/>
              <w:marTop w:val="0"/>
              <w:marBottom w:val="0"/>
              <w:divBdr>
                <w:top w:val="none" w:sz="0" w:space="0" w:color="auto"/>
                <w:left w:val="none" w:sz="0" w:space="0" w:color="auto"/>
                <w:bottom w:val="none" w:sz="0" w:space="0" w:color="auto"/>
                <w:right w:val="none" w:sz="0" w:space="0" w:color="auto"/>
              </w:divBdr>
            </w:div>
            <w:div w:id="923302523">
              <w:marLeft w:val="0"/>
              <w:marRight w:val="0"/>
              <w:marTop w:val="0"/>
              <w:marBottom w:val="0"/>
              <w:divBdr>
                <w:top w:val="none" w:sz="0" w:space="0" w:color="auto"/>
                <w:left w:val="none" w:sz="0" w:space="0" w:color="auto"/>
                <w:bottom w:val="none" w:sz="0" w:space="0" w:color="auto"/>
                <w:right w:val="none" w:sz="0" w:space="0" w:color="auto"/>
              </w:divBdr>
            </w:div>
            <w:div w:id="924412993">
              <w:marLeft w:val="0"/>
              <w:marRight w:val="0"/>
              <w:marTop w:val="0"/>
              <w:marBottom w:val="0"/>
              <w:divBdr>
                <w:top w:val="none" w:sz="0" w:space="0" w:color="auto"/>
                <w:left w:val="none" w:sz="0" w:space="0" w:color="auto"/>
                <w:bottom w:val="none" w:sz="0" w:space="0" w:color="auto"/>
                <w:right w:val="none" w:sz="0" w:space="0" w:color="auto"/>
              </w:divBdr>
            </w:div>
            <w:div w:id="928195694">
              <w:marLeft w:val="0"/>
              <w:marRight w:val="0"/>
              <w:marTop w:val="0"/>
              <w:marBottom w:val="0"/>
              <w:divBdr>
                <w:top w:val="none" w:sz="0" w:space="0" w:color="auto"/>
                <w:left w:val="none" w:sz="0" w:space="0" w:color="auto"/>
                <w:bottom w:val="none" w:sz="0" w:space="0" w:color="auto"/>
                <w:right w:val="none" w:sz="0" w:space="0" w:color="auto"/>
              </w:divBdr>
            </w:div>
            <w:div w:id="932279401">
              <w:marLeft w:val="0"/>
              <w:marRight w:val="0"/>
              <w:marTop w:val="0"/>
              <w:marBottom w:val="0"/>
              <w:divBdr>
                <w:top w:val="none" w:sz="0" w:space="0" w:color="auto"/>
                <w:left w:val="none" w:sz="0" w:space="0" w:color="auto"/>
                <w:bottom w:val="none" w:sz="0" w:space="0" w:color="auto"/>
                <w:right w:val="none" w:sz="0" w:space="0" w:color="auto"/>
              </w:divBdr>
            </w:div>
            <w:div w:id="932586427">
              <w:marLeft w:val="0"/>
              <w:marRight w:val="0"/>
              <w:marTop w:val="0"/>
              <w:marBottom w:val="0"/>
              <w:divBdr>
                <w:top w:val="none" w:sz="0" w:space="0" w:color="auto"/>
                <w:left w:val="none" w:sz="0" w:space="0" w:color="auto"/>
                <w:bottom w:val="none" w:sz="0" w:space="0" w:color="auto"/>
                <w:right w:val="none" w:sz="0" w:space="0" w:color="auto"/>
              </w:divBdr>
            </w:div>
            <w:div w:id="941230849">
              <w:marLeft w:val="0"/>
              <w:marRight w:val="0"/>
              <w:marTop w:val="0"/>
              <w:marBottom w:val="0"/>
              <w:divBdr>
                <w:top w:val="none" w:sz="0" w:space="0" w:color="auto"/>
                <w:left w:val="none" w:sz="0" w:space="0" w:color="auto"/>
                <w:bottom w:val="none" w:sz="0" w:space="0" w:color="auto"/>
                <w:right w:val="none" w:sz="0" w:space="0" w:color="auto"/>
              </w:divBdr>
            </w:div>
            <w:div w:id="943265070">
              <w:marLeft w:val="0"/>
              <w:marRight w:val="0"/>
              <w:marTop w:val="0"/>
              <w:marBottom w:val="0"/>
              <w:divBdr>
                <w:top w:val="none" w:sz="0" w:space="0" w:color="auto"/>
                <w:left w:val="none" w:sz="0" w:space="0" w:color="auto"/>
                <w:bottom w:val="none" w:sz="0" w:space="0" w:color="auto"/>
                <w:right w:val="none" w:sz="0" w:space="0" w:color="auto"/>
              </w:divBdr>
            </w:div>
            <w:div w:id="956836344">
              <w:marLeft w:val="0"/>
              <w:marRight w:val="0"/>
              <w:marTop w:val="0"/>
              <w:marBottom w:val="0"/>
              <w:divBdr>
                <w:top w:val="none" w:sz="0" w:space="0" w:color="auto"/>
                <w:left w:val="none" w:sz="0" w:space="0" w:color="auto"/>
                <w:bottom w:val="none" w:sz="0" w:space="0" w:color="auto"/>
                <w:right w:val="none" w:sz="0" w:space="0" w:color="auto"/>
              </w:divBdr>
            </w:div>
            <w:div w:id="958604464">
              <w:marLeft w:val="0"/>
              <w:marRight w:val="0"/>
              <w:marTop w:val="0"/>
              <w:marBottom w:val="0"/>
              <w:divBdr>
                <w:top w:val="none" w:sz="0" w:space="0" w:color="auto"/>
                <w:left w:val="none" w:sz="0" w:space="0" w:color="auto"/>
                <w:bottom w:val="none" w:sz="0" w:space="0" w:color="auto"/>
                <w:right w:val="none" w:sz="0" w:space="0" w:color="auto"/>
              </w:divBdr>
            </w:div>
            <w:div w:id="960917652">
              <w:marLeft w:val="0"/>
              <w:marRight w:val="0"/>
              <w:marTop w:val="0"/>
              <w:marBottom w:val="0"/>
              <w:divBdr>
                <w:top w:val="none" w:sz="0" w:space="0" w:color="auto"/>
                <w:left w:val="none" w:sz="0" w:space="0" w:color="auto"/>
                <w:bottom w:val="none" w:sz="0" w:space="0" w:color="auto"/>
                <w:right w:val="none" w:sz="0" w:space="0" w:color="auto"/>
              </w:divBdr>
            </w:div>
            <w:div w:id="964195390">
              <w:marLeft w:val="0"/>
              <w:marRight w:val="0"/>
              <w:marTop w:val="0"/>
              <w:marBottom w:val="0"/>
              <w:divBdr>
                <w:top w:val="none" w:sz="0" w:space="0" w:color="auto"/>
                <w:left w:val="none" w:sz="0" w:space="0" w:color="auto"/>
                <w:bottom w:val="none" w:sz="0" w:space="0" w:color="auto"/>
                <w:right w:val="none" w:sz="0" w:space="0" w:color="auto"/>
              </w:divBdr>
            </w:div>
            <w:div w:id="965625563">
              <w:marLeft w:val="0"/>
              <w:marRight w:val="0"/>
              <w:marTop w:val="0"/>
              <w:marBottom w:val="0"/>
              <w:divBdr>
                <w:top w:val="none" w:sz="0" w:space="0" w:color="auto"/>
                <w:left w:val="none" w:sz="0" w:space="0" w:color="auto"/>
                <w:bottom w:val="none" w:sz="0" w:space="0" w:color="auto"/>
                <w:right w:val="none" w:sz="0" w:space="0" w:color="auto"/>
              </w:divBdr>
            </w:div>
            <w:div w:id="969021955">
              <w:marLeft w:val="0"/>
              <w:marRight w:val="0"/>
              <w:marTop w:val="0"/>
              <w:marBottom w:val="0"/>
              <w:divBdr>
                <w:top w:val="none" w:sz="0" w:space="0" w:color="auto"/>
                <w:left w:val="none" w:sz="0" w:space="0" w:color="auto"/>
                <w:bottom w:val="none" w:sz="0" w:space="0" w:color="auto"/>
                <w:right w:val="none" w:sz="0" w:space="0" w:color="auto"/>
              </w:divBdr>
            </w:div>
            <w:div w:id="972292578">
              <w:marLeft w:val="0"/>
              <w:marRight w:val="0"/>
              <w:marTop w:val="0"/>
              <w:marBottom w:val="0"/>
              <w:divBdr>
                <w:top w:val="none" w:sz="0" w:space="0" w:color="auto"/>
                <w:left w:val="none" w:sz="0" w:space="0" w:color="auto"/>
                <w:bottom w:val="none" w:sz="0" w:space="0" w:color="auto"/>
                <w:right w:val="none" w:sz="0" w:space="0" w:color="auto"/>
              </w:divBdr>
            </w:div>
            <w:div w:id="973561015">
              <w:marLeft w:val="0"/>
              <w:marRight w:val="0"/>
              <w:marTop w:val="0"/>
              <w:marBottom w:val="0"/>
              <w:divBdr>
                <w:top w:val="none" w:sz="0" w:space="0" w:color="auto"/>
                <w:left w:val="none" w:sz="0" w:space="0" w:color="auto"/>
                <w:bottom w:val="none" w:sz="0" w:space="0" w:color="auto"/>
                <w:right w:val="none" w:sz="0" w:space="0" w:color="auto"/>
              </w:divBdr>
            </w:div>
            <w:div w:id="978071294">
              <w:marLeft w:val="0"/>
              <w:marRight w:val="0"/>
              <w:marTop w:val="0"/>
              <w:marBottom w:val="0"/>
              <w:divBdr>
                <w:top w:val="none" w:sz="0" w:space="0" w:color="auto"/>
                <w:left w:val="none" w:sz="0" w:space="0" w:color="auto"/>
                <w:bottom w:val="none" w:sz="0" w:space="0" w:color="auto"/>
                <w:right w:val="none" w:sz="0" w:space="0" w:color="auto"/>
              </w:divBdr>
            </w:div>
            <w:div w:id="1003320926">
              <w:marLeft w:val="0"/>
              <w:marRight w:val="0"/>
              <w:marTop w:val="0"/>
              <w:marBottom w:val="0"/>
              <w:divBdr>
                <w:top w:val="none" w:sz="0" w:space="0" w:color="auto"/>
                <w:left w:val="none" w:sz="0" w:space="0" w:color="auto"/>
                <w:bottom w:val="none" w:sz="0" w:space="0" w:color="auto"/>
                <w:right w:val="none" w:sz="0" w:space="0" w:color="auto"/>
              </w:divBdr>
            </w:div>
            <w:div w:id="1005863613">
              <w:marLeft w:val="0"/>
              <w:marRight w:val="0"/>
              <w:marTop w:val="0"/>
              <w:marBottom w:val="0"/>
              <w:divBdr>
                <w:top w:val="none" w:sz="0" w:space="0" w:color="auto"/>
                <w:left w:val="none" w:sz="0" w:space="0" w:color="auto"/>
                <w:bottom w:val="none" w:sz="0" w:space="0" w:color="auto"/>
                <w:right w:val="none" w:sz="0" w:space="0" w:color="auto"/>
              </w:divBdr>
            </w:div>
            <w:div w:id="1009674638">
              <w:marLeft w:val="0"/>
              <w:marRight w:val="0"/>
              <w:marTop w:val="0"/>
              <w:marBottom w:val="0"/>
              <w:divBdr>
                <w:top w:val="none" w:sz="0" w:space="0" w:color="auto"/>
                <w:left w:val="none" w:sz="0" w:space="0" w:color="auto"/>
                <w:bottom w:val="none" w:sz="0" w:space="0" w:color="auto"/>
                <w:right w:val="none" w:sz="0" w:space="0" w:color="auto"/>
              </w:divBdr>
            </w:div>
            <w:div w:id="1010916156">
              <w:marLeft w:val="0"/>
              <w:marRight w:val="0"/>
              <w:marTop w:val="0"/>
              <w:marBottom w:val="0"/>
              <w:divBdr>
                <w:top w:val="none" w:sz="0" w:space="0" w:color="auto"/>
                <w:left w:val="none" w:sz="0" w:space="0" w:color="auto"/>
                <w:bottom w:val="none" w:sz="0" w:space="0" w:color="auto"/>
                <w:right w:val="none" w:sz="0" w:space="0" w:color="auto"/>
              </w:divBdr>
            </w:div>
            <w:div w:id="1011368845">
              <w:marLeft w:val="0"/>
              <w:marRight w:val="0"/>
              <w:marTop w:val="0"/>
              <w:marBottom w:val="0"/>
              <w:divBdr>
                <w:top w:val="none" w:sz="0" w:space="0" w:color="auto"/>
                <w:left w:val="none" w:sz="0" w:space="0" w:color="auto"/>
                <w:bottom w:val="none" w:sz="0" w:space="0" w:color="auto"/>
                <w:right w:val="none" w:sz="0" w:space="0" w:color="auto"/>
              </w:divBdr>
            </w:div>
            <w:div w:id="1015962953">
              <w:marLeft w:val="0"/>
              <w:marRight w:val="0"/>
              <w:marTop w:val="0"/>
              <w:marBottom w:val="0"/>
              <w:divBdr>
                <w:top w:val="none" w:sz="0" w:space="0" w:color="auto"/>
                <w:left w:val="none" w:sz="0" w:space="0" w:color="auto"/>
                <w:bottom w:val="none" w:sz="0" w:space="0" w:color="auto"/>
                <w:right w:val="none" w:sz="0" w:space="0" w:color="auto"/>
              </w:divBdr>
            </w:div>
            <w:div w:id="1017734623">
              <w:marLeft w:val="0"/>
              <w:marRight w:val="0"/>
              <w:marTop w:val="0"/>
              <w:marBottom w:val="0"/>
              <w:divBdr>
                <w:top w:val="none" w:sz="0" w:space="0" w:color="auto"/>
                <w:left w:val="none" w:sz="0" w:space="0" w:color="auto"/>
                <w:bottom w:val="none" w:sz="0" w:space="0" w:color="auto"/>
                <w:right w:val="none" w:sz="0" w:space="0" w:color="auto"/>
              </w:divBdr>
            </w:div>
            <w:div w:id="1027482560">
              <w:marLeft w:val="0"/>
              <w:marRight w:val="0"/>
              <w:marTop w:val="0"/>
              <w:marBottom w:val="0"/>
              <w:divBdr>
                <w:top w:val="none" w:sz="0" w:space="0" w:color="auto"/>
                <w:left w:val="none" w:sz="0" w:space="0" w:color="auto"/>
                <w:bottom w:val="none" w:sz="0" w:space="0" w:color="auto"/>
                <w:right w:val="none" w:sz="0" w:space="0" w:color="auto"/>
              </w:divBdr>
            </w:div>
            <w:div w:id="1033725341">
              <w:marLeft w:val="0"/>
              <w:marRight w:val="0"/>
              <w:marTop w:val="0"/>
              <w:marBottom w:val="0"/>
              <w:divBdr>
                <w:top w:val="none" w:sz="0" w:space="0" w:color="auto"/>
                <w:left w:val="none" w:sz="0" w:space="0" w:color="auto"/>
                <w:bottom w:val="none" w:sz="0" w:space="0" w:color="auto"/>
                <w:right w:val="none" w:sz="0" w:space="0" w:color="auto"/>
              </w:divBdr>
            </w:div>
            <w:div w:id="1033843485">
              <w:marLeft w:val="0"/>
              <w:marRight w:val="0"/>
              <w:marTop w:val="0"/>
              <w:marBottom w:val="0"/>
              <w:divBdr>
                <w:top w:val="none" w:sz="0" w:space="0" w:color="auto"/>
                <w:left w:val="none" w:sz="0" w:space="0" w:color="auto"/>
                <w:bottom w:val="none" w:sz="0" w:space="0" w:color="auto"/>
                <w:right w:val="none" w:sz="0" w:space="0" w:color="auto"/>
              </w:divBdr>
            </w:div>
            <w:div w:id="1033966169">
              <w:marLeft w:val="0"/>
              <w:marRight w:val="0"/>
              <w:marTop w:val="0"/>
              <w:marBottom w:val="0"/>
              <w:divBdr>
                <w:top w:val="none" w:sz="0" w:space="0" w:color="auto"/>
                <w:left w:val="none" w:sz="0" w:space="0" w:color="auto"/>
                <w:bottom w:val="none" w:sz="0" w:space="0" w:color="auto"/>
                <w:right w:val="none" w:sz="0" w:space="0" w:color="auto"/>
              </w:divBdr>
            </w:div>
            <w:div w:id="1037504267">
              <w:marLeft w:val="0"/>
              <w:marRight w:val="0"/>
              <w:marTop w:val="0"/>
              <w:marBottom w:val="0"/>
              <w:divBdr>
                <w:top w:val="none" w:sz="0" w:space="0" w:color="auto"/>
                <w:left w:val="none" w:sz="0" w:space="0" w:color="auto"/>
                <w:bottom w:val="none" w:sz="0" w:space="0" w:color="auto"/>
                <w:right w:val="none" w:sz="0" w:space="0" w:color="auto"/>
              </w:divBdr>
            </w:div>
            <w:div w:id="1037779244">
              <w:marLeft w:val="0"/>
              <w:marRight w:val="0"/>
              <w:marTop w:val="0"/>
              <w:marBottom w:val="0"/>
              <w:divBdr>
                <w:top w:val="none" w:sz="0" w:space="0" w:color="auto"/>
                <w:left w:val="none" w:sz="0" w:space="0" w:color="auto"/>
                <w:bottom w:val="none" w:sz="0" w:space="0" w:color="auto"/>
                <w:right w:val="none" w:sz="0" w:space="0" w:color="auto"/>
              </w:divBdr>
            </w:div>
            <w:div w:id="1043989123">
              <w:marLeft w:val="0"/>
              <w:marRight w:val="0"/>
              <w:marTop w:val="0"/>
              <w:marBottom w:val="0"/>
              <w:divBdr>
                <w:top w:val="none" w:sz="0" w:space="0" w:color="auto"/>
                <w:left w:val="none" w:sz="0" w:space="0" w:color="auto"/>
                <w:bottom w:val="none" w:sz="0" w:space="0" w:color="auto"/>
                <w:right w:val="none" w:sz="0" w:space="0" w:color="auto"/>
              </w:divBdr>
            </w:div>
            <w:div w:id="1048379407">
              <w:marLeft w:val="0"/>
              <w:marRight w:val="0"/>
              <w:marTop w:val="0"/>
              <w:marBottom w:val="0"/>
              <w:divBdr>
                <w:top w:val="none" w:sz="0" w:space="0" w:color="auto"/>
                <w:left w:val="none" w:sz="0" w:space="0" w:color="auto"/>
                <w:bottom w:val="none" w:sz="0" w:space="0" w:color="auto"/>
                <w:right w:val="none" w:sz="0" w:space="0" w:color="auto"/>
              </w:divBdr>
            </w:div>
            <w:div w:id="1057167992">
              <w:marLeft w:val="0"/>
              <w:marRight w:val="0"/>
              <w:marTop w:val="0"/>
              <w:marBottom w:val="0"/>
              <w:divBdr>
                <w:top w:val="none" w:sz="0" w:space="0" w:color="auto"/>
                <w:left w:val="none" w:sz="0" w:space="0" w:color="auto"/>
                <w:bottom w:val="none" w:sz="0" w:space="0" w:color="auto"/>
                <w:right w:val="none" w:sz="0" w:space="0" w:color="auto"/>
              </w:divBdr>
            </w:div>
            <w:div w:id="1057556229">
              <w:marLeft w:val="0"/>
              <w:marRight w:val="0"/>
              <w:marTop w:val="0"/>
              <w:marBottom w:val="0"/>
              <w:divBdr>
                <w:top w:val="none" w:sz="0" w:space="0" w:color="auto"/>
                <w:left w:val="none" w:sz="0" w:space="0" w:color="auto"/>
                <w:bottom w:val="none" w:sz="0" w:space="0" w:color="auto"/>
                <w:right w:val="none" w:sz="0" w:space="0" w:color="auto"/>
              </w:divBdr>
            </w:div>
            <w:div w:id="1063137053">
              <w:marLeft w:val="0"/>
              <w:marRight w:val="0"/>
              <w:marTop w:val="0"/>
              <w:marBottom w:val="0"/>
              <w:divBdr>
                <w:top w:val="none" w:sz="0" w:space="0" w:color="auto"/>
                <w:left w:val="none" w:sz="0" w:space="0" w:color="auto"/>
                <w:bottom w:val="none" w:sz="0" w:space="0" w:color="auto"/>
                <w:right w:val="none" w:sz="0" w:space="0" w:color="auto"/>
              </w:divBdr>
            </w:div>
            <w:div w:id="1065690031">
              <w:marLeft w:val="0"/>
              <w:marRight w:val="0"/>
              <w:marTop w:val="0"/>
              <w:marBottom w:val="0"/>
              <w:divBdr>
                <w:top w:val="none" w:sz="0" w:space="0" w:color="auto"/>
                <w:left w:val="none" w:sz="0" w:space="0" w:color="auto"/>
                <w:bottom w:val="none" w:sz="0" w:space="0" w:color="auto"/>
                <w:right w:val="none" w:sz="0" w:space="0" w:color="auto"/>
              </w:divBdr>
            </w:div>
            <w:div w:id="1068193636">
              <w:marLeft w:val="0"/>
              <w:marRight w:val="0"/>
              <w:marTop w:val="0"/>
              <w:marBottom w:val="0"/>
              <w:divBdr>
                <w:top w:val="none" w:sz="0" w:space="0" w:color="auto"/>
                <w:left w:val="none" w:sz="0" w:space="0" w:color="auto"/>
                <w:bottom w:val="none" w:sz="0" w:space="0" w:color="auto"/>
                <w:right w:val="none" w:sz="0" w:space="0" w:color="auto"/>
              </w:divBdr>
            </w:div>
            <w:div w:id="1091051598">
              <w:marLeft w:val="0"/>
              <w:marRight w:val="0"/>
              <w:marTop w:val="0"/>
              <w:marBottom w:val="0"/>
              <w:divBdr>
                <w:top w:val="none" w:sz="0" w:space="0" w:color="auto"/>
                <w:left w:val="none" w:sz="0" w:space="0" w:color="auto"/>
                <w:bottom w:val="none" w:sz="0" w:space="0" w:color="auto"/>
                <w:right w:val="none" w:sz="0" w:space="0" w:color="auto"/>
              </w:divBdr>
            </w:div>
            <w:div w:id="1093547886">
              <w:marLeft w:val="0"/>
              <w:marRight w:val="0"/>
              <w:marTop w:val="0"/>
              <w:marBottom w:val="0"/>
              <w:divBdr>
                <w:top w:val="none" w:sz="0" w:space="0" w:color="auto"/>
                <w:left w:val="none" w:sz="0" w:space="0" w:color="auto"/>
                <w:bottom w:val="none" w:sz="0" w:space="0" w:color="auto"/>
                <w:right w:val="none" w:sz="0" w:space="0" w:color="auto"/>
              </w:divBdr>
            </w:div>
            <w:div w:id="1095322547">
              <w:marLeft w:val="0"/>
              <w:marRight w:val="0"/>
              <w:marTop w:val="0"/>
              <w:marBottom w:val="0"/>
              <w:divBdr>
                <w:top w:val="none" w:sz="0" w:space="0" w:color="auto"/>
                <w:left w:val="none" w:sz="0" w:space="0" w:color="auto"/>
                <w:bottom w:val="none" w:sz="0" w:space="0" w:color="auto"/>
                <w:right w:val="none" w:sz="0" w:space="0" w:color="auto"/>
              </w:divBdr>
            </w:div>
            <w:div w:id="1095787330">
              <w:marLeft w:val="0"/>
              <w:marRight w:val="0"/>
              <w:marTop w:val="0"/>
              <w:marBottom w:val="0"/>
              <w:divBdr>
                <w:top w:val="none" w:sz="0" w:space="0" w:color="auto"/>
                <w:left w:val="none" w:sz="0" w:space="0" w:color="auto"/>
                <w:bottom w:val="none" w:sz="0" w:space="0" w:color="auto"/>
                <w:right w:val="none" w:sz="0" w:space="0" w:color="auto"/>
              </w:divBdr>
            </w:div>
            <w:div w:id="1102262700">
              <w:marLeft w:val="0"/>
              <w:marRight w:val="0"/>
              <w:marTop w:val="0"/>
              <w:marBottom w:val="0"/>
              <w:divBdr>
                <w:top w:val="none" w:sz="0" w:space="0" w:color="auto"/>
                <w:left w:val="none" w:sz="0" w:space="0" w:color="auto"/>
                <w:bottom w:val="none" w:sz="0" w:space="0" w:color="auto"/>
                <w:right w:val="none" w:sz="0" w:space="0" w:color="auto"/>
              </w:divBdr>
            </w:div>
            <w:div w:id="1125541020">
              <w:marLeft w:val="0"/>
              <w:marRight w:val="0"/>
              <w:marTop w:val="0"/>
              <w:marBottom w:val="0"/>
              <w:divBdr>
                <w:top w:val="none" w:sz="0" w:space="0" w:color="auto"/>
                <w:left w:val="none" w:sz="0" w:space="0" w:color="auto"/>
                <w:bottom w:val="none" w:sz="0" w:space="0" w:color="auto"/>
                <w:right w:val="none" w:sz="0" w:space="0" w:color="auto"/>
              </w:divBdr>
            </w:div>
            <w:div w:id="1134904348">
              <w:marLeft w:val="0"/>
              <w:marRight w:val="0"/>
              <w:marTop w:val="0"/>
              <w:marBottom w:val="0"/>
              <w:divBdr>
                <w:top w:val="none" w:sz="0" w:space="0" w:color="auto"/>
                <w:left w:val="none" w:sz="0" w:space="0" w:color="auto"/>
                <w:bottom w:val="none" w:sz="0" w:space="0" w:color="auto"/>
                <w:right w:val="none" w:sz="0" w:space="0" w:color="auto"/>
              </w:divBdr>
            </w:div>
            <w:div w:id="1135440816">
              <w:marLeft w:val="0"/>
              <w:marRight w:val="0"/>
              <w:marTop w:val="0"/>
              <w:marBottom w:val="0"/>
              <w:divBdr>
                <w:top w:val="none" w:sz="0" w:space="0" w:color="auto"/>
                <w:left w:val="none" w:sz="0" w:space="0" w:color="auto"/>
                <w:bottom w:val="none" w:sz="0" w:space="0" w:color="auto"/>
                <w:right w:val="none" w:sz="0" w:space="0" w:color="auto"/>
              </w:divBdr>
            </w:div>
            <w:div w:id="1142038124">
              <w:marLeft w:val="0"/>
              <w:marRight w:val="0"/>
              <w:marTop w:val="0"/>
              <w:marBottom w:val="0"/>
              <w:divBdr>
                <w:top w:val="none" w:sz="0" w:space="0" w:color="auto"/>
                <w:left w:val="none" w:sz="0" w:space="0" w:color="auto"/>
                <w:bottom w:val="none" w:sz="0" w:space="0" w:color="auto"/>
                <w:right w:val="none" w:sz="0" w:space="0" w:color="auto"/>
              </w:divBdr>
            </w:div>
            <w:div w:id="1155414466">
              <w:marLeft w:val="0"/>
              <w:marRight w:val="0"/>
              <w:marTop w:val="0"/>
              <w:marBottom w:val="0"/>
              <w:divBdr>
                <w:top w:val="none" w:sz="0" w:space="0" w:color="auto"/>
                <w:left w:val="none" w:sz="0" w:space="0" w:color="auto"/>
                <w:bottom w:val="none" w:sz="0" w:space="0" w:color="auto"/>
                <w:right w:val="none" w:sz="0" w:space="0" w:color="auto"/>
              </w:divBdr>
            </w:div>
            <w:div w:id="1161047167">
              <w:marLeft w:val="0"/>
              <w:marRight w:val="0"/>
              <w:marTop w:val="0"/>
              <w:marBottom w:val="0"/>
              <w:divBdr>
                <w:top w:val="none" w:sz="0" w:space="0" w:color="auto"/>
                <w:left w:val="none" w:sz="0" w:space="0" w:color="auto"/>
                <w:bottom w:val="none" w:sz="0" w:space="0" w:color="auto"/>
                <w:right w:val="none" w:sz="0" w:space="0" w:color="auto"/>
              </w:divBdr>
            </w:div>
            <w:div w:id="1161585606">
              <w:marLeft w:val="0"/>
              <w:marRight w:val="0"/>
              <w:marTop w:val="0"/>
              <w:marBottom w:val="0"/>
              <w:divBdr>
                <w:top w:val="none" w:sz="0" w:space="0" w:color="auto"/>
                <w:left w:val="none" w:sz="0" w:space="0" w:color="auto"/>
                <w:bottom w:val="none" w:sz="0" w:space="0" w:color="auto"/>
                <w:right w:val="none" w:sz="0" w:space="0" w:color="auto"/>
              </w:divBdr>
            </w:div>
            <w:div w:id="1163279803">
              <w:marLeft w:val="0"/>
              <w:marRight w:val="0"/>
              <w:marTop w:val="0"/>
              <w:marBottom w:val="0"/>
              <w:divBdr>
                <w:top w:val="none" w:sz="0" w:space="0" w:color="auto"/>
                <w:left w:val="none" w:sz="0" w:space="0" w:color="auto"/>
                <w:bottom w:val="none" w:sz="0" w:space="0" w:color="auto"/>
                <w:right w:val="none" w:sz="0" w:space="0" w:color="auto"/>
              </w:divBdr>
            </w:div>
            <w:div w:id="1170101885">
              <w:marLeft w:val="0"/>
              <w:marRight w:val="0"/>
              <w:marTop w:val="0"/>
              <w:marBottom w:val="0"/>
              <w:divBdr>
                <w:top w:val="none" w:sz="0" w:space="0" w:color="auto"/>
                <w:left w:val="none" w:sz="0" w:space="0" w:color="auto"/>
                <w:bottom w:val="none" w:sz="0" w:space="0" w:color="auto"/>
                <w:right w:val="none" w:sz="0" w:space="0" w:color="auto"/>
              </w:divBdr>
            </w:div>
            <w:div w:id="1170217326">
              <w:marLeft w:val="0"/>
              <w:marRight w:val="0"/>
              <w:marTop w:val="0"/>
              <w:marBottom w:val="0"/>
              <w:divBdr>
                <w:top w:val="none" w:sz="0" w:space="0" w:color="auto"/>
                <w:left w:val="none" w:sz="0" w:space="0" w:color="auto"/>
                <w:bottom w:val="none" w:sz="0" w:space="0" w:color="auto"/>
                <w:right w:val="none" w:sz="0" w:space="0" w:color="auto"/>
              </w:divBdr>
            </w:div>
            <w:div w:id="1180579162">
              <w:marLeft w:val="0"/>
              <w:marRight w:val="0"/>
              <w:marTop w:val="0"/>
              <w:marBottom w:val="0"/>
              <w:divBdr>
                <w:top w:val="none" w:sz="0" w:space="0" w:color="auto"/>
                <w:left w:val="none" w:sz="0" w:space="0" w:color="auto"/>
                <w:bottom w:val="none" w:sz="0" w:space="0" w:color="auto"/>
                <w:right w:val="none" w:sz="0" w:space="0" w:color="auto"/>
              </w:divBdr>
            </w:div>
            <w:div w:id="1199973472">
              <w:marLeft w:val="0"/>
              <w:marRight w:val="0"/>
              <w:marTop w:val="0"/>
              <w:marBottom w:val="0"/>
              <w:divBdr>
                <w:top w:val="none" w:sz="0" w:space="0" w:color="auto"/>
                <w:left w:val="none" w:sz="0" w:space="0" w:color="auto"/>
                <w:bottom w:val="none" w:sz="0" w:space="0" w:color="auto"/>
                <w:right w:val="none" w:sz="0" w:space="0" w:color="auto"/>
              </w:divBdr>
            </w:div>
            <w:div w:id="1200435090">
              <w:marLeft w:val="0"/>
              <w:marRight w:val="0"/>
              <w:marTop w:val="0"/>
              <w:marBottom w:val="0"/>
              <w:divBdr>
                <w:top w:val="none" w:sz="0" w:space="0" w:color="auto"/>
                <w:left w:val="none" w:sz="0" w:space="0" w:color="auto"/>
                <w:bottom w:val="none" w:sz="0" w:space="0" w:color="auto"/>
                <w:right w:val="none" w:sz="0" w:space="0" w:color="auto"/>
              </w:divBdr>
            </w:div>
            <w:div w:id="1201823574">
              <w:marLeft w:val="0"/>
              <w:marRight w:val="0"/>
              <w:marTop w:val="0"/>
              <w:marBottom w:val="0"/>
              <w:divBdr>
                <w:top w:val="none" w:sz="0" w:space="0" w:color="auto"/>
                <w:left w:val="none" w:sz="0" w:space="0" w:color="auto"/>
                <w:bottom w:val="none" w:sz="0" w:space="0" w:color="auto"/>
                <w:right w:val="none" w:sz="0" w:space="0" w:color="auto"/>
              </w:divBdr>
            </w:div>
            <w:div w:id="1202086383">
              <w:marLeft w:val="0"/>
              <w:marRight w:val="0"/>
              <w:marTop w:val="0"/>
              <w:marBottom w:val="0"/>
              <w:divBdr>
                <w:top w:val="none" w:sz="0" w:space="0" w:color="auto"/>
                <w:left w:val="none" w:sz="0" w:space="0" w:color="auto"/>
                <w:bottom w:val="none" w:sz="0" w:space="0" w:color="auto"/>
                <w:right w:val="none" w:sz="0" w:space="0" w:color="auto"/>
              </w:divBdr>
            </w:div>
            <w:div w:id="1205946366">
              <w:marLeft w:val="0"/>
              <w:marRight w:val="0"/>
              <w:marTop w:val="0"/>
              <w:marBottom w:val="0"/>
              <w:divBdr>
                <w:top w:val="none" w:sz="0" w:space="0" w:color="auto"/>
                <w:left w:val="none" w:sz="0" w:space="0" w:color="auto"/>
                <w:bottom w:val="none" w:sz="0" w:space="0" w:color="auto"/>
                <w:right w:val="none" w:sz="0" w:space="0" w:color="auto"/>
              </w:divBdr>
            </w:div>
            <w:div w:id="1207596378">
              <w:marLeft w:val="0"/>
              <w:marRight w:val="0"/>
              <w:marTop w:val="0"/>
              <w:marBottom w:val="0"/>
              <w:divBdr>
                <w:top w:val="none" w:sz="0" w:space="0" w:color="auto"/>
                <w:left w:val="none" w:sz="0" w:space="0" w:color="auto"/>
                <w:bottom w:val="none" w:sz="0" w:space="0" w:color="auto"/>
                <w:right w:val="none" w:sz="0" w:space="0" w:color="auto"/>
              </w:divBdr>
            </w:div>
            <w:div w:id="1215775830">
              <w:marLeft w:val="0"/>
              <w:marRight w:val="0"/>
              <w:marTop w:val="0"/>
              <w:marBottom w:val="0"/>
              <w:divBdr>
                <w:top w:val="none" w:sz="0" w:space="0" w:color="auto"/>
                <w:left w:val="none" w:sz="0" w:space="0" w:color="auto"/>
                <w:bottom w:val="none" w:sz="0" w:space="0" w:color="auto"/>
                <w:right w:val="none" w:sz="0" w:space="0" w:color="auto"/>
              </w:divBdr>
            </w:div>
            <w:div w:id="1217934469">
              <w:marLeft w:val="0"/>
              <w:marRight w:val="0"/>
              <w:marTop w:val="0"/>
              <w:marBottom w:val="0"/>
              <w:divBdr>
                <w:top w:val="none" w:sz="0" w:space="0" w:color="auto"/>
                <w:left w:val="none" w:sz="0" w:space="0" w:color="auto"/>
                <w:bottom w:val="none" w:sz="0" w:space="0" w:color="auto"/>
                <w:right w:val="none" w:sz="0" w:space="0" w:color="auto"/>
              </w:divBdr>
            </w:div>
            <w:div w:id="1229652302">
              <w:marLeft w:val="0"/>
              <w:marRight w:val="0"/>
              <w:marTop w:val="0"/>
              <w:marBottom w:val="0"/>
              <w:divBdr>
                <w:top w:val="none" w:sz="0" w:space="0" w:color="auto"/>
                <w:left w:val="none" w:sz="0" w:space="0" w:color="auto"/>
                <w:bottom w:val="none" w:sz="0" w:space="0" w:color="auto"/>
                <w:right w:val="none" w:sz="0" w:space="0" w:color="auto"/>
              </w:divBdr>
            </w:div>
            <w:div w:id="1233271850">
              <w:marLeft w:val="0"/>
              <w:marRight w:val="0"/>
              <w:marTop w:val="0"/>
              <w:marBottom w:val="0"/>
              <w:divBdr>
                <w:top w:val="none" w:sz="0" w:space="0" w:color="auto"/>
                <w:left w:val="none" w:sz="0" w:space="0" w:color="auto"/>
                <w:bottom w:val="none" w:sz="0" w:space="0" w:color="auto"/>
                <w:right w:val="none" w:sz="0" w:space="0" w:color="auto"/>
              </w:divBdr>
            </w:div>
            <w:div w:id="1240947624">
              <w:marLeft w:val="0"/>
              <w:marRight w:val="0"/>
              <w:marTop w:val="0"/>
              <w:marBottom w:val="0"/>
              <w:divBdr>
                <w:top w:val="none" w:sz="0" w:space="0" w:color="auto"/>
                <w:left w:val="none" w:sz="0" w:space="0" w:color="auto"/>
                <w:bottom w:val="none" w:sz="0" w:space="0" w:color="auto"/>
                <w:right w:val="none" w:sz="0" w:space="0" w:color="auto"/>
              </w:divBdr>
            </w:div>
            <w:div w:id="1271814355">
              <w:marLeft w:val="0"/>
              <w:marRight w:val="0"/>
              <w:marTop w:val="0"/>
              <w:marBottom w:val="0"/>
              <w:divBdr>
                <w:top w:val="none" w:sz="0" w:space="0" w:color="auto"/>
                <w:left w:val="none" w:sz="0" w:space="0" w:color="auto"/>
                <w:bottom w:val="none" w:sz="0" w:space="0" w:color="auto"/>
                <w:right w:val="none" w:sz="0" w:space="0" w:color="auto"/>
              </w:divBdr>
            </w:div>
            <w:div w:id="1275399662">
              <w:marLeft w:val="0"/>
              <w:marRight w:val="0"/>
              <w:marTop w:val="0"/>
              <w:marBottom w:val="0"/>
              <w:divBdr>
                <w:top w:val="none" w:sz="0" w:space="0" w:color="auto"/>
                <w:left w:val="none" w:sz="0" w:space="0" w:color="auto"/>
                <w:bottom w:val="none" w:sz="0" w:space="0" w:color="auto"/>
                <w:right w:val="none" w:sz="0" w:space="0" w:color="auto"/>
              </w:divBdr>
            </w:div>
            <w:div w:id="1280527880">
              <w:marLeft w:val="0"/>
              <w:marRight w:val="0"/>
              <w:marTop w:val="0"/>
              <w:marBottom w:val="0"/>
              <w:divBdr>
                <w:top w:val="none" w:sz="0" w:space="0" w:color="auto"/>
                <w:left w:val="none" w:sz="0" w:space="0" w:color="auto"/>
                <w:bottom w:val="none" w:sz="0" w:space="0" w:color="auto"/>
                <w:right w:val="none" w:sz="0" w:space="0" w:color="auto"/>
              </w:divBdr>
            </w:div>
            <w:div w:id="1292250745">
              <w:marLeft w:val="0"/>
              <w:marRight w:val="0"/>
              <w:marTop w:val="0"/>
              <w:marBottom w:val="0"/>
              <w:divBdr>
                <w:top w:val="none" w:sz="0" w:space="0" w:color="auto"/>
                <w:left w:val="none" w:sz="0" w:space="0" w:color="auto"/>
                <w:bottom w:val="none" w:sz="0" w:space="0" w:color="auto"/>
                <w:right w:val="none" w:sz="0" w:space="0" w:color="auto"/>
              </w:divBdr>
            </w:div>
            <w:div w:id="1293367539">
              <w:marLeft w:val="0"/>
              <w:marRight w:val="0"/>
              <w:marTop w:val="0"/>
              <w:marBottom w:val="0"/>
              <w:divBdr>
                <w:top w:val="none" w:sz="0" w:space="0" w:color="auto"/>
                <w:left w:val="none" w:sz="0" w:space="0" w:color="auto"/>
                <w:bottom w:val="none" w:sz="0" w:space="0" w:color="auto"/>
                <w:right w:val="none" w:sz="0" w:space="0" w:color="auto"/>
              </w:divBdr>
            </w:div>
            <w:div w:id="1296720173">
              <w:marLeft w:val="0"/>
              <w:marRight w:val="0"/>
              <w:marTop w:val="0"/>
              <w:marBottom w:val="0"/>
              <w:divBdr>
                <w:top w:val="none" w:sz="0" w:space="0" w:color="auto"/>
                <w:left w:val="none" w:sz="0" w:space="0" w:color="auto"/>
                <w:bottom w:val="none" w:sz="0" w:space="0" w:color="auto"/>
                <w:right w:val="none" w:sz="0" w:space="0" w:color="auto"/>
              </w:divBdr>
            </w:div>
            <w:div w:id="1304391919">
              <w:marLeft w:val="0"/>
              <w:marRight w:val="0"/>
              <w:marTop w:val="0"/>
              <w:marBottom w:val="0"/>
              <w:divBdr>
                <w:top w:val="none" w:sz="0" w:space="0" w:color="auto"/>
                <w:left w:val="none" w:sz="0" w:space="0" w:color="auto"/>
                <w:bottom w:val="none" w:sz="0" w:space="0" w:color="auto"/>
                <w:right w:val="none" w:sz="0" w:space="0" w:color="auto"/>
              </w:divBdr>
            </w:div>
            <w:div w:id="1308165899">
              <w:marLeft w:val="0"/>
              <w:marRight w:val="0"/>
              <w:marTop w:val="0"/>
              <w:marBottom w:val="0"/>
              <w:divBdr>
                <w:top w:val="none" w:sz="0" w:space="0" w:color="auto"/>
                <w:left w:val="none" w:sz="0" w:space="0" w:color="auto"/>
                <w:bottom w:val="none" w:sz="0" w:space="0" w:color="auto"/>
                <w:right w:val="none" w:sz="0" w:space="0" w:color="auto"/>
              </w:divBdr>
            </w:div>
            <w:div w:id="1313291028">
              <w:marLeft w:val="0"/>
              <w:marRight w:val="0"/>
              <w:marTop w:val="0"/>
              <w:marBottom w:val="0"/>
              <w:divBdr>
                <w:top w:val="none" w:sz="0" w:space="0" w:color="auto"/>
                <w:left w:val="none" w:sz="0" w:space="0" w:color="auto"/>
                <w:bottom w:val="none" w:sz="0" w:space="0" w:color="auto"/>
                <w:right w:val="none" w:sz="0" w:space="0" w:color="auto"/>
              </w:divBdr>
            </w:div>
            <w:div w:id="1320962499">
              <w:marLeft w:val="0"/>
              <w:marRight w:val="0"/>
              <w:marTop w:val="0"/>
              <w:marBottom w:val="0"/>
              <w:divBdr>
                <w:top w:val="none" w:sz="0" w:space="0" w:color="auto"/>
                <w:left w:val="none" w:sz="0" w:space="0" w:color="auto"/>
                <w:bottom w:val="none" w:sz="0" w:space="0" w:color="auto"/>
                <w:right w:val="none" w:sz="0" w:space="0" w:color="auto"/>
              </w:divBdr>
            </w:div>
            <w:div w:id="1321956939">
              <w:marLeft w:val="0"/>
              <w:marRight w:val="0"/>
              <w:marTop w:val="0"/>
              <w:marBottom w:val="0"/>
              <w:divBdr>
                <w:top w:val="none" w:sz="0" w:space="0" w:color="auto"/>
                <w:left w:val="none" w:sz="0" w:space="0" w:color="auto"/>
                <w:bottom w:val="none" w:sz="0" w:space="0" w:color="auto"/>
                <w:right w:val="none" w:sz="0" w:space="0" w:color="auto"/>
              </w:divBdr>
            </w:div>
            <w:div w:id="1322389633">
              <w:marLeft w:val="0"/>
              <w:marRight w:val="0"/>
              <w:marTop w:val="0"/>
              <w:marBottom w:val="0"/>
              <w:divBdr>
                <w:top w:val="none" w:sz="0" w:space="0" w:color="auto"/>
                <w:left w:val="none" w:sz="0" w:space="0" w:color="auto"/>
                <w:bottom w:val="none" w:sz="0" w:space="0" w:color="auto"/>
                <w:right w:val="none" w:sz="0" w:space="0" w:color="auto"/>
              </w:divBdr>
            </w:div>
            <w:div w:id="1332683069">
              <w:marLeft w:val="0"/>
              <w:marRight w:val="0"/>
              <w:marTop w:val="0"/>
              <w:marBottom w:val="0"/>
              <w:divBdr>
                <w:top w:val="none" w:sz="0" w:space="0" w:color="auto"/>
                <w:left w:val="none" w:sz="0" w:space="0" w:color="auto"/>
                <w:bottom w:val="none" w:sz="0" w:space="0" w:color="auto"/>
                <w:right w:val="none" w:sz="0" w:space="0" w:color="auto"/>
              </w:divBdr>
            </w:div>
            <w:div w:id="1348482119">
              <w:marLeft w:val="0"/>
              <w:marRight w:val="0"/>
              <w:marTop w:val="0"/>
              <w:marBottom w:val="0"/>
              <w:divBdr>
                <w:top w:val="none" w:sz="0" w:space="0" w:color="auto"/>
                <w:left w:val="none" w:sz="0" w:space="0" w:color="auto"/>
                <w:bottom w:val="none" w:sz="0" w:space="0" w:color="auto"/>
                <w:right w:val="none" w:sz="0" w:space="0" w:color="auto"/>
              </w:divBdr>
            </w:div>
            <w:div w:id="1371682029">
              <w:marLeft w:val="0"/>
              <w:marRight w:val="0"/>
              <w:marTop w:val="0"/>
              <w:marBottom w:val="0"/>
              <w:divBdr>
                <w:top w:val="none" w:sz="0" w:space="0" w:color="auto"/>
                <w:left w:val="none" w:sz="0" w:space="0" w:color="auto"/>
                <w:bottom w:val="none" w:sz="0" w:space="0" w:color="auto"/>
                <w:right w:val="none" w:sz="0" w:space="0" w:color="auto"/>
              </w:divBdr>
            </w:div>
            <w:div w:id="1386760517">
              <w:marLeft w:val="0"/>
              <w:marRight w:val="0"/>
              <w:marTop w:val="0"/>
              <w:marBottom w:val="0"/>
              <w:divBdr>
                <w:top w:val="none" w:sz="0" w:space="0" w:color="auto"/>
                <w:left w:val="none" w:sz="0" w:space="0" w:color="auto"/>
                <w:bottom w:val="none" w:sz="0" w:space="0" w:color="auto"/>
                <w:right w:val="none" w:sz="0" w:space="0" w:color="auto"/>
              </w:divBdr>
            </w:div>
            <w:div w:id="1387293018">
              <w:marLeft w:val="0"/>
              <w:marRight w:val="0"/>
              <w:marTop w:val="0"/>
              <w:marBottom w:val="0"/>
              <w:divBdr>
                <w:top w:val="none" w:sz="0" w:space="0" w:color="auto"/>
                <w:left w:val="none" w:sz="0" w:space="0" w:color="auto"/>
                <w:bottom w:val="none" w:sz="0" w:space="0" w:color="auto"/>
                <w:right w:val="none" w:sz="0" w:space="0" w:color="auto"/>
              </w:divBdr>
            </w:div>
            <w:div w:id="1391269043">
              <w:marLeft w:val="0"/>
              <w:marRight w:val="0"/>
              <w:marTop w:val="0"/>
              <w:marBottom w:val="0"/>
              <w:divBdr>
                <w:top w:val="none" w:sz="0" w:space="0" w:color="auto"/>
                <w:left w:val="none" w:sz="0" w:space="0" w:color="auto"/>
                <w:bottom w:val="none" w:sz="0" w:space="0" w:color="auto"/>
                <w:right w:val="none" w:sz="0" w:space="0" w:color="auto"/>
              </w:divBdr>
            </w:div>
            <w:div w:id="1393692483">
              <w:marLeft w:val="0"/>
              <w:marRight w:val="0"/>
              <w:marTop w:val="0"/>
              <w:marBottom w:val="0"/>
              <w:divBdr>
                <w:top w:val="none" w:sz="0" w:space="0" w:color="auto"/>
                <w:left w:val="none" w:sz="0" w:space="0" w:color="auto"/>
                <w:bottom w:val="none" w:sz="0" w:space="0" w:color="auto"/>
                <w:right w:val="none" w:sz="0" w:space="0" w:color="auto"/>
              </w:divBdr>
            </w:div>
            <w:div w:id="1396009599">
              <w:marLeft w:val="0"/>
              <w:marRight w:val="0"/>
              <w:marTop w:val="0"/>
              <w:marBottom w:val="0"/>
              <w:divBdr>
                <w:top w:val="none" w:sz="0" w:space="0" w:color="auto"/>
                <w:left w:val="none" w:sz="0" w:space="0" w:color="auto"/>
                <w:bottom w:val="none" w:sz="0" w:space="0" w:color="auto"/>
                <w:right w:val="none" w:sz="0" w:space="0" w:color="auto"/>
              </w:divBdr>
            </w:div>
            <w:div w:id="1396582145">
              <w:marLeft w:val="0"/>
              <w:marRight w:val="0"/>
              <w:marTop w:val="0"/>
              <w:marBottom w:val="0"/>
              <w:divBdr>
                <w:top w:val="none" w:sz="0" w:space="0" w:color="auto"/>
                <w:left w:val="none" w:sz="0" w:space="0" w:color="auto"/>
                <w:bottom w:val="none" w:sz="0" w:space="0" w:color="auto"/>
                <w:right w:val="none" w:sz="0" w:space="0" w:color="auto"/>
              </w:divBdr>
            </w:div>
            <w:div w:id="1397776655">
              <w:marLeft w:val="0"/>
              <w:marRight w:val="0"/>
              <w:marTop w:val="0"/>
              <w:marBottom w:val="0"/>
              <w:divBdr>
                <w:top w:val="none" w:sz="0" w:space="0" w:color="auto"/>
                <w:left w:val="none" w:sz="0" w:space="0" w:color="auto"/>
                <w:bottom w:val="none" w:sz="0" w:space="0" w:color="auto"/>
                <w:right w:val="none" w:sz="0" w:space="0" w:color="auto"/>
              </w:divBdr>
            </w:div>
            <w:div w:id="1401906080">
              <w:marLeft w:val="0"/>
              <w:marRight w:val="0"/>
              <w:marTop w:val="0"/>
              <w:marBottom w:val="0"/>
              <w:divBdr>
                <w:top w:val="none" w:sz="0" w:space="0" w:color="auto"/>
                <w:left w:val="none" w:sz="0" w:space="0" w:color="auto"/>
                <w:bottom w:val="none" w:sz="0" w:space="0" w:color="auto"/>
                <w:right w:val="none" w:sz="0" w:space="0" w:color="auto"/>
              </w:divBdr>
            </w:div>
            <w:div w:id="1407141524">
              <w:marLeft w:val="0"/>
              <w:marRight w:val="0"/>
              <w:marTop w:val="0"/>
              <w:marBottom w:val="0"/>
              <w:divBdr>
                <w:top w:val="none" w:sz="0" w:space="0" w:color="auto"/>
                <w:left w:val="none" w:sz="0" w:space="0" w:color="auto"/>
                <w:bottom w:val="none" w:sz="0" w:space="0" w:color="auto"/>
                <w:right w:val="none" w:sz="0" w:space="0" w:color="auto"/>
              </w:divBdr>
            </w:div>
            <w:div w:id="1419016040">
              <w:marLeft w:val="0"/>
              <w:marRight w:val="0"/>
              <w:marTop w:val="0"/>
              <w:marBottom w:val="0"/>
              <w:divBdr>
                <w:top w:val="none" w:sz="0" w:space="0" w:color="auto"/>
                <w:left w:val="none" w:sz="0" w:space="0" w:color="auto"/>
                <w:bottom w:val="none" w:sz="0" w:space="0" w:color="auto"/>
                <w:right w:val="none" w:sz="0" w:space="0" w:color="auto"/>
              </w:divBdr>
            </w:div>
            <w:div w:id="1434323309">
              <w:marLeft w:val="0"/>
              <w:marRight w:val="0"/>
              <w:marTop w:val="0"/>
              <w:marBottom w:val="0"/>
              <w:divBdr>
                <w:top w:val="none" w:sz="0" w:space="0" w:color="auto"/>
                <w:left w:val="none" w:sz="0" w:space="0" w:color="auto"/>
                <w:bottom w:val="none" w:sz="0" w:space="0" w:color="auto"/>
                <w:right w:val="none" w:sz="0" w:space="0" w:color="auto"/>
              </w:divBdr>
            </w:div>
            <w:div w:id="1443498730">
              <w:marLeft w:val="0"/>
              <w:marRight w:val="0"/>
              <w:marTop w:val="0"/>
              <w:marBottom w:val="0"/>
              <w:divBdr>
                <w:top w:val="none" w:sz="0" w:space="0" w:color="auto"/>
                <w:left w:val="none" w:sz="0" w:space="0" w:color="auto"/>
                <w:bottom w:val="none" w:sz="0" w:space="0" w:color="auto"/>
                <w:right w:val="none" w:sz="0" w:space="0" w:color="auto"/>
              </w:divBdr>
            </w:div>
            <w:div w:id="1444299948">
              <w:marLeft w:val="0"/>
              <w:marRight w:val="0"/>
              <w:marTop w:val="0"/>
              <w:marBottom w:val="0"/>
              <w:divBdr>
                <w:top w:val="none" w:sz="0" w:space="0" w:color="auto"/>
                <w:left w:val="none" w:sz="0" w:space="0" w:color="auto"/>
                <w:bottom w:val="none" w:sz="0" w:space="0" w:color="auto"/>
                <w:right w:val="none" w:sz="0" w:space="0" w:color="auto"/>
              </w:divBdr>
            </w:div>
            <w:div w:id="1445882982">
              <w:marLeft w:val="0"/>
              <w:marRight w:val="0"/>
              <w:marTop w:val="0"/>
              <w:marBottom w:val="0"/>
              <w:divBdr>
                <w:top w:val="none" w:sz="0" w:space="0" w:color="auto"/>
                <w:left w:val="none" w:sz="0" w:space="0" w:color="auto"/>
                <w:bottom w:val="none" w:sz="0" w:space="0" w:color="auto"/>
                <w:right w:val="none" w:sz="0" w:space="0" w:color="auto"/>
              </w:divBdr>
            </w:div>
            <w:div w:id="1458376630">
              <w:marLeft w:val="0"/>
              <w:marRight w:val="0"/>
              <w:marTop w:val="0"/>
              <w:marBottom w:val="0"/>
              <w:divBdr>
                <w:top w:val="none" w:sz="0" w:space="0" w:color="auto"/>
                <w:left w:val="none" w:sz="0" w:space="0" w:color="auto"/>
                <w:bottom w:val="none" w:sz="0" w:space="0" w:color="auto"/>
                <w:right w:val="none" w:sz="0" w:space="0" w:color="auto"/>
              </w:divBdr>
            </w:div>
            <w:div w:id="1459028428">
              <w:marLeft w:val="0"/>
              <w:marRight w:val="0"/>
              <w:marTop w:val="0"/>
              <w:marBottom w:val="0"/>
              <w:divBdr>
                <w:top w:val="none" w:sz="0" w:space="0" w:color="auto"/>
                <w:left w:val="none" w:sz="0" w:space="0" w:color="auto"/>
                <w:bottom w:val="none" w:sz="0" w:space="0" w:color="auto"/>
                <w:right w:val="none" w:sz="0" w:space="0" w:color="auto"/>
              </w:divBdr>
            </w:div>
            <w:div w:id="1465998063">
              <w:marLeft w:val="0"/>
              <w:marRight w:val="0"/>
              <w:marTop w:val="0"/>
              <w:marBottom w:val="0"/>
              <w:divBdr>
                <w:top w:val="none" w:sz="0" w:space="0" w:color="auto"/>
                <w:left w:val="none" w:sz="0" w:space="0" w:color="auto"/>
                <w:bottom w:val="none" w:sz="0" w:space="0" w:color="auto"/>
                <w:right w:val="none" w:sz="0" w:space="0" w:color="auto"/>
              </w:divBdr>
            </w:div>
            <w:div w:id="1471439762">
              <w:marLeft w:val="0"/>
              <w:marRight w:val="0"/>
              <w:marTop w:val="0"/>
              <w:marBottom w:val="0"/>
              <w:divBdr>
                <w:top w:val="none" w:sz="0" w:space="0" w:color="auto"/>
                <w:left w:val="none" w:sz="0" w:space="0" w:color="auto"/>
                <w:bottom w:val="none" w:sz="0" w:space="0" w:color="auto"/>
                <w:right w:val="none" w:sz="0" w:space="0" w:color="auto"/>
              </w:divBdr>
            </w:div>
            <w:div w:id="1481460624">
              <w:marLeft w:val="0"/>
              <w:marRight w:val="0"/>
              <w:marTop w:val="0"/>
              <w:marBottom w:val="0"/>
              <w:divBdr>
                <w:top w:val="none" w:sz="0" w:space="0" w:color="auto"/>
                <w:left w:val="none" w:sz="0" w:space="0" w:color="auto"/>
                <w:bottom w:val="none" w:sz="0" w:space="0" w:color="auto"/>
                <w:right w:val="none" w:sz="0" w:space="0" w:color="auto"/>
              </w:divBdr>
            </w:div>
            <w:div w:id="1487822395">
              <w:marLeft w:val="0"/>
              <w:marRight w:val="0"/>
              <w:marTop w:val="0"/>
              <w:marBottom w:val="0"/>
              <w:divBdr>
                <w:top w:val="none" w:sz="0" w:space="0" w:color="auto"/>
                <w:left w:val="none" w:sz="0" w:space="0" w:color="auto"/>
                <w:bottom w:val="none" w:sz="0" w:space="0" w:color="auto"/>
                <w:right w:val="none" w:sz="0" w:space="0" w:color="auto"/>
              </w:divBdr>
            </w:div>
            <w:div w:id="1492677339">
              <w:marLeft w:val="0"/>
              <w:marRight w:val="0"/>
              <w:marTop w:val="0"/>
              <w:marBottom w:val="0"/>
              <w:divBdr>
                <w:top w:val="none" w:sz="0" w:space="0" w:color="auto"/>
                <w:left w:val="none" w:sz="0" w:space="0" w:color="auto"/>
                <w:bottom w:val="none" w:sz="0" w:space="0" w:color="auto"/>
                <w:right w:val="none" w:sz="0" w:space="0" w:color="auto"/>
              </w:divBdr>
            </w:div>
            <w:div w:id="1493453184">
              <w:marLeft w:val="0"/>
              <w:marRight w:val="0"/>
              <w:marTop w:val="0"/>
              <w:marBottom w:val="0"/>
              <w:divBdr>
                <w:top w:val="none" w:sz="0" w:space="0" w:color="auto"/>
                <w:left w:val="none" w:sz="0" w:space="0" w:color="auto"/>
                <w:bottom w:val="none" w:sz="0" w:space="0" w:color="auto"/>
                <w:right w:val="none" w:sz="0" w:space="0" w:color="auto"/>
              </w:divBdr>
            </w:div>
            <w:div w:id="1495754646">
              <w:marLeft w:val="0"/>
              <w:marRight w:val="0"/>
              <w:marTop w:val="0"/>
              <w:marBottom w:val="0"/>
              <w:divBdr>
                <w:top w:val="none" w:sz="0" w:space="0" w:color="auto"/>
                <w:left w:val="none" w:sz="0" w:space="0" w:color="auto"/>
                <w:bottom w:val="none" w:sz="0" w:space="0" w:color="auto"/>
                <w:right w:val="none" w:sz="0" w:space="0" w:color="auto"/>
              </w:divBdr>
            </w:div>
            <w:div w:id="1497575204">
              <w:marLeft w:val="0"/>
              <w:marRight w:val="0"/>
              <w:marTop w:val="0"/>
              <w:marBottom w:val="0"/>
              <w:divBdr>
                <w:top w:val="none" w:sz="0" w:space="0" w:color="auto"/>
                <w:left w:val="none" w:sz="0" w:space="0" w:color="auto"/>
                <w:bottom w:val="none" w:sz="0" w:space="0" w:color="auto"/>
                <w:right w:val="none" w:sz="0" w:space="0" w:color="auto"/>
              </w:divBdr>
            </w:div>
            <w:div w:id="1499732350">
              <w:marLeft w:val="0"/>
              <w:marRight w:val="0"/>
              <w:marTop w:val="0"/>
              <w:marBottom w:val="0"/>
              <w:divBdr>
                <w:top w:val="none" w:sz="0" w:space="0" w:color="auto"/>
                <w:left w:val="none" w:sz="0" w:space="0" w:color="auto"/>
                <w:bottom w:val="none" w:sz="0" w:space="0" w:color="auto"/>
                <w:right w:val="none" w:sz="0" w:space="0" w:color="auto"/>
              </w:divBdr>
            </w:div>
            <w:div w:id="1503736154">
              <w:marLeft w:val="0"/>
              <w:marRight w:val="0"/>
              <w:marTop w:val="0"/>
              <w:marBottom w:val="0"/>
              <w:divBdr>
                <w:top w:val="none" w:sz="0" w:space="0" w:color="auto"/>
                <w:left w:val="none" w:sz="0" w:space="0" w:color="auto"/>
                <w:bottom w:val="none" w:sz="0" w:space="0" w:color="auto"/>
                <w:right w:val="none" w:sz="0" w:space="0" w:color="auto"/>
              </w:divBdr>
            </w:div>
            <w:div w:id="1516962098">
              <w:marLeft w:val="0"/>
              <w:marRight w:val="0"/>
              <w:marTop w:val="0"/>
              <w:marBottom w:val="0"/>
              <w:divBdr>
                <w:top w:val="none" w:sz="0" w:space="0" w:color="auto"/>
                <w:left w:val="none" w:sz="0" w:space="0" w:color="auto"/>
                <w:bottom w:val="none" w:sz="0" w:space="0" w:color="auto"/>
                <w:right w:val="none" w:sz="0" w:space="0" w:color="auto"/>
              </w:divBdr>
            </w:div>
            <w:div w:id="1532910890">
              <w:marLeft w:val="0"/>
              <w:marRight w:val="0"/>
              <w:marTop w:val="0"/>
              <w:marBottom w:val="0"/>
              <w:divBdr>
                <w:top w:val="none" w:sz="0" w:space="0" w:color="auto"/>
                <w:left w:val="none" w:sz="0" w:space="0" w:color="auto"/>
                <w:bottom w:val="none" w:sz="0" w:space="0" w:color="auto"/>
                <w:right w:val="none" w:sz="0" w:space="0" w:color="auto"/>
              </w:divBdr>
            </w:div>
            <w:div w:id="1533304591">
              <w:marLeft w:val="0"/>
              <w:marRight w:val="0"/>
              <w:marTop w:val="0"/>
              <w:marBottom w:val="0"/>
              <w:divBdr>
                <w:top w:val="none" w:sz="0" w:space="0" w:color="auto"/>
                <w:left w:val="none" w:sz="0" w:space="0" w:color="auto"/>
                <w:bottom w:val="none" w:sz="0" w:space="0" w:color="auto"/>
                <w:right w:val="none" w:sz="0" w:space="0" w:color="auto"/>
              </w:divBdr>
            </w:div>
            <w:div w:id="1533685226">
              <w:marLeft w:val="0"/>
              <w:marRight w:val="0"/>
              <w:marTop w:val="0"/>
              <w:marBottom w:val="0"/>
              <w:divBdr>
                <w:top w:val="none" w:sz="0" w:space="0" w:color="auto"/>
                <w:left w:val="none" w:sz="0" w:space="0" w:color="auto"/>
                <w:bottom w:val="none" w:sz="0" w:space="0" w:color="auto"/>
                <w:right w:val="none" w:sz="0" w:space="0" w:color="auto"/>
              </w:divBdr>
            </w:div>
            <w:div w:id="1549878745">
              <w:marLeft w:val="0"/>
              <w:marRight w:val="0"/>
              <w:marTop w:val="0"/>
              <w:marBottom w:val="0"/>
              <w:divBdr>
                <w:top w:val="none" w:sz="0" w:space="0" w:color="auto"/>
                <w:left w:val="none" w:sz="0" w:space="0" w:color="auto"/>
                <w:bottom w:val="none" w:sz="0" w:space="0" w:color="auto"/>
                <w:right w:val="none" w:sz="0" w:space="0" w:color="auto"/>
              </w:divBdr>
            </w:div>
            <w:div w:id="1552427097">
              <w:marLeft w:val="0"/>
              <w:marRight w:val="0"/>
              <w:marTop w:val="0"/>
              <w:marBottom w:val="0"/>
              <w:divBdr>
                <w:top w:val="none" w:sz="0" w:space="0" w:color="auto"/>
                <w:left w:val="none" w:sz="0" w:space="0" w:color="auto"/>
                <w:bottom w:val="none" w:sz="0" w:space="0" w:color="auto"/>
                <w:right w:val="none" w:sz="0" w:space="0" w:color="auto"/>
              </w:divBdr>
            </w:div>
            <w:div w:id="1557861041">
              <w:marLeft w:val="0"/>
              <w:marRight w:val="0"/>
              <w:marTop w:val="0"/>
              <w:marBottom w:val="0"/>
              <w:divBdr>
                <w:top w:val="none" w:sz="0" w:space="0" w:color="auto"/>
                <w:left w:val="none" w:sz="0" w:space="0" w:color="auto"/>
                <w:bottom w:val="none" w:sz="0" w:space="0" w:color="auto"/>
                <w:right w:val="none" w:sz="0" w:space="0" w:color="auto"/>
              </w:divBdr>
            </w:div>
            <w:div w:id="1564366984">
              <w:marLeft w:val="0"/>
              <w:marRight w:val="0"/>
              <w:marTop w:val="0"/>
              <w:marBottom w:val="0"/>
              <w:divBdr>
                <w:top w:val="none" w:sz="0" w:space="0" w:color="auto"/>
                <w:left w:val="none" w:sz="0" w:space="0" w:color="auto"/>
                <w:bottom w:val="none" w:sz="0" w:space="0" w:color="auto"/>
                <w:right w:val="none" w:sz="0" w:space="0" w:color="auto"/>
              </w:divBdr>
            </w:div>
            <w:div w:id="1566799837">
              <w:marLeft w:val="0"/>
              <w:marRight w:val="0"/>
              <w:marTop w:val="0"/>
              <w:marBottom w:val="0"/>
              <w:divBdr>
                <w:top w:val="none" w:sz="0" w:space="0" w:color="auto"/>
                <w:left w:val="none" w:sz="0" w:space="0" w:color="auto"/>
                <w:bottom w:val="none" w:sz="0" w:space="0" w:color="auto"/>
                <w:right w:val="none" w:sz="0" w:space="0" w:color="auto"/>
              </w:divBdr>
            </w:div>
            <w:div w:id="1578202275">
              <w:marLeft w:val="0"/>
              <w:marRight w:val="0"/>
              <w:marTop w:val="0"/>
              <w:marBottom w:val="0"/>
              <w:divBdr>
                <w:top w:val="none" w:sz="0" w:space="0" w:color="auto"/>
                <w:left w:val="none" w:sz="0" w:space="0" w:color="auto"/>
                <w:bottom w:val="none" w:sz="0" w:space="0" w:color="auto"/>
                <w:right w:val="none" w:sz="0" w:space="0" w:color="auto"/>
              </w:divBdr>
            </w:div>
            <w:div w:id="1582368609">
              <w:marLeft w:val="0"/>
              <w:marRight w:val="0"/>
              <w:marTop w:val="0"/>
              <w:marBottom w:val="0"/>
              <w:divBdr>
                <w:top w:val="none" w:sz="0" w:space="0" w:color="auto"/>
                <w:left w:val="none" w:sz="0" w:space="0" w:color="auto"/>
                <w:bottom w:val="none" w:sz="0" w:space="0" w:color="auto"/>
                <w:right w:val="none" w:sz="0" w:space="0" w:color="auto"/>
              </w:divBdr>
            </w:div>
            <w:div w:id="1596129915">
              <w:marLeft w:val="0"/>
              <w:marRight w:val="0"/>
              <w:marTop w:val="0"/>
              <w:marBottom w:val="0"/>
              <w:divBdr>
                <w:top w:val="none" w:sz="0" w:space="0" w:color="auto"/>
                <w:left w:val="none" w:sz="0" w:space="0" w:color="auto"/>
                <w:bottom w:val="none" w:sz="0" w:space="0" w:color="auto"/>
                <w:right w:val="none" w:sz="0" w:space="0" w:color="auto"/>
              </w:divBdr>
            </w:div>
            <w:div w:id="1596551939">
              <w:marLeft w:val="0"/>
              <w:marRight w:val="0"/>
              <w:marTop w:val="0"/>
              <w:marBottom w:val="0"/>
              <w:divBdr>
                <w:top w:val="none" w:sz="0" w:space="0" w:color="auto"/>
                <w:left w:val="none" w:sz="0" w:space="0" w:color="auto"/>
                <w:bottom w:val="none" w:sz="0" w:space="0" w:color="auto"/>
                <w:right w:val="none" w:sz="0" w:space="0" w:color="auto"/>
              </w:divBdr>
            </w:div>
            <w:div w:id="1607957211">
              <w:marLeft w:val="0"/>
              <w:marRight w:val="0"/>
              <w:marTop w:val="0"/>
              <w:marBottom w:val="0"/>
              <w:divBdr>
                <w:top w:val="none" w:sz="0" w:space="0" w:color="auto"/>
                <w:left w:val="none" w:sz="0" w:space="0" w:color="auto"/>
                <w:bottom w:val="none" w:sz="0" w:space="0" w:color="auto"/>
                <w:right w:val="none" w:sz="0" w:space="0" w:color="auto"/>
              </w:divBdr>
            </w:div>
            <w:div w:id="1624386022">
              <w:marLeft w:val="0"/>
              <w:marRight w:val="0"/>
              <w:marTop w:val="0"/>
              <w:marBottom w:val="0"/>
              <w:divBdr>
                <w:top w:val="none" w:sz="0" w:space="0" w:color="auto"/>
                <w:left w:val="none" w:sz="0" w:space="0" w:color="auto"/>
                <w:bottom w:val="none" w:sz="0" w:space="0" w:color="auto"/>
                <w:right w:val="none" w:sz="0" w:space="0" w:color="auto"/>
              </w:divBdr>
            </w:div>
            <w:div w:id="1625187238">
              <w:marLeft w:val="0"/>
              <w:marRight w:val="0"/>
              <w:marTop w:val="0"/>
              <w:marBottom w:val="0"/>
              <w:divBdr>
                <w:top w:val="none" w:sz="0" w:space="0" w:color="auto"/>
                <w:left w:val="none" w:sz="0" w:space="0" w:color="auto"/>
                <w:bottom w:val="none" w:sz="0" w:space="0" w:color="auto"/>
                <w:right w:val="none" w:sz="0" w:space="0" w:color="auto"/>
              </w:divBdr>
            </w:div>
            <w:div w:id="1626423464">
              <w:marLeft w:val="0"/>
              <w:marRight w:val="0"/>
              <w:marTop w:val="0"/>
              <w:marBottom w:val="0"/>
              <w:divBdr>
                <w:top w:val="none" w:sz="0" w:space="0" w:color="auto"/>
                <w:left w:val="none" w:sz="0" w:space="0" w:color="auto"/>
                <w:bottom w:val="none" w:sz="0" w:space="0" w:color="auto"/>
                <w:right w:val="none" w:sz="0" w:space="0" w:color="auto"/>
              </w:divBdr>
            </w:div>
            <w:div w:id="1628968686">
              <w:marLeft w:val="0"/>
              <w:marRight w:val="0"/>
              <w:marTop w:val="0"/>
              <w:marBottom w:val="0"/>
              <w:divBdr>
                <w:top w:val="none" w:sz="0" w:space="0" w:color="auto"/>
                <w:left w:val="none" w:sz="0" w:space="0" w:color="auto"/>
                <w:bottom w:val="none" w:sz="0" w:space="0" w:color="auto"/>
                <w:right w:val="none" w:sz="0" w:space="0" w:color="auto"/>
              </w:divBdr>
            </w:div>
            <w:div w:id="1636520969">
              <w:marLeft w:val="0"/>
              <w:marRight w:val="0"/>
              <w:marTop w:val="0"/>
              <w:marBottom w:val="0"/>
              <w:divBdr>
                <w:top w:val="none" w:sz="0" w:space="0" w:color="auto"/>
                <w:left w:val="none" w:sz="0" w:space="0" w:color="auto"/>
                <w:bottom w:val="none" w:sz="0" w:space="0" w:color="auto"/>
                <w:right w:val="none" w:sz="0" w:space="0" w:color="auto"/>
              </w:divBdr>
            </w:div>
            <w:div w:id="1650354591">
              <w:marLeft w:val="0"/>
              <w:marRight w:val="0"/>
              <w:marTop w:val="0"/>
              <w:marBottom w:val="0"/>
              <w:divBdr>
                <w:top w:val="none" w:sz="0" w:space="0" w:color="auto"/>
                <w:left w:val="none" w:sz="0" w:space="0" w:color="auto"/>
                <w:bottom w:val="none" w:sz="0" w:space="0" w:color="auto"/>
                <w:right w:val="none" w:sz="0" w:space="0" w:color="auto"/>
              </w:divBdr>
            </w:div>
            <w:div w:id="1654017657">
              <w:marLeft w:val="0"/>
              <w:marRight w:val="0"/>
              <w:marTop w:val="0"/>
              <w:marBottom w:val="0"/>
              <w:divBdr>
                <w:top w:val="none" w:sz="0" w:space="0" w:color="auto"/>
                <w:left w:val="none" w:sz="0" w:space="0" w:color="auto"/>
                <w:bottom w:val="none" w:sz="0" w:space="0" w:color="auto"/>
                <w:right w:val="none" w:sz="0" w:space="0" w:color="auto"/>
              </w:divBdr>
            </w:div>
            <w:div w:id="1656955807">
              <w:marLeft w:val="0"/>
              <w:marRight w:val="0"/>
              <w:marTop w:val="0"/>
              <w:marBottom w:val="0"/>
              <w:divBdr>
                <w:top w:val="none" w:sz="0" w:space="0" w:color="auto"/>
                <w:left w:val="none" w:sz="0" w:space="0" w:color="auto"/>
                <w:bottom w:val="none" w:sz="0" w:space="0" w:color="auto"/>
                <w:right w:val="none" w:sz="0" w:space="0" w:color="auto"/>
              </w:divBdr>
            </w:div>
            <w:div w:id="1657537706">
              <w:marLeft w:val="0"/>
              <w:marRight w:val="0"/>
              <w:marTop w:val="0"/>
              <w:marBottom w:val="0"/>
              <w:divBdr>
                <w:top w:val="none" w:sz="0" w:space="0" w:color="auto"/>
                <w:left w:val="none" w:sz="0" w:space="0" w:color="auto"/>
                <w:bottom w:val="none" w:sz="0" w:space="0" w:color="auto"/>
                <w:right w:val="none" w:sz="0" w:space="0" w:color="auto"/>
              </w:divBdr>
            </w:div>
            <w:div w:id="1660960554">
              <w:marLeft w:val="0"/>
              <w:marRight w:val="0"/>
              <w:marTop w:val="0"/>
              <w:marBottom w:val="0"/>
              <w:divBdr>
                <w:top w:val="none" w:sz="0" w:space="0" w:color="auto"/>
                <w:left w:val="none" w:sz="0" w:space="0" w:color="auto"/>
                <w:bottom w:val="none" w:sz="0" w:space="0" w:color="auto"/>
                <w:right w:val="none" w:sz="0" w:space="0" w:color="auto"/>
              </w:divBdr>
            </w:div>
            <w:div w:id="1663893802">
              <w:marLeft w:val="0"/>
              <w:marRight w:val="0"/>
              <w:marTop w:val="0"/>
              <w:marBottom w:val="0"/>
              <w:divBdr>
                <w:top w:val="none" w:sz="0" w:space="0" w:color="auto"/>
                <w:left w:val="none" w:sz="0" w:space="0" w:color="auto"/>
                <w:bottom w:val="none" w:sz="0" w:space="0" w:color="auto"/>
                <w:right w:val="none" w:sz="0" w:space="0" w:color="auto"/>
              </w:divBdr>
            </w:div>
            <w:div w:id="1666086702">
              <w:marLeft w:val="0"/>
              <w:marRight w:val="0"/>
              <w:marTop w:val="0"/>
              <w:marBottom w:val="0"/>
              <w:divBdr>
                <w:top w:val="none" w:sz="0" w:space="0" w:color="auto"/>
                <w:left w:val="none" w:sz="0" w:space="0" w:color="auto"/>
                <w:bottom w:val="none" w:sz="0" w:space="0" w:color="auto"/>
                <w:right w:val="none" w:sz="0" w:space="0" w:color="auto"/>
              </w:divBdr>
            </w:div>
            <w:div w:id="1671374449">
              <w:marLeft w:val="0"/>
              <w:marRight w:val="0"/>
              <w:marTop w:val="0"/>
              <w:marBottom w:val="0"/>
              <w:divBdr>
                <w:top w:val="none" w:sz="0" w:space="0" w:color="auto"/>
                <w:left w:val="none" w:sz="0" w:space="0" w:color="auto"/>
                <w:bottom w:val="none" w:sz="0" w:space="0" w:color="auto"/>
                <w:right w:val="none" w:sz="0" w:space="0" w:color="auto"/>
              </w:divBdr>
            </w:div>
            <w:div w:id="1684085739">
              <w:marLeft w:val="0"/>
              <w:marRight w:val="0"/>
              <w:marTop w:val="0"/>
              <w:marBottom w:val="0"/>
              <w:divBdr>
                <w:top w:val="none" w:sz="0" w:space="0" w:color="auto"/>
                <w:left w:val="none" w:sz="0" w:space="0" w:color="auto"/>
                <w:bottom w:val="none" w:sz="0" w:space="0" w:color="auto"/>
                <w:right w:val="none" w:sz="0" w:space="0" w:color="auto"/>
              </w:divBdr>
            </w:div>
            <w:div w:id="1698117881">
              <w:marLeft w:val="0"/>
              <w:marRight w:val="0"/>
              <w:marTop w:val="0"/>
              <w:marBottom w:val="0"/>
              <w:divBdr>
                <w:top w:val="none" w:sz="0" w:space="0" w:color="auto"/>
                <w:left w:val="none" w:sz="0" w:space="0" w:color="auto"/>
                <w:bottom w:val="none" w:sz="0" w:space="0" w:color="auto"/>
                <w:right w:val="none" w:sz="0" w:space="0" w:color="auto"/>
              </w:divBdr>
            </w:div>
            <w:div w:id="1729763183">
              <w:marLeft w:val="0"/>
              <w:marRight w:val="0"/>
              <w:marTop w:val="0"/>
              <w:marBottom w:val="0"/>
              <w:divBdr>
                <w:top w:val="none" w:sz="0" w:space="0" w:color="auto"/>
                <w:left w:val="none" w:sz="0" w:space="0" w:color="auto"/>
                <w:bottom w:val="none" w:sz="0" w:space="0" w:color="auto"/>
                <w:right w:val="none" w:sz="0" w:space="0" w:color="auto"/>
              </w:divBdr>
            </w:div>
            <w:div w:id="1745374219">
              <w:marLeft w:val="0"/>
              <w:marRight w:val="0"/>
              <w:marTop w:val="0"/>
              <w:marBottom w:val="0"/>
              <w:divBdr>
                <w:top w:val="none" w:sz="0" w:space="0" w:color="auto"/>
                <w:left w:val="none" w:sz="0" w:space="0" w:color="auto"/>
                <w:bottom w:val="none" w:sz="0" w:space="0" w:color="auto"/>
                <w:right w:val="none" w:sz="0" w:space="0" w:color="auto"/>
              </w:divBdr>
            </w:div>
            <w:div w:id="1746995083">
              <w:marLeft w:val="0"/>
              <w:marRight w:val="0"/>
              <w:marTop w:val="0"/>
              <w:marBottom w:val="0"/>
              <w:divBdr>
                <w:top w:val="none" w:sz="0" w:space="0" w:color="auto"/>
                <w:left w:val="none" w:sz="0" w:space="0" w:color="auto"/>
                <w:bottom w:val="none" w:sz="0" w:space="0" w:color="auto"/>
                <w:right w:val="none" w:sz="0" w:space="0" w:color="auto"/>
              </w:divBdr>
            </w:div>
            <w:div w:id="1747074799">
              <w:marLeft w:val="0"/>
              <w:marRight w:val="0"/>
              <w:marTop w:val="0"/>
              <w:marBottom w:val="0"/>
              <w:divBdr>
                <w:top w:val="none" w:sz="0" w:space="0" w:color="auto"/>
                <w:left w:val="none" w:sz="0" w:space="0" w:color="auto"/>
                <w:bottom w:val="none" w:sz="0" w:space="0" w:color="auto"/>
                <w:right w:val="none" w:sz="0" w:space="0" w:color="auto"/>
              </w:divBdr>
            </w:div>
            <w:div w:id="1749647065">
              <w:marLeft w:val="0"/>
              <w:marRight w:val="0"/>
              <w:marTop w:val="0"/>
              <w:marBottom w:val="0"/>
              <w:divBdr>
                <w:top w:val="none" w:sz="0" w:space="0" w:color="auto"/>
                <w:left w:val="none" w:sz="0" w:space="0" w:color="auto"/>
                <w:bottom w:val="none" w:sz="0" w:space="0" w:color="auto"/>
                <w:right w:val="none" w:sz="0" w:space="0" w:color="auto"/>
              </w:divBdr>
            </w:div>
            <w:div w:id="1759325762">
              <w:marLeft w:val="0"/>
              <w:marRight w:val="0"/>
              <w:marTop w:val="0"/>
              <w:marBottom w:val="0"/>
              <w:divBdr>
                <w:top w:val="none" w:sz="0" w:space="0" w:color="auto"/>
                <w:left w:val="none" w:sz="0" w:space="0" w:color="auto"/>
                <w:bottom w:val="none" w:sz="0" w:space="0" w:color="auto"/>
                <w:right w:val="none" w:sz="0" w:space="0" w:color="auto"/>
              </w:divBdr>
            </w:div>
            <w:div w:id="1765689760">
              <w:marLeft w:val="0"/>
              <w:marRight w:val="0"/>
              <w:marTop w:val="0"/>
              <w:marBottom w:val="0"/>
              <w:divBdr>
                <w:top w:val="none" w:sz="0" w:space="0" w:color="auto"/>
                <w:left w:val="none" w:sz="0" w:space="0" w:color="auto"/>
                <w:bottom w:val="none" w:sz="0" w:space="0" w:color="auto"/>
                <w:right w:val="none" w:sz="0" w:space="0" w:color="auto"/>
              </w:divBdr>
            </w:div>
            <w:div w:id="1779183020">
              <w:marLeft w:val="0"/>
              <w:marRight w:val="0"/>
              <w:marTop w:val="0"/>
              <w:marBottom w:val="0"/>
              <w:divBdr>
                <w:top w:val="none" w:sz="0" w:space="0" w:color="auto"/>
                <w:left w:val="none" w:sz="0" w:space="0" w:color="auto"/>
                <w:bottom w:val="none" w:sz="0" w:space="0" w:color="auto"/>
                <w:right w:val="none" w:sz="0" w:space="0" w:color="auto"/>
              </w:divBdr>
            </w:div>
            <w:div w:id="1784958392">
              <w:marLeft w:val="0"/>
              <w:marRight w:val="0"/>
              <w:marTop w:val="0"/>
              <w:marBottom w:val="0"/>
              <w:divBdr>
                <w:top w:val="none" w:sz="0" w:space="0" w:color="auto"/>
                <w:left w:val="none" w:sz="0" w:space="0" w:color="auto"/>
                <w:bottom w:val="none" w:sz="0" w:space="0" w:color="auto"/>
                <w:right w:val="none" w:sz="0" w:space="0" w:color="auto"/>
              </w:divBdr>
            </w:div>
            <w:div w:id="1786146556">
              <w:marLeft w:val="0"/>
              <w:marRight w:val="0"/>
              <w:marTop w:val="0"/>
              <w:marBottom w:val="0"/>
              <w:divBdr>
                <w:top w:val="none" w:sz="0" w:space="0" w:color="auto"/>
                <w:left w:val="none" w:sz="0" w:space="0" w:color="auto"/>
                <w:bottom w:val="none" w:sz="0" w:space="0" w:color="auto"/>
                <w:right w:val="none" w:sz="0" w:space="0" w:color="auto"/>
              </w:divBdr>
            </w:div>
            <w:div w:id="1789661225">
              <w:marLeft w:val="0"/>
              <w:marRight w:val="0"/>
              <w:marTop w:val="0"/>
              <w:marBottom w:val="0"/>
              <w:divBdr>
                <w:top w:val="none" w:sz="0" w:space="0" w:color="auto"/>
                <w:left w:val="none" w:sz="0" w:space="0" w:color="auto"/>
                <w:bottom w:val="none" w:sz="0" w:space="0" w:color="auto"/>
                <w:right w:val="none" w:sz="0" w:space="0" w:color="auto"/>
              </w:divBdr>
            </w:div>
            <w:div w:id="1791196961">
              <w:marLeft w:val="0"/>
              <w:marRight w:val="0"/>
              <w:marTop w:val="0"/>
              <w:marBottom w:val="0"/>
              <w:divBdr>
                <w:top w:val="none" w:sz="0" w:space="0" w:color="auto"/>
                <w:left w:val="none" w:sz="0" w:space="0" w:color="auto"/>
                <w:bottom w:val="none" w:sz="0" w:space="0" w:color="auto"/>
                <w:right w:val="none" w:sz="0" w:space="0" w:color="auto"/>
              </w:divBdr>
            </w:div>
            <w:div w:id="1794130424">
              <w:marLeft w:val="0"/>
              <w:marRight w:val="0"/>
              <w:marTop w:val="0"/>
              <w:marBottom w:val="0"/>
              <w:divBdr>
                <w:top w:val="none" w:sz="0" w:space="0" w:color="auto"/>
                <w:left w:val="none" w:sz="0" w:space="0" w:color="auto"/>
                <w:bottom w:val="none" w:sz="0" w:space="0" w:color="auto"/>
                <w:right w:val="none" w:sz="0" w:space="0" w:color="auto"/>
              </w:divBdr>
            </w:div>
            <w:div w:id="1798839419">
              <w:marLeft w:val="0"/>
              <w:marRight w:val="0"/>
              <w:marTop w:val="0"/>
              <w:marBottom w:val="0"/>
              <w:divBdr>
                <w:top w:val="none" w:sz="0" w:space="0" w:color="auto"/>
                <w:left w:val="none" w:sz="0" w:space="0" w:color="auto"/>
                <w:bottom w:val="none" w:sz="0" w:space="0" w:color="auto"/>
                <w:right w:val="none" w:sz="0" w:space="0" w:color="auto"/>
              </w:divBdr>
            </w:div>
            <w:div w:id="1801341759">
              <w:marLeft w:val="0"/>
              <w:marRight w:val="0"/>
              <w:marTop w:val="0"/>
              <w:marBottom w:val="0"/>
              <w:divBdr>
                <w:top w:val="none" w:sz="0" w:space="0" w:color="auto"/>
                <w:left w:val="none" w:sz="0" w:space="0" w:color="auto"/>
                <w:bottom w:val="none" w:sz="0" w:space="0" w:color="auto"/>
                <w:right w:val="none" w:sz="0" w:space="0" w:color="auto"/>
              </w:divBdr>
            </w:div>
            <w:div w:id="1803420675">
              <w:marLeft w:val="0"/>
              <w:marRight w:val="0"/>
              <w:marTop w:val="0"/>
              <w:marBottom w:val="0"/>
              <w:divBdr>
                <w:top w:val="none" w:sz="0" w:space="0" w:color="auto"/>
                <w:left w:val="none" w:sz="0" w:space="0" w:color="auto"/>
                <w:bottom w:val="none" w:sz="0" w:space="0" w:color="auto"/>
                <w:right w:val="none" w:sz="0" w:space="0" w:color="auto"/>
              </w:divBdr>
            </w:div>
            <w:div w:id="1804495242">
              <w:marLeft w:val="0"/>
              <w:marRight w:val="0"/>
              <w:marTop w:val="0"/>
              <w:marBottom w:val="0"/>
              <w:divBdr>
                <w:top w:val="none" w:sz="0" w:space="0" w:color="auto"/>
                <w:left w:val="none" w:sz="0" w:space="0" w:color="auto"/>
                <w:bottom w:val="none" w:sz="0" w:space="0" w:color="auto"/>
                <w:right w:val="none" w:sz="0" w:space="0" w:color="auto"/>
              </w:divBdr>
            </w:div>
            <w:div w:id="1804686747">
              <w:marLeft w:val="0"/>
              <w:marRight w:val="0"/>
              <w:marTop w:val="0"/>
              <w:marBottom w:val="0"/>
              <w:divBdr>
                <w:top w:val="none" w:sz="0" w:space="0" w:color="auto"/>
                <w:left w:val="none" w:sz="0" w:space="0" w:color="auto"/>
                <w:bottom w:val="none" w:sz="0" w:space="0" w:color="auto"/>
                <w:right w:val="none" w:sz="0" w:space="0" w:color="auto"/>
              </w:divBdr>
            </w:div>
            <w:div w:id="1809013214">
              <w:marLeft w:val="0"/>
              <w:marRight w:val="0"/>
              <w:marTop w:val="0"/>
              <w:marBottom w:val="0"/>
              <w:divBdr>
                <w:top w:val="none" w:sz="0" w:space="0" w:color="auto"/>
                <w:left w:val="none" w:sz="0" w:space="0" w:color="auto"/>
                <w:bottom w:val="none" w:sz="0" w:space="0" w:color="auto"/>
                <w:right w:val="none" w:sz="0" w:space="0" w:color="auto"/>
              </w:divBdr>
            </w:div>
            <w:div w:id="1816872448">
              <w:marLeft w:val="0"/>
              <w:marRight w:val="0"/>
              <w:marTop w:val="0"/>
              <w:marBottom w:val="0"/>
              <w:divBdr>
                <w:top w:val="none" w:sz="0" w:space="0" w:color="auto"/>
                <w:left w:val="none" w:sz="0" w:space="0" w:color="auto"/>
                <w:bottom w:val="none" w:sz="0" w:space="0" w:color="auto"/>
                <w:right w:val="none" w:sz="0" w:space="0" w:color="auto"/>
              </w:divBdr>
            </w:div>
            <w:div w:id="1819565430">
              <w:marLeft w:val="0"/>
              <w:marRight w:val="0"/>
              <w:marTop w:val="0"/>
              <w:marBottom w:val="0"/>
              <w:divBdr>
                <w:top w:val="none" w:sz="0" w:space="0" w:color="auto"/>
                <w:left w:val="none" w:sz="0" w:space="0" w:color="auto"/>
                <w:bottom w:val="none" w:sz="0" w:space="0" w:color="auto"/>
                <w:right w:val="none" w:sz="0" w:space="0" w:color="auto"/>
              </w:divBdr>
            </w:div>
            <w:div w:id="1833325260">
              <w:marLeft w:val="0"/>
              <w:marRight w:val="0"/>
              <w:marTop w:val="0"/>
              <w:marBottom w:val="0"/>
              <w:divBdr>
                <w:top w:val="none" w:sz="0" w:space="0" w:color="auto"/>
                <w:left w:val="none" w:sz="0" w:space="0" w:color="auto"/>
                <w:bottom w:val="none" w:sz="0" w:space="0" w:color="auto"/>
                <w:right w:val="none" w:sz="0" w:space="0" w:color="auto"/>
              </w:divBdr>
            </w:div>
            <w:div w:id="1835295405">
              <w:marLeft w:val="0"/>
              <w:marRight w:val="0"/>
              <w:marTop w:val="0"/>
              <w:marBottom w:val="0"/>
              <w:divBdr>
                <w:top w:val="none" w:sz="0" w:space="0" w:color="auto"/>
                <w:left w:val="none" w:sz="0" w:space="0" w:color="auto"/>
                <w:bottom w:val="none" w:sz="0" w:space="0" w:color="auto"/>
                <w:right w:val="none" w:sz="0" w:space="0" w:color="auto"/>
              </w:divBdr>
            </w:div>
            <w:div w:id="1838958876">
              <w:marLeft w:val="0"/>
              <w:marRight w:val="0"/>
              <w:marTop w:val="0"/>
              <w:marBottom w:val="0"/>
              <w:divBdr>
                <w:top w:val="none" w:sz="0" w:space="0" w:color="auto"/>
                <w:left w:val="none" w:sz="0" w:space="0" w:color="auto"/>
                <w:bottom w:val="none" w:sz="0" w:space="0" w:color="auto"/>
                <w:right w:val="none" w:sz="0" w:space="0" w:color="auto"/>
              </w:divBdr>
            </w:div>
            <w:div w:id="1839229545">
              <w:marLeft w:val="0"/>
              <w:marRight w:val="0"/>
              <w:marTop w:val="0"/>
              <w:marBottom w:val="0"/>
              <w:divBdr>
                <w:top w:val="none" w:sz="0" w:space="0" w:color="auto"/>
                <w:left w:val="none" w:sz="0" w:space="0" w:color="auto"/>
                <w:bottom w:val="none" w:sz="0" w:space="0" w:color="auto"/>
                <w:right w:val="none" w:sz="0" w:space="0" w:color="auto"/>
              </w:divBdr>
            </w:div>
            <w:div w:id="1847750486">
              <w:marLeft w:val="0"/>
              <w:marRight w:val="0"/>
              <w:marTop w:val="0"/>
              <w:marBottom w:val="0"/>
              <w:divBdr>
                <w:top w:val="none" w:sz="0" w:space="0" w:color="auto"/>
                <w:left w:val="none" w:sz="0" w:space="0" w:color="auto"/>
                <w:bottom w:val="none" w:sz="0" w:space="0" w:color="auto"/>
                <w:right w:val="none" w:sz="0" w:space="0" w:color="auto"/>
              </w:divBdr>
            </w:div>
            <w:div w:id="1854950027">
              <w:marLeft w:val="0"/>
              <w:marRight w:val="0"/>
              <w:marTop w:val="0"/>
              <w:marBottom w:val="0"/>
              <w:divBdr>
                <w:top w:val="none" w:sz="0" w:space="0" w:color="auto"/>
                <w:left w:val="none" w:sz="0" w:space="0" w:color="auto"/>
                <w:bottom w:val="none" w:sz="0" w:space="0" w:color="auto"/>
                <w:right w:val="none" w:sz="0" w:space="0" w:color="auto"/>
              </w:divBdr>
            </w:div>
            <w:div w:id="1855148699">
              <w:marLeft w:val="0"/>
              <w:marRight w:val="0"/>
              <w:marTop w:val="0"/>
              <w:marBottom w:val="0"/>
              <w:divBdr>
                <w:top w:val="none" w:sz="0" w:space="0" w:color="auto"/>
                <w:left w:val="none" w:sz="0" w:space="0" w:color="auto"/>
                <w:bottom w:val="none" w:sz="0" w:space="0" w:color="auto"/>
                <w:right w:val="none" w:sz="0" w:space="0" w:color="auto"/>
              </w:divBdr>
            </w:div>
            <w:div w:id="1858421155">
              <w:marLeft w:val="0"/>
              <w:marRight w:val="0"/>
              <w:marTop w:val="0"/>
              <w:marBottom w:val="0"/>
              <w:divBdr>
                <w:top w:val="none" w:sz="0" w:space="0" w:color="auto"/>
                <w:left w:val="none" w:sz="0" w:space="0" w:color="auto"/>
                <w:bottom w:val="none" w:sz="0" w:space="0" w:color="auto"/>
                <w:right w:val="none" w:sz="0" w:space="0" w:color="auto"/>
              </w:divBdr>
            </w:div>
            <w:div w:id="1860581928">
              <w:marLeft w:val="0"/>
              <w:marRight w:val="0"/>
              <w:marTop w:val="0"/>
              <w:marBottom w:val="0"/>
              <w:divBdr>
                <w:top w:val="none" w:sz="0" w:space="0" w:color="auto"/>
                <w:left w:val="none" w:sz="0" w:space="0" w:color="auto"/>
                <w:bottom w:val="none" w:sz="0" w:space="0" w:color="auto"/>
                <w:right w:val="none" w:sz="0" w:space="0" w:color="auto"/>
              </w:divBdr>
            </w:div>
            <w:div w:id="1884322399">
              <w:marLeft w:val="0"/>
              <w:marRight w:val="0"/>
              <w:marTop w:val="0"/>
              <w:marBottom w:val="0"/>
              <w:divBdr>
                <w:top w:val="none" w:sz="0" w:space="0" w:color="auto"/>
                <w:left w:val="none" w:sz="0" w:space="0" w:color="auto"/>
                <w:bottom w:val="none" w:sz="0" w:space="0" w:color="auto"/>
                <w:right w:val="none" w:sz="0" w:space="0" w:color="auto"/>
              </w:divBdr>
            </w:div>
            <w:div w:id="1887444623">
              <w:marLeft w:val="0"/>
              <w:marRight w:val="0"/>
              <w:marTop w:val="0"/>
              <w:marBottom w:val="0"/>
              <w:divBdr>
                <w:top w:val="none" w:sz="0" w:space="0" w:color="auto"/>
                <w:left w:val="none" w:sz="0" w:space="0" w:color="auto"/>
                <w:bottom w:val="none" w:sz="0" w:space="0" w:color="auto"/>
                <w:right w:val="none" w:sz="0" w:space="0" w:color="auto"/>
              </w:divBdr>
            </w:div>
            <w:div w:id="1893078032">
              <w:marLeft w:val="0"/>
              <w:marRight w:val="0"/>
              <w:marTop w:val="0"/>
              <w:marBottom w:val="0"/>
              <w:divBdr>
                <w:top w:val="none" w:sz="0" w:space="0" w:color="auto"/>
                <w:left w:val="none" w:sz="0" w:space="0" w:color="auto"/>
                <w:bottom w:val="none" w:sz="0" w:space="0" w:color="auto"/>
                <w:right w:val="none" w:sz="0" w:space="0" w:color="auto"/>
              </w:divBdr>
            </w:div>
            <w:div w:id="1908030077">
              <w:marLeft w:val="0"/>
              <w:marRight w:val="0"/>
              <w:marTop w:val="0"/>
              <w:marBottom w:val="0"/>
              <w:divBdr>
                <w:top w:val="none" w:sz="0" w:space="0" w:color="auto"/>
                <w:left w:val="none" w:sz="0" w:space="0" w:color="auto"/>
                <w:bottom w:val="none" w:sz="0" w:space="0" w:color="auto"/>
                <w:right w:val="none" w:sz="0" w:space="0" w:color="auto"/>
              </w:divBdr>
            </w:div>
            <w:div w:id="1923174156">
              <w:marLeft w:val="0"/>
              <w:marRight w:val="0"/>
              <w:marTop w:val="0"/>
              <w:marBottom w:val="0"/>
              <w:divBdr>
                <w:top w:val="none" w:sz="0" w:space="0" w:color="auto"/>
                <w:left w:val="none" w:sz="0" w:space="0" w:color="auto"/>
                <w:bottom w:val="none" w:sz="0" w:space="0" w:color="auto"/>
                <w:right w:val="none" w:sz="0" w:space="0" w:color="auto"/>
              </w:divBdr>
            </w:div>
            <w:div w:id="1927692107">
              <w:marLeft w:val="0"/>
              <w:marRight w:val="0"/>
              <w:marTop w:val="0"/>
              <w:marBottom w:val="0"/>
              <w:divBdr>
                <w:top w:val="none" w:sz="0" w:space="0" w:color="auto"/>
                <w:left w:val="none" w:sz="0" w:space="0" w:color="auto"/>
                <w:bottom w:val="none" w:sz="0" w:space="0" w:color="auto"/>
                <w:right w:val="none" w:sz="0" w:space="0" w:color="auto"/>
              </w:divBdr>
            </w:div>
            <w:div w:id="1929076018">
              <w:marLeft w:val="0"/>
              <w:marRight w:val="0"/>
              <w:marTop w:val="0"/>
              <w:marBottom w:val="0"/>
              <w:divBdr>
                <w:top w:val="none" w:sz="0" w:space="0" w:color="auto"/>
                <w:left w:val="none" w:sz="0" w:space="0" w:color="auto"/>
                <w:bottom w:val="none" w:sz="0" w:space="0" w:color="auto"/>
                <w:right w:val="none" w:sz="0" w:space="0" w:color="auto"/>
              </w:divBdr>
            </w:div>
            <w:div w:id="1933049876">
              <w:marLeft w:val="0"/>
              <w:marRight w:val="0"/>
              <w:marTop w:val="0"/>
              <w:marBottom w:val="0"/>
              <w:divBdr>
                <w:top w:val="none" w:sz="0" w:space="0" w:color="auto"/>
                <w:left w:val="none" w:sz="0" w:space="0" w:color="auto"/>
                <w:bottom w:val="none" w:sz="0" w:space="0" w:color="auto"/>
                <w:right w:val="none" w:sz="0" w:space="0" w:color="auto"/>
              </w:divBdr>
            </w:div>
            <w:div w:id="1941715788">
              <w:marLeft w:val="0"/>
              <w:marRight w:val="0"/>
              <w:marTop w:val="0"/>
              <w:marBottom w:val="0"/>
              <w:divBdr>
                <w:top w:val="none" w:sz="0" w:space="0" w:color="auto"/>
                <w:left w:val="none" w:sz="0" w:space="0" w:color="auto"/>
                <w:bottom w:val="none" w:sz="0" w:space="0" w:color="auto"/>
                <w:right w:val="none" w:sz="0" w:space="0" w:color="auto"/>
              </w:divBdr>
            </w:div>
            <w:div w:id="1949268178">
              <w:marLeft w:val="0"/>
              <w:marRight w:val="0"/>
              <w:marTop w:val="0"/>
              <w:marBottom w:val="0"/>
              <w:divBdr>
                <w:top w:val="none" w:sz="0" w:space="0" w:color="auto"/>
                <w:left w:val="none" w:sz="0" w:space="0" w:color="auto"/>
                <w:bottom w:val="none" w:sz="0" w:space="0" w:color="auto"/>
                <w:right w:val="none" w:sz="0" w:space="0" w:color="auto"/>
              </w:divBdr>
            </w:div>
            <w:div w:id="1961184104">
              <w:marLeft w:val="0"/>
              <w:marRight w:val="0"/>
              <w:marTop w:val="0"/>
              <w:marBottom w:val="0"/>
              <w:divBdr>
                <w:top w:val="none" w:sz="0" w:space="0" w:color="auto"/>
                <w:left w:val="none" w:sz="0" w:space="0" w:color="auto"/>
                <w:bottom w:val="none" w:sz="0" w:space="0" w:color="auto"/>
                <w:right w:val="none" w:sz="0" w:space="0" w:color="auto"/>
              </w:divBdr>
            </w:div>
            <w:div w:id="1970356033">
              <w:marLeft w:val="0"/>
              <w:marRight w:val="0"/>
              <w:marTop w:val="0"/>
              <w:marBottom w:val="0"/>
              <w:divBdr>
                <w:top w:val="none" w:sz="0" w:space="0" w:color="auto"/>
                <w:left w:val="none" w:sz="0" w:space="0" w:color="auto"/>
                <w:bottom w:val="none" w:sz="0" w:space="0" w:color="auto"/>
                <w:right w:val="none" w:sz="0" w:space="0" w:color="auto"/>
              </w:divBdr>
            </w:div>
            <w:div w:id="1984037578">
              <w:marLeft w:val="0"/>
              <w:marRight w:val="0"/>
              <w:marTop w:val="0"/>
              <w:marBottom w:val="0"/>
              <w:divBdr>
                <w:top w:val="none" w:sz="0" w:space="0" w:color="auto"/>
                <w:left w:val="none" w:sz="0" w:space="0" w:color="auto"/>
                <w:bottom w:val="none" w:sz="0" w:space="0" w:color="auto"/>
                <w:right w:val="none" w:sz="0" w:space="0" w:color="auto"/>
              </w:divBdr>
            </w:div>
            <w:div w:id="1992252739">
              <w:marLeft w:val="0"/>
              <w:marRight w:val="0"/>
              <w:marTop w:val="0"/>
              <w:marBottom w:val="0"/>
              <w:divBdr>
                <w:top w:val="none" w:sz="0" w:space="0" w:color="auto"/>
                <w:left w:val="none" w:sz="0" w:space="0" w:color="auto"/>
                <w:bottom w:val="none" w:sz="0" w:space="0" w:color="auto"/>
                <w:right w:val="none" w:sz="0" w:space="0" w:color="auto"/>
              </w:divBdr>
            </w:div>
            <w:div w:id="2005475239">
              <w:marLeft w:val="0"/>
              <w:marRight w:val="0"/>
              <w:marTop w:val="0"/>
              <w:marBottom w:val="0"/>
              <w:divBdr>
                <w:top w:val="none" w:sz="0" w:space="0" w:color="auto"/>
                <w:left w:val="none" w:sz="0" w:space="0" w:color="auto"/>
                <w:bottom w:val="none" w:sz="0" w:space="0" w:color="auto"/>
                <w:right w:val="none" w:sz="0" w:space="0" w:color="auto"/>
              </w:divBdr>
            </w:div>
            <w:div w:id="2012833461">
              <w:marLeft w:val="0"/>
              <w:marRight w:val="0"/>
              <w:marTop w:val="0"/>
              <w:marBottom w:val="0"/>
              <w:divBdr>
                <w:top w:val="none" w:sz="0" w:space="0" w:color="auto"/>
                <w:left w:val="none" w:sz="0" w:space="0" w:color="auto"/>
                <w:bottom w:val="none" w:sz="0" w:space="0" w:color="auto"/>
                <w:right w:val="none" w:sz="0" w:space="0" w:color="auto"/>
              </w:divBdr>
            </w:div>
            <w:div w:id="2016834420">
              <w:marLeft w:val="0"/>
              <w:marRight w:val="0"/>
              <w:marTop w:val="0"/>
              <w:marBottom w:val="0"/>
              <w:divBdr>
                <w:top w:val="none" w:sz="0" w:space="0" w:color="auto"/>
                <w:left w:val="none" w:sz="0" w:space="0" w:color="auto"/>
                <w:bottom w:val="none" w:sz="0" w:space="0" w:color="auto"/>
                <w:right w:val="none" w:sz="0" w:space="0" w:color="auto"/>
              </w:divBdr>
            </w:div>
            <w:div w:id="2020500354">
              <w:marLeft w:val="0"/>
              <w:marRight w:val="0"/>
              <w:marTop w:val="0"/>
              <w:marBottom w:val="0"/>
              <w:divBdr>
                <w:top w:val="none" w:sz="0" w:space="0" w:color="auto"/>
                <w:left w:val="none" w:sz="0" w:space="0" w:color="auto"/>
                <w:bottom w:val="none" w:sz="0" w:space="0" w:color="auto"/>
                <w:right w:val="none" w:sz="0" w:space="0" w:color="auto"/>
              </w:divBdr>
            </w:div>
            <w:div w:id="2020617386">
              <w:marLeft w:val="0"/>
              <w:marRight w:val="0"/>
              <w:marTop w:val="0"/>
              <w:marBottom w:val="0"/>
              <w:divBdr>
                <w:top w:val="none" w:sz="0" w:space="0" w:color="auto"/>
                <w:left w:val="none" w:sz="0" w:space="0" w:color="auto"/>
                <w:bottom w:val="none" w:sz="0" w:space="0" w:color="auto"/>
                <w:right w:val="none" w:sz="0" w:space="0" w:color="auto"/>
              </w:divBdr>
            </w:div>
            <w:div w:id="2029328212">
              <w:marLeft w:val="0"/>
              <w:marRight w:val="0"/>
              <w:marTop w:val="0"/>
              <w:marBottom w:val="0"/>
              <w:divBdr>
                <w:top w:val="none" w:sz="0" w:space="0" w:color="auto"/>
                <w:left w:val="none" w:sz="0" w:space="0" w:color="auto"/>
                <w:bottom w:val="none" w:sz="0" w:space="0" w:color="auto"/>
                <w:right w:val="none" w:sz="0" w:space="0" w:color="auto"/>
              </w:divBdr>
            </w:div>
            <w:div w:id="2035960566">
              <w:marLeft w:val="0"/>
              <w:marRight w:val="0"/>
              <w:marTop w:val="0"/>
              <w:marBottom w:val="0"/>
              <w:divBdr>
                <w:top w:val="none" w:sz="0" w:space="0" w:color="auto"/>
                <w:left w:val="none" w:sz="0" w:space="0" w:color="auto"/>
                <w:bottom w:val="none" w:sz="0" w:space="0" w:color="auto"/>
                <w:right w:val="none" w:sz="0" w:space="0" w:color="auto"/>
              </w:divBdr>
            </w:div>
            <w:div w:id="2043481940">
              <w:marLeft w:val="0"/>
              <w:marRight w:val="0"/>
              <w:marTop w:val="0"/>
              <w:marBottom w:val="0"/>
              <w:divBdr>
                <w:top w:val="none" w:sz="0" w:space="0" w:color="auto"/>
                <w:left w:val="none" w:sz="0" w:space="0" w:color="auto"/>
                <w:bottom w:val="none" w:sz="0" w:space="0" w:color="auto"/>
                <w:right w:val="none" w:sz="0" w:space="0" w:color="auto"/>
              </w:divBdr>
            </w:div>
            <w:div w:id="2048600376">
              <w:marLeft w:val="0"/>
              <w:marRight w:val="0"/>
              <w:marTop w:val="0"/>
              <w:marBottom w:val="0"/>
              <w:divBdr>
                <w:top w:val="none" w:sz="0" w:space="0" w:color="auto"/>
                <w:left w:val="none" w:sz="0" w:space="0" w:color="auto"/>
                <w:bottom w:val="none" w:sz="0" w:space="0" w:color="auto"/>
                <w:right w:val="none" w:sz="0" w:space="0" w:color="auto"/>
              </w:divBdr>
            </w:div>
            <w:div w:id="2055425237">
              <w:marLeft w:val="0"/>
              <w:marRight w:val="0"/>
              <w:marTop w:val="0"/>
              <w:marBottom w:val="0"/>
              <w:divBdr>
                <w:top w:val="none" w:sz="0" w:space="0" w:color="auto"/>
                <w:left w:val="none" w:sz="0" w:space="0" w:color="auto"/>
                <w:bottom w:val="none" w:sz="0" w:space="0" w:color="auto"/>
                <w:right w:val="none" w:sz="0" w:space="0" w:color="auto"/>
              </w:divBdr>
            </w:div>
            <w:div w:id="2065717478">
              <w:marLeft w:val="0"/>
              <w:marRight w:val="0"/>
              <w:marTop w:val="0"/>
              <w:marBottom w:val="0"/>
              <w:divBdr>
                <w:top w:val="none" w:sz="0" w:space="0" w:color="auto"/>
                <w:left w:val="none" w:sz="0" w:space="0" w:color="auto"/>
                <w:bottom w:val="none" w:sz="0" w:space="0" w:color="auto"/>
                <w:right w:val="none" w:sz="0" w:space="0" w:color="auto"/>
              </w:divBdr>
            </w:div>
            <w:div w:id="2068412393">
              <w:marLeft w:val="0"/>
              <w:marRight w:val="0"/>
              <w:marTop w:val="0"/>
              <w:marBottom w:val="0"/>
              <w:divBdr>
                <w:top w:val="none" w:sz="0" w:space="0" w:color="auto"/>
                <w:left w:val="none" w:sz="0" w:space="0" w:color="auto"/>
                <w:bottom w:val="none" w:sz="0" w:space="0" w:color="auto"/>
                <w:right w:val="none" w:sz="0" w:space="0" w:color="auto"/>
              </w:divBdr>
            </w:div>
            <w:div w:id="2068987141">
              <w:marLeft w:val="0"/>
              <w:marRight w:val="0"/>
              <w:marTop w:val="0"/>
              <w:marBottom w:val="0"/>
              <w:divBdr>
                <w:top w:val="none" w:sz="0" w:space="0" w:color="auto"/>
                <w:left w:val="none" w:sz="0" w:space="0" w:color="auto"/>
                <w:bottom w:val="none" w:sz="0" w:space="0" w:color="auto"/>
                <w:right w:val="none" w:sz="0" w:space="0" w:color="auto"/>
              </w:divBdr>
            </w:div>
            <w:div w:id="2077051033">
              <w:marLeft w:val="0"/>
              <w:marRight w:val="0"/>
              <w:marTop w:val="0"/>
              <w:marBottom w:val="0"/>
              <w:divBdr>
                <w:top w:val="none" w:sz="0" w:space="0" w:color="auto"/>
                <w:left w:val="none" w:sz="0" w:space="0" w:color="auto"/>
                <w:bottom w:val="none" w:sz="0" w:space="0" w:color="auto"/>
                <w:right w:val="none" w:sz="0" w:space="0" w:color="auto"/>
              </w:divBdr>
            </w:div>
            <w:div w:id="2089378891">
              <w:marLeft w:val="0"/>
              <w:marRight w:val="0"/>
              <w:marTop w:val="0"/>
              <w:marBottom w:val="0"/>
              <w:divBdr>
                <w:top w:val="none" w:sz="0" w:space="0" w:color="auto"/>
                <w:left w:val="none" w:sz="0" w:space="0" w:color="auto"/>
                <w:bottom w:val="none" w:sz="0" w:space="0" w:color="auto"/>
                <w:right w:val="none" w:sz="0" w:space="0" w:color="auto"/>
              </w:divBdr>
            </w:div>
            <w:div w:id="2099329149">
              <w:marLeft w:val="0"/>
              <w:marRight w:val="0"/>
              <w:marTop w:val="0"/>
              <w:marBottom w:val="0"/>
              <w:divBdr>
                <w:top w:val="none" w:sz="0" w:space="0" w:color="auto"/>
                <w:left w:val="none" w:sz="0" w:space="0" w:color="auto"/>
                <w:bottom w:val="none" w:sz="0" w:space="0" w:color="auto"/>
                <w:right w:val="none" w:sz="0" w:space="0" w:color="auto"/>
              </w:divBdr>
            </w:div>
            <w:div w:id="2100639252">
              <w:marLeft w:val="0"/>
              <w:marRight w:val="0"/>
              <w:marTop w:val="0"/>
              <w:marBottom w:val="0"/>
              <w:divBdr>
                <w:top w:val="none" w:sz="0" w:space="0" w:color="auto"/>
                <w:left w:val="none" w:sz="0" w:space="0" w:color="auto"/>
                <w:bottom w:val="none" w:sz="0" w:space="0" w:color="auto"/>
                <w:right w:val="none" w:sz="0" w:space="0" w:color="auto"/>
              </w:divBdr>
            </w:div>
            <w:div w:id="2107648254">
              <w:marLeft w:val="0"/>
              <w:marRight w:val="0"/>
              <w:marTop w:val="0"/>
              <w:marBottom w:val="0"/>
              <w:divBdr>
                <w:top w:val="none" w:sz="0" w:space="0" w:color="auto"/>
                <w:left w:val="none" w:sz="0" w:space="0" w:color="auto"/>
                <w:bottom w:val="none" w:sz="0" w:space="0" w:color="auto"/>
                <w:right w:val="none" w:sz="0" w:space="0" w:color="auto"/>
              </w:divBdr>
            </w:div>
            <w:div w:id="2112124977">
              <w:marLeft w:val="0"/>
              <w:marRight w:val="0"/>
              <w:marTop w:val="0"/>
              <w:marBottom w:val="0"/>
              <w:divBdr>
                <w:top w:val="none" w:sz="0" w:space="0" w:color="auto"/>
                <w:left w:val="none" w:sz="0" w:space="0" w:color="auto"/>
                <w:bottom w:val="none" w:sz="0" w:space="0" w:color="auto"/>
                <w:right w:val="none" w:sz="0" w:space="0" w:color="auto"/>
              </w:divBdr>
            </w:div>
            <w:div w:id="2130930807">
              <w:marLeft w:val="0"/>
              <w:marRight w:val="0"/>
              <w:marTop w:val="0"/>
              <w:marBottom w:val="0"/>
              <w:divBdr>
                <w:top w:val="none" w:sz="0" w:space="0" w:color="auto"/>
                <w:left w:val="none" w:sz="0" w:space="0" w:color="auto"/>
                <w:bottom w:val="none" w:sz="0" w:space="0" w:color="auto"/>
                <w:right w:val="none" w:sz="0" w:space="0" w:color="auto"/>
              </w:divBdr>
            </w:div>
            <w:div w:id="2132286761">
              <w:marLeft w:val="0"/>
              <w:marRight w:val="0"/>
              <w:marTop w:val="0"/>
              <w:marBottom w:val="0"/>
              <w:divBdr>
                <w:top w:val="none" w:sz="0" w:space="0" w:color="auto"/>
                <w:left w:val="none" w:sz="0" w:space="0" w:color="auto"/>
                <w:bottom w:val="none" w:sz="0" w:space="0" w:color="auto"/>
                <w:right w:val="none" w:sz="0" w:space="0" w:color="auto"/>
              </w:divBdr>
            </w:div>
            <w:div w:id="2135898862">
              <w:marLeft w:val="0"/>
              <w:marRight w:val="0"/>
              <w:marTop w:val="0"/>
              <w:marBottom w:val="0"/>
              <w:divBdr>
                <w:top w:val="none" w:sz="0" w:space="0" w:color="auto"/>
                <w:left w:val="none" w:sz="0" w:space="0" w:color="auto"/>
                <w:bottom w:val="none" w:sz="0" w:space="0" w:color="auto"/>
                <w:right w:val="none" w:sz="0" w:space="0" w:color="auto"/>
              </w:divBdr>
            </w:div>
            <w:div w:id="21360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7968">
      <w:bodyDiv w:val="1"/>
      <w:marLeft w:val="0"/>
      <w:marRight w:val="0"/>
      <w:marTop w:val="0"/>
      <w:marBottom w:val="0"/>
      <w:divBdr>
        <w:top w:val="none" w:sz="0" w:space="0" w:color="auto"/>
        <w:left w:val="none" w:sz="0" w:space="0" w:color="auto"/>
        <w:bottom w:val="none" w:sz="0" w:space="0" w:color="auto"/>
        <w:right w:val="none" w:sz="0" w:space="0" w:color="auto"/>
      </w:divBdr>
    </w:div>
    <w:div w:id="733087966">
      <w:bodyDiv w:val="1"/>
      <w:marLeft w:val="0"/>
      <w:marRight w:val="0"/>
      <w:marTop w:val="0"/>
      <w:marBottom w:val="0"/>
      <w:divBdr>
        <w:top w:val="none" w:sz="0" w:space="0" w:color="auto"/>
        <w:left w:val="none" w:sz="0" w:space="0" w:color="auto"/>
        <w:bottom w:val="none" w:sz="0" w:space="0" w:color="auto"/>
        <w:right w:val="none" w:sz="0" w:space="0" w:color="auto"/>
      </w:divBdr>
      <w:divsChild>
        <w:div w:id="793986834">
          <w:marLeft w:val="0"/>
          <w:marRight w:val="0"/>
          <w:marTop w:val="0"/>
          <w:marBottom w:val="0"/>
          <w:divBdr>
            <w:top w:val="none" w:sz="0" w:space="0" w:color="auto"/>
            <w:left w:val="none" w:sz="0" w:space="0" w:color="auto"/>
            <w:bottom w:val="none" w:sz="0" w:space="0" w:color="auto"/>
            <w:right w:val="none" w:sz="0" w:space="0" w:color="auto"/>
          </w:divBdr>
        </w:div>
      </w:divsChild>
    </w:div>
    <w:div w:id="739058007">
      <w:bodyDiv w:val="1"/>
      <w:marLeft w:val="0"/>
      <w:marRight w:val="0"/>
      <w:marTop w:val="0"/>
      <w:marBottom w:val="0"/>
      <w:divBdr>
        <w:top w:val="none" w:sz="0" w:space="0" w:color="auto"/>
        <w:left w:val="none" w:sz="0" w:space="0" w:color="auto"/>
        <w:bottom w:val="none" w:sz="0" w:space="0" w:color="auto"/>
        <w:right w:val="none" w:sz="0" w:space="0" w:color="auto"/>
      </w:divBdr>
    </w:div>
    <w:div w:id="742609044">
      <w:bodyDiv w:val="1"/>
      <w:marLeft w:val="0"/>
      <w:marRight w:val="0"/>
      <w:marTop w:val="0"/>
      <w:marBottom w:val="0"/>
      <w:divBdr>
        <w:top w:val="none" w:sz="0" w:space="0" w:color="auto"/>
        <w:left w:val="none" w:sz="0" w:space="0" w:color="auto"/>
        <w:bottom w:val="none" w:sz="0" w:space="0" w:color="auto"/>
        <w:right w:val="none" w:sz="0" w:space="0" w:color="auto"/>
      </w:divBdr>
    </w:div>
    <w:div w:id="750396201">
      <w:bodyDiv w:val="1"/>
      <w:marLeft w:val="0"/>
      <w:marRight w:val="0"/>
      <w:marTop w:val="0"/>
      <w:marBottom w:val="0"/>
      <w:divBdr>
        <w:top w:val="none" w:sz="0" w:space="0" w:color="auto"/>
        <w:left w:val="none" w:sz="0" w:space="0" w:color="auto"/>
        <w:bottom w:val="none" w:sz="0" w:space="0" w:color="auto"/>
        <w:right w:val="none" w:sz="0" w:space="0" w:color="auto"/>
      </w:divBdr>
      <w:divsChild>
        <w:div w:id="50927293">
          <w:marLeft w:val="0"/>
          <w:marRight w:val="0"/>
          <w:marTop w:val="0"/>
          <w:marBottom w:val="0"/>
          <w:divBdr>
            <w:top w:val="none" w:sz="0" w:space="0" w:color="auto"/>
            <w:left w:val="none" w:sz="0" w:space="0" w:color="auto"/>
            <w:bottom w:val="none" w:sz="0" w:space="0" w:color="auto"/>
            <w:right w:val="none" w:sz="0" w:space="0" w:color="auto"/>
          </w:divBdr>
        </w:div>
        <w:div w:id="336690731">
          <w:marLeft w:val="0"/>
          <w:marRight w:val="0"/>
          <w:marTop w:val="0"/>
          <w:marBottom w:val="0"/>
          <w:divBdr>
            <w:top w:val="none" w:sz="0" w:space="0" w:color="auto"/>
            <w:left w:val="none" w:sz="0" w:space="0" w:color="auto"/>
            <w:bottom w:val="none" w:sz="0" w:space="0" w:color="auto"/>
            <w:right w:val="none" w:sz="0" w:space="0" w:color="auto"/>
          </w:divBdr>
        </w:div>
        <w:div w:id="653723357">
          <w:marLeft w:val="0"/>
          <w:marRight w:val="0"/>
          <w:marTop w:val="0"/>
          <w:marBottom w:val="0"/>
          <w:divBdr>
            <w:top w:val="none" w:sz="0" w:space="0" w:color="auto"/>
            <w:left w:val="none" w:sz="0" w:space="0" w:color="auto"/>
            <w:bottom w:val="none" w:sz="0" w:space="0" w:color="auto"/>
            <w:right w:val="none" w:sz="0" w:space="0" w:color="auto"/>
          </w:divBdr>
        </w:div>
        <w:div w:id="786002540">
          <w:marLeft w:val="0"/>
          <w:marRight w:val="0"/>
          <w:marTop w:val="0"/>
          <w:marBottom w:val="0"/>
          <w:divBdr>
            <w:top w:val="none" w:sz="0" w:space="0" w:color="auto"/>
            <w:left w:val="none" w:sz="0" w:space="0" w:color="auto"/>
            <w:bottom w:val="none" w:sz="0" w:space="0" w:color="auto"/>
            <w:right w:val="none" w:sz="0" w:space="0" w:color="auto"/>
          </w:divBdr>
        </w:div>
        <w:div w:id="862477284">
          <w:marLeft w:val="0"/>
          <w:marRight w:val="0"/>
          <w:marTop w:val="0"/>
          <w:marBottom w:val="0"/>
          <w:divBdr>
            <w:top w:val="none" w:sz="0" w:space="0" w:color="auto"/>
            <w:left w:val="none" w:sz="0" w:space="0" w:color="auto"/>
            <w:bottom w:val="none" w:sz="0" w:space="0" w:color="auto"/>
            <w:right w:val="none" w:sz="0" w:space="0" w:color="auto"/>
          </w:divBdr>
        </w:div>
        <w:div w:id="893195882">
          <w:marLeft w:val="0"/>
          <w:marRight w:val="0"/>
          <w:marTop w:val="0"/>
          <w:marBottom w:val="0"/>
          <w:divBdr>
            <w:top w:val="none" w:sz="0" w:space="0" w:color="auto"/>
            <w:left w:val="none" w:sz="0" w:space="0" w:color="auto"/>
            <w:bottom w:val="none" w:sz="0" w:space="0" w:color="auto"/>
            <w:right w:val="none" w:sz="0" w:space="0" w:color="auto"/>
          </w:divBdr>
        </w:div>
        <w:div w:id="1095399219">
          <w:marLeft w:val="0"/>
          <w:marRight w:val="0"/>
          <w:marTop w:val="0"/>
          <w:marBottom w:val="0"/>
          <w:divBdr>
            <w:top w:val="none" w:sz="0" w:space="0" w:color="auto"/>
            <w:left w:val="none" w:sz="0" w:space="0" w:color="auto"/>
            <w:bottom w:val="none" w:sz="0" w:space="0" w:color="auto"/>
            <w:right w:val="none" w:sz="0" w:space="0" w:color="auto"/>
          </w:divBdr>
        </w:div>
        <w:div w:id="1237276772">
          <w:marLeft w:val="0"/>
          <w:marRight w:val="0"/>
          <w:marTop w:val="0"/>
          <w:marBottom w:val="0"/>
          <w:divBdr>
            <w:top w:val="none" w:sz="0" w:space="0" w:color="auto"/>
            <w:left w:val="none" w:sz="0" w:space="0" w:color="auto"/>
            <w:bottom w:val="none" w:sz="0" w:space="0" w:color="auto"/>
            <w:right w:val="none" w:sz="0" w:space="0" w:color="auto"/>
          </w:divBdr>
        </w:div>
        <w:div w:id="1252542514">
          <w:marLeft w:val="0"/>
          <w:marRight w:val="0"/>
          <w:marTop w:val="0"/>
          <w:marBottom w:val="0"/>
          <w:divBdr>
            <w:top w:val="none" w:sz="0" w:space="0" w:color="auto"/>
            <w:left w:val="none" w:sz="0" w:space="0" w:color="auto"/>
            <w:bottom w:val="none" w:sz="0" w:space="0" w:color="auto"/>
            <w:right w:val="none" w:sz="0" w:space="0" w:color="auto"/>
          </w:divBdr>
        </w:div>
        <w:div w:id="1283196079">
          <w:marLeft w:val="0"/>
          <w:marRight w:val="0"/>
          <w:marTop w:val="0"/>
          <w:marBottom w:val="0"/>
          <w:divBdr>
            <w:top w:val="none" w:sz="0" w:space="0" w:color="auto"/>
            <w:left w:val="none" w:sz="0" w:space="0" w:color="auto"/>
            <w:bottom w:val="none" w:sz="0" w:space="0" w:color="auto"/>
            <w:right w:val="none" w:sz="0" w:space="0" w:color="auto"/>
          </w:divBdr>
        </w:div>
        <w:div w:id="1392576246">
          <w:marLeft w:val="0"/>
          <w:marRight w:val="0"/>
          <w:marTop w:val="0"/>
          <w:marBottom w:val="0"/>
          <w:divBdr>
            <w:top w:val="none" w:sz="0" w:space="0" w:color="auto"/>
            <w:left w:val="none" w:sz="0" w:space="0" w:color="auto"/>
            <w:bottom w:val="none" w:sz="0" w:space="0" w:color="auto"/>
            <w:right w:val="none" w:sz="0" w:space="0" w:color="auto"/>
          </w:divBdr>
        </w:div>
        <w:div w:id="1781803592">
          <w:marLeft w:val="0"/>
          <w:marRight w:val="0"/>
          <w:marTop w:val="0"/>
          <w:marBottom w:val="0"/>
          <w:divBdr>
            <w:top w:val="none" w:sz="0" w:space="0" w:color="auto"/>
            <w:left w:val="none" w:sz="0" w:space="0" w:color="auto"/>
            <w:bottom w:val="none" w:sz="0" w:space="0" w:color="auto"/>
            <w:right w:val="none" w:sz="0" w:space="0" w:color="auto"/>
          </w:divBdr>
        </w:div>
        <w:div w:id="1851798413">
          <w:marLeft w:val="0"/>
          <w:marRight w:val="0"/>
          <w:marTop w:val="0"/>
          <w:marBottom w:val="0"/>
          <w:divBdr>
            <w:top w:val="none" w:sz="0" w:space="0" w:color="auto"/>
            <w:left w:val="none" w:sz="0" w:space="0" w:color="auto"/>
            <w:bottom w:val="none" w:sz="0" w:space="0" w:color="auto"/>
            <w:right w:val="none" w:sz="0" w:space="0" w:color="auto"/>
          </w:divBdr>
        </w:div>
        <w:div w:id="1868906548">
          <w:marLeft w:val="0"/>
          <w:marRight w:val="0"/>
          <w:marTop w:val="0"/>
          <w:marBottom w:val="0"/>
          <w:divBdr>
            <w:top w:val="none" w:sz="0" w:space="0" w:color="auto"/>
            <w:left w:val="none" w:sz="0" w:space="0" w:color="auto"/>
            <w:bottom w:val="none" w:sz="0" w:space="0" w:color="auto"/>
            <w:right w:val="none" w:sz="0" w:space="0" w:color="auto"/>
          </w:divBdr>
        </w:div>
        <w:div w:id="1922059412">
          <w:marLeft w:val="0"/>
          <w:marRight w:val="0"/>
          <w:marTop w:val="0"/>
          <w:marBottom w:val="0"/>
          <w:divBdr>
            <w:top w:val="none" w:sz="0" w:space="0" w:color="auto"/>
            <w:left w:val="none" w:sz="0" w:space="0" w:color="auto"/>
            <w:bottom w:val="none" w:sz="0" w:space="0" w:color="auto"/>
            <w:right w:val="none" w:sz="0" w:space="0" w:color="auto"/>
          </w:divBdr>
        </w:div>
        <w:div w:id="1992708251">
          <w:marLeft w:val="0"/>
          <w:marRight w:val="0"/>
          <w:marTop w:val="0"/>
          <w:marBottom w:val="0"/>
          <w:divBdr>
            <w:top w:val="none" w:sz="0" w:space="0" w:color="auto"/>
            <w:left w:val="none" w:sz="0" w:space="0" w:color="auto"/>
            <w:bottom w:val="none" w:sz="0" w:space="0" w:color="auto"/>
            <w:right w:val="none" w:sz="0" w:space="0" w:color="auto"/>
          </w:divBdr>
        </w:div>
      </w:divsChild>
    </w:div>
    <w:div w:id="768886570">
      <w:bodyDiv w:val="1"/>
      <w:marLeft w:val="0"/>
      <w:marRight w:val="0"/>
      <w:marTop w:val="0"/>
      <w:marBottom w:val="0"/>
      <w:divBdr>
        <w:top w:val="none" w:sz="0" w:space="0" w:color="auto"/>
        <w:left w:val="none" w:sz="0" w:space="0" w:color="auto"/>
        <w:bottom w:val="none" w:sz="0" w:space="0" w:color="auto"/>
        <w:right w:val="none" w:sz="0" w:space="0" w:color="auto"/>
      </w:divBdr>
    </w:div>
    <w:div w:id="819345997">
      <w:bodyDiv w:val="1"/>
      <w:marLeft w:val="0"/>
      <w:marRight w:val="0"/>
      <w:marTop w:val="0"/>
      <w:marBottom w:val="0"/>
      <w:divBdr>
        <w:top w:val="none" w:sz="0" w:space="0" w:color="auto"/>
        <w:left w:val="none" w:sz="0" w:space="0" w:color="auto"/>
        <w:bottom w:val="none" w:sz="0" w:space="0" w:color="auto"/>
        <w:right w:val="none" w:sz="0" w:space="0" w:color="auto"/>
      </w:divBdr>
    </w:div>
    <w:div w:id="844172583">
      <w:bodyDiv w:val="1"/>
      <w:marLeft w:val="0"/>
      <w:marRight w:val="0"/>
      <w:marTop w:val="0"/>
      <w:marBottom w:val="0"/>
      <w:divBdr>
        <w:top w:val="none" w:sz="0" w:space="0" w:color="auto"/>
        <w:left w:val="none" w:sz="0" w:space="0" w:color="auto"/>
        <w:bottom w:val="none" w:sz="0" w:space="0" w:color="auto"/>
        <w:right w:val="none" w:sz="0" w:space="0" w:color="auto"/>
      </w:divBdr>
      <w:divsChild>
        <w:div w:id="1763405095">
          <w:marLeft w:val="0"/>
          <w:marRight w:val="0"/>
          <w:marTop w:val="0"/>
          <w:marBottom w:val="0"/>
          <w:divBdr>
            <w:top w:val="none" w:sz="0" w:space="0" w:color="auto"/>
            <w:left w:val="none" w:sz="0" w:space="0" w:color="auto"/>
            <w:bottom w:val="none" w:sz="0" w:space="0" w:color="auto"/>
            <w:right w:val="none" w:sz="0" w:space="0" w:color="auto"/>
          </w:divBdr>
        </w:div>
      </w:divsChild>
    </w:div>
    <w:div w:id="846595391">
      <w:bodyDiv w:val="1"/>
      <w:marLeft w:val="0"/>
      <w:marRight w:val="0"/>
      <w:marTop w:val="0"/>
      <w:marBottom w:val="0"/>
      <w:divBdr>
        <w:top w:val="none" w:sz="0" w:space="0" w:color="auto"/>
        <w:left w:val="none" w:sz="0" w:space="0" w:color="auto"/>
        <w:bottom w:val="none" w:sz="0" w:space="0" w:color="auto"/>
        <w:right w:val="none" w:sz="0" w:space="0" w:color="auto"/>
      </w:divBdr>
    </w:div>
    <w:div w:id="865364193">
      <w:bodyDiv w:val="1"/>
      <w:marLeft w:val="0"/>
      <w:marRight w:val="0"/>
      <w:marTop w:val="0"/>
      <w:marBottom w:val="0"/>
      <w:divBdr>
        <w:top w:val="none" w:sz="0" w:space="0" w:color="auto"/>
        <w:left w:val="none" w:sz="0" w:space="0" w:color="auto"/>
        <w:bottom w:val="none" w:sz="0" w:space="0" w:color="auto"/>
        <w:right w:val="none" w:sz="0" w:space="0" w:color="auto"/>
      </w:divBdr>
    </w:div>
    <w:div w:id="902640254">
      <w:bodyDiv w:val="1"/>
      <w:marLeft w:val="0"/>
      <w:marRight w:val="0"/>
      <w:marTop w:val="0"/>
      <w:marBottom w:val="0"/>
      <w:divBdr>
        <w:top w:val="none" w:sz="0" w:space="0" w:color="auto"/>
        <w:left w:val="none" w:sz="0" w:space="0" w:color="auto"/>
        <w:bottom w:val="none" w:sz="0" w:space="0" w:color="auto"/>
        <w:right w:val="none" w:sz="0" w:space="0" w:color="auto"/>
      </w:divBdr>
    </w:div>
    <w:div w:id="909314600">
      <w:bodyDiv w:val="1"/>
      <w:marLeft w:val="0"/>
      <w:marRight w:val="0"/>
      <w:marTop w:val="0"/>
      <w:marBottom w:val="0"/>
      <w:divBdr>
        <w:top w:val="none" w:sz="0" w:space="0" w:color="auto"/>
        <w:left w:val="none" w:sz="0" w:space="0" w:color="auto"/>
        <w:bottom w:val="none" w:sz="0" w:space="0" w:color="auto"/>
        <w:right w:val="none" w:sz="0" w:space="0" w:color="auto"/>
      </w:divBdr>
    </w:div>
    <w:div w:id="919605355">
      <w:bodyDiv w:val="1"/>
      <w:marLeft w:val="0"/>
      <w:marRight w:val="0"/>
      <w:marTop w:val="0"/>
      <w:marBottom w:val="0"/>
      <w:divBdr>
        <w:top w:val="none" w:sz="0" w:space="0" w:color="auto"/>
        <w:left w:val="none" w:sz="0" w:space="0" w:color="auto"/>
        <w:bottom w:val="none" w:sz="0" w:space="0" w:color="auto"/>
        <w:right w:val="none" w:sz="0" w:space="0" w:color="auto"/>
      </w:divBdr>
    </w:div>
    <w:div w:id="965159465">
      <w:bodyDiv w:val="1"/>
      <w:marLeft w:val="0"/>
      <w:marRight w:val="0"/>
      <w:marTop w:val="0"/>
      <w:marBottom w:val="0"/>
      <w:divBdr>
        <w:top w:val="none" w:sz="0" w:space="0" w:color="auto"/>
        <w:left w:val="none" w:sz="0" w:space="0" w:color="auto"/>
        <w:bottom w:val="none" w:sz="0" w:space="0" w:color="auto"/>
        <w:right w:val="none" w:sz="0" w:space="0" w:color="auto"/>
      </w:divBdr>
    </w:div>
    <w:div w:id="990446816">
      <w:bodyDiv w:val="1"/>
      <w:marLeft w:val="0"/>
      <w:marRight w:val="0"/>
      <w:marTop w:val="0"/>
      <w:marBottom w:val="0"/>
      <w:divBdr>
        <w:top w:val="none" w:sz="0" w:space="0" w:color="auto"/>
        <w:left w:val="none" w:sz="0" w:space="0" w:color="auto"/>
        <w:bottom w:val="none" w:sz="0" w:space="0" w:color="auto"/>
        <w:right w:val="none" w:sz="0" w:space="0" w:color="auto"/>
      </w:divBdr>
      <w:divsChild>
        <w:div w:id="1919099130">
          <w:marLeft w:val="0"/>
          <w:marRight w:val="0"/>
          <w:marTop w:val="0"/>
          <w:marBottom w:val="0"/>
          <w:divBdr>
            <w:top w:val="none" w:sz="0" w:space="0" w:color="auto"/>
            <w:left w:val="none" w:sz="0" w:space="0" w:color="auto"/>
            <w:bottom w:val="none" w:sz="0" w:space="0" w:color="auto"/>
            <w:right w:val="none" w:sz="0" w:space="0" w:color="auto"/>
          </w:divBdr>
          <w:divsChild>
            <w:div w:id="11075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8683">
      <w:bodyDiv w:val="1"/>
      <w:marLeft w:val="0"/>
      <w:marRight w:val="0"/>
      <w:marTop w:val="0"/>
      <w:marBottom w:val="0"/>
      <w:divBdr>
        <w:top w:val="none" w:sz="0" w:space="0" w:color="auto"/>
        <w:left w:val="none" w:sz="0" w:space="0" w:color="auto"/>
        <w:bottom w:val="none" w:sz="0" w:space="0" w:color="auto"/>
        <w:right w:val="none" w:sz="0" w:space="0" w:color="auto"/>
      </w:divBdr>
    </w:div>
    <w:div w:id="1021127670">
      <w:bodyDiv w:val="1"/>
      <w:marLeft w:val="0"/>
      <w:marRight w:val="0"/>
      <w:marTop w:val="0"/>
      <w:marBottom w:val="0"/>
      <w:divBdr>
        <w:top w:val="none" w:sz="0" w:space="0" w:color="auto"/>
        <w:left w:val="none" w:sz="0" w:space="0" w:color="auto"/>
        <w:bottom w:val="none" w:sz="0" w:space="0" w:color="auto"/>
        <w:right w:val="none" w:sz="0" w:space="0" w:color="auto"/>
      </w:divBdr>
    </w:div>
    <w:div w:id="1023361921">
      <w:bodyDiv w:val="1"/>
      <w:marLeft w:val="0"/>
      <w:marRight w:val="0"/>
      <w:marTop w:val="0"/>
      <w:marBottom w:val="0"/>
      <w:divBdr>
        <w:top w:val="none" w:sz="0" w:space="0" w:color="auto"/>
        <w:left w:val="none" w:sz="0" w:space="0" w:color="auto"/>
        <w:bottom w:val="none" w:sz="0" w:space="0" w:color="auto"/>
        <w:right w:val="none" w:sz="0" w:space="0" w:color="auto"/>
      </w:divBdr>
    </w:div>
    <w:div w:id="1027368944">
      <w:bodyDiv w:val="1"/>
      <w:marLeft w:val="0"/>
      <w:marRight w:val="0"/>
      <w:marTop w:val="0"/>
      <w:marBottom w:val="0"/>
      <w:divBdr>
        <w:top w:val="none" w:sz="0" w:space="0" w:color="auto"/>
        <w:left w:val="none" w:sz="0" w:space="0" w:color="auto"/>
        <w:bottom w:val="none" w:sz="0" w:space="0" w:color="auto"/>
        <w:right w:val="none" w:sz="0" w:space="0" w:color="auto"/>
      </w:divBdr>
    </w:div>
    <w:div w:id="1045566652">
      <w:bodyDiv w:val="1"/>
      <w:marLeft w:val="0"/>
      <w:marRight w:val="0"/>
      <w:marTop w:val="0"/>
      <w:marBottom w:val="0"/>
      <w:divBdr>
        <w:top w:val="none" w:sz="0" w:space="0" w:color="auto"/>
        <w:left w:val="none" w:sz="0" w:space="0" w:color="auto"/>
        <w:bottom w:val="none" w:sz="0" w:space="0" w:color="auto"/>
        <w:right w:val="none" w:sz="0" w:space="0" w:color="auto"/>
      </w:divBdr>
    </w:div>
    <w:div w:id="1059594641">
      <w:bodyDiv w:val="1"/>
      <w:marLeft w:val="0"/>
      <w:marRight w:val="0"/>
      <w:marTop w:val="0"/>
      <w:marBottom w:val="0"/>
      <w:divBdr>
        <w:top w:val="none" w:sz="0" w:space="0" w:color="auto"/>
        <w:left w:val="none" w:sz="0" w:space="0" w:color="auto"/>
        <w:bottom w:val="none" w:sz="0" w:space="0" w:color="auto"/>
        <w:right w:val="none" w:sz="0" w:space="0" w:color="auto"/>
      </w:divBdr>
    </w:div>
    <w:div w:id="1063798399">
      <w:bodyDiv w:val="1"/>
      <w:marLeft w:val="0"/>
      <w:marRight w:val="0"/>
      <w:marTop w:val="0"/>
      <w:marBottom w:val="0"/>
      <w:divBdr>
        <w:top w:val="none" w:sz="0" w:space="0" w:color="auto"/>
        <w:left w:val="none" w:sz="0" w:space="0" w:color="auto"/>
        <w:bottom w:val="none" w:sz="0" w:space="0" w:color="auto"/>
        <w:right w:val="none" w:sz="0" w:space="0" w:color="auto"/>
      </w:divBdr>
    </w:div>
    <w:div w:id="1077049140">
      <w:bodyDiv w:val="1"/>
      <w:marLeft w:val="0"/>
      <w:marRight w:val="0"/>
      <w:marTop w:val="0"/>
      <w:marBottom w:val="0"/>
      <w:divBdr>
        <w:top w:val="none" w:sz="0" w:space="0" w:color="auto"/>
        <w:left w:val="none" w:sz="0" w:space="0" w:color="auto"/>
        <w:bottom w:val="none" w:sz="0" w:space="0" w:color="auto"/>
        <w:right w:val="none" w:sz="0" w:space="0" w:color="auto"/>
      </w:divBdr>
    </w:div>
    <w:div w:id="1097629095">
      <w:bodyDiv w:val="1"/>
      <w:marLeft w:val="0"/>
      <w:marRight w:val="0"/>
      <w:marTop w:val="0"/>
      <w:marBottom w:val="0"/>
      <w:divBdr>
        <w:top w:val="none" w:sz="0" w:space="0" w:color="auto"/>
        <w:left w:val="none" w:sz="0" w:space="0" w:color="auto"/>
        <w:bottom w:val="none" w:sz="0" w:space="0" w:color="auto"/>
        <w:right w:val="none" w:sz="0" w:space="0" w:color="auto"/>
      </w:divBdr>
    </w:div>
    <w:div w:id="1100955498">
      <w:bodyDiv w:val="1"/>
      <w:marLeft w:val="0"/>
      <w:marRight w:val="0"/>
      <w:marTop w:val="0"/>
      <w:marBottom w:val="0"/>
      <w:divBdr>
        <w:top w:val="none" w:sz="0" w:space="0" w:color="auto"/>
        <w:left w:val="none" w:sz="0" w:space="0" w:color="auto"/>
        <w:bottom w:val="none" w:sz="0" w:space="0" w:color="auto"/>
        <w:right w:val="none" w:sz="0" w:space="0" w:color="auto"/>
      </w:divBdr>
    </w:div>
    <w:div w:id="1117217081">
      <w:bodyDiv w:val="1"/>
      <w:marLeft w:val="0"/>
      <w:marRight w:val="0"/>
      <w:marTop w:val="0"/>
      <w:marBottom w:val="0"/>
      <w:divBdr>
        <w:top w:val="none" w:sz="0" w:space="0" w:color="auto"/>
        <w:left w:val="none" w:sz="0" w:space="0" w:color="auto"/>
        <w:bottom w:val="none" w:sz="0" w:space="0" w:color="auto"/>
        <w:right w:val="none" w:sz="0" w:space="0" w:color="auto"/>
      </w:divBdr>
    </w:div>
    <w:div w:id="1150172829">
      <w:bodyDiv w:val="1"/>
      <w:marLeft w:val="0"/>
      <w:marRight w:val="0"/>
      <w:marTop w:val="0"/>
      <w:marBottom w:val="0"/>
      <w:divBdr>
        <w:top w:val="none" w:sz="0" w:space="0" w:color="auto"/>
        <w:left w:val="none" w:sz="0" w:space="0" w:color="auto"/>
        <w:bottom w:val="none" w:sz="0" w:space="0" w:color="auto"/>
        <w:right w:val="none" w:sz="0" w:space="0" w:color="auto"/>
      </w:divBdr>
      <w:divsChild>
        <w:div w:id="161481347">
          <w:marLeft w:val="0"/>
          <w:marRight w:val="0"/>
          <w:marTop w:val="0"/>
          <w:marBottom w:val="0"/>
          <w:divBdr>
            <w:top w:val="none" w:sz="0" w:space="0" w:color="auto"/>
            <w:left w:val="none" w:sz="0" w:space="0" w:color="auto"/>
            <w:bottom w:val="none" w:sz="0" w:space="0" w:color="auto"/>
            <w:right w:val="none" w:sz="0" w:space="0" w:color="auto"/>
          </w:divBdr>
        </w:div>
        <w:div w:id="743991006">
          <w:marLeft w:val="0"/>
          <w:marRight w:val="0"/>
          <w:marTop w:val="0"/>
          <w:marBottom w:val="0"/>
          <w:divBdr>
            <w:top w:val="none" w:sz="0" w:space="0" w:color="auto"/>
            <w:left w:val="none" w:sz="0" w:space="0" w:color="auto"/>
            <w:bottom w:val="none" w:sz="0" w:space="0" w:color="auto"/>
            <w:right w:val="none" w:sz="0" w:space="0" w:color="auto"/>
          </w:divBdr>
        </w:div>
        <w:div w:id="1626739648">
          <w:marLeft w:val="0"/>
          <w:marRight w:val="0"/>
          <w:marTop w:val="0"/>
          <w:marBottom w:val="0"/>
          <w:divBdr>
            <w:top w:val="none" w:sz="0" w:space="0" w:color="auto"/>
            <w:left w:val="none" w:sz="0" w:space="0" w:color="auto"/>
            <w:bottom w:val="none" w:sz="0" w:space="0" w:color="auto"/>
            <w:right w:val="none" w:sz="0" w:space="0" w:color="auto"/>
          </w:divBdr>
        </w:div>
        <w:div w:id="1775007268">
          <w:marLeft w:val="0"/>
          <w:marRight w:val="0"/>
          <w:marTop w:val="0"/>
          <w:marBottom w:val="0"/>
          <w:divBdr>
            <w:top w:val="none" w:sz="0" w:space="0" w:color="auto"/>
            <w:left w:val="none" w:sz="0" w:space="0" w:color="auto"/>
            <w:bottom w:val="none" w:sz="0" w:space="0" w:color="auto"/>
            <w:right w:val="none" w:sz="0" w:space="0" w:color="auto"/>
          </w:divBdr>
        </w:div>
        <w:div w:id="1812285840">
          <w:marLeft w:val="0"/>
          <w:marRight w:val="0"/>
          <w:marTop w:val="0"/>
          <w:marBottom w:val="0"/>
          <w:divBdr>
            <w:top w:val="none" w:sz="0" w:space="0" w:color="auto"/>
            <w:left w:val="none" w:sz="0" w:space="0" w:color="auto"/>
            <w:bottom w:val="none" w:sz="0" w:space="0" w:color="auto"/>
            <w:right w:val="none" w:sz="0" w:space="0" w:color="auto"/>
          </w:divBdr>
        </w:div>
        <w:div w:id="1916158156">
          <w:marLeft w:val="0"/>
          <w:marRight w:val="0"/>
          <w:marTop w:val="0"/>
          <w:marBottom w:val="0"/>
          <w:divBdr>
            <w:top w:val="none" w:sz="0" w:space="0" w:color="auto"/>
            <w:left w:val="none" w:sz="0" w:space="0" w:color="auto"/>
            <w:bottom w:val="none" w:sz="0" w:space="0" w:color="auto"/>
            <w:right w:val="none" w:sz="0" w:space="0" w:color="auto"/>
          </w:divBdr>
        </w:div>
        <w:div w:id="1941911929">
          <w:marLeft w:val="0"/>
          <w:marRight w:val="0"/>
          <w:marTop w:val="0"/>
          <w:marBottom w:val="0"/>
          <w:divBdr>
            <w:top w:val="none" w:sz="0" w:space="0" w:color="auto"/>
            <w:left w:val="none" w:sz="0" w:space="0" w:color="auto"/>
            <w:bottom w:val="none" w:sz="0" w:space="0" w:color="auto"/>
            <w:right w:val="none" w:sz="0" w:space="0" w:color="auto"/>
          </w:divBdr>
        </w:div>
        <w:div w:id="1943804789">
          <w:marLeft w:val="0"/>
          <w:marRight w:val="0"/>
          <w:marTop w:val="0"/>
          <w:marBottom w:val="0"/>
          <w:divBdr>
            <w:top w:val="none" w:sz="0" w:space="0" w:color="auto"/>
            <w:left w:val="none" w:sz="0" w:space="0" w:color="auto"/>
            <w:bottom w:val="none" w:sz="0" w:space="0" w:color="auto"/>
            <w:right w:val="none" w:sz="0" w:space="0" w:color="auto"/>
          </w:divBdr>
        </w:div>
        <w:div w:id="1953633958">
          <w:marLeft w:val="0"/>
          <w:marRight w:val="0"/>
          <w:marTop w:val="0"/>
          <w:marBottom w:val="0"/>
          <w:divBdr>
            <w:top w:val="none" w:sz="0" w:space="0" w:color="auto"/>
            <w:left w:val="none" w:sz="0" w:space="0" w:color="auto"/>
            <w:bottom w:val="none" w:sz="0" w:space="0" w:color="auto"/>
            <w:right w:val="none" w:sz="0" w:space="0" w:color="auto"/>
          </w:divBdr>
        </w:div>
        <w:div w:id="1954165119">
          <w:marLeft w:val="0"/>
          <w:marRight w:val="0"/>
          <w:marTop w:val="0"/>
          <w:marBottom w:val="0"/>
          <w:divBdr>
            <w:top w:val="none" w:sz="0" w:space="0" w:color="auto"/>
            <w:left w:val="none" w:sz="0" w:space="0" w:color="auto"/>
            <w:bottom w:val="none" w:sz="0" w:space="0" w:color="auto"/>
            <w:right w:val="none" w:sz="0" w:space="0" w:color="auto"/>
          </w:divBdr>
        </w:div>
        <w:div w:id="2130663357">
          <w:marLeft w:val="0"/>
          <w:marRight w:val="0"/>
          <w:marTop w:val="0"/>
          <w:marBottom w:val="0"/>
          <w:divBdr>
            <w:top w:val="none" w:sz="0" w:space="0" w:color="auto"/>
            <w:left w:val="none" w:sz="0" w:space="0" w:color="auto"/>
            <w:bottom w:val="none" w:sz="0" w:space="0" w:color="auto"/>
            <w:right w:val="none" w:sz="0" w:space="0" w:color="auto"/>
          </w:divBdr>
        </w:div>
      </w:divsChild>
    </w:div>
    <w:div w:id="1159813137">
      <w:bodyDiv w:val="1"/>
      <w:marLeft w:val="0"/>
      <w:marRight w:val="0"/>
      <w:marTop w:val="0"/>
      <w:marBottom w:val="0"/>
      <w:divBdr>
        <w:top w:val="none" w:sz="0" w:space="0" w:color="auto"/>
        <w:left w:val="none" w:sz="0" w:space="0" w:color="auto"/>
        <w:bottom w:val="none" w:sz="0" w:space="0" w:color="auto"/>
        <w:right w:val="none" w:sz="0" w:space="0" w:color="auto"/>
      </w:divBdr>
    </w:div>
    <w:div w:id="1183132084">
      <w:bodyDiv w:val="1"/>
      <w:marLeft w:val="0"/>
      <w:marRight w:val="0"/>
      <w:marTop w:val="0"/>
      <w:marBottom w:val="0"/>
      <w:divBdr>
        <w:top w:val="none" w:sz="0" w:space="0" w:color="auto"/>
        <w:left w:val="none" w:sz="0" w:space="0" w:color="auto"/>
        <w:bottom w:val="none" w:sz="0" w:space="0" w:color="auto"/>
        <w:right w:val="none" w:sz="0" w:space="0" w:color="auto"/>
      </w:divBdr>
    </w:div>
    <w:div w:id="1188719284">
      <w:bodyDiv w:val="1"/>
      <w:marLeft w:val="0"/>
      <w:marRight w:val="0"/>
      <w:marTop w:val="0"/>
      <w:marBottom w:val="0"/>
      <w:divBdr>
        <w:top w:val="none" w:sz="0" w:space="0" w:color="auto"/>
        <w:left w:val="none" w:sz="0" w:space="0" w:color="auto"/>
        <w:bottom w:val="none" w:sz="0" w:space="0" w:color="auto"/>
        <w:right w:val="none" w:sz="0" w:space="0" w:color="auto"/>
      </w:divBdr>
      <w:divsChild>
        <w:div w:id="1369913149">
          <w:marLeft w:val="0"/>
          <w:marRight w:val="0"/>
          <w:marTop w:val="0"/>
          <w:marBottom w:val="0"/>
          <w:divBdr>
            <w:top w:val="none" w:sz="0" w:space="0" w:color="auto"/>
            <w:left w:val="none" w:sz="0" w:space="0" w:color="auto"/>
            <w:bottom w:val="none" w:sz="0" w:space="0" w:color="auto"/>
            <w:right w:val="none" w:sz="0" w:space="0" w:color="auto"/>
          </w:divBdr>
          <w:divsChild>
            <w:div w:id="15934283">
              <w:marLeft w:val="0"/>
              <w:marRight w:val="0"/>
              <w:marTop w:val="0"/>
              <w:marBottom w:val="0"/>
              <w:divBdr>
                <w:top w:val="none" w:sz="0" w:space="0" w:color="auto"/>
                <w:left w:val="none" w:sz="0" w:space="0" w:color="auto"/>
                <w:bottom w:val="none" w:sz="0" w:space="0" w:color="auto"/>
                <w:right w:val="none" w:sz="0" w:space="0" w:color="auto"/>
              </w:divBdr>
            </w:div>
            <w:div w:id="18631141">
              <w:marLeft w:val="0"/>
              <w:marRight w:val="0"/>
              <w:marTop w:val="0"/>
              <w:marBottom w:val="0"/>
              <w:divBdr>
                <w:top w:val="none" w:sz="0" w:space="0" w:color="auto"/>
                <w:left w:val="none" w:sz="0" w:space="0" w:color="auto"/>
                <w:bottom w:val="none" w:sz="0" w:space="0" w:color="auto"/>
                <w:right w:val="none" w:sz="0" w:space="0" w:color="auto"/>
              </w:divBdr>
            </w:div>
            <w:div w:id="20473289">
              <w:marLeft w:val="0"/>
              <w:marRight w:val="0"/>
              <w:marTop w:val="0"/>
              <w:marBottom w:val="0"/>
              <w:divBdr>
                <w:top w:val="none" w:sz="0" w:space="0" w:color="auto"/>
                <w:left w:val="none" w:sz="0" w:space="0" w:color="auto"/>
                <w:bottom w:val="none" w:sz="0" w:space="0" w:color="auto"/>
                <w:right w:val="none" w:sz="0" w:space="0" w:color="auto"/>
              </w:divBdr>
            </w:div>
            <w:div w:id="20861244">
              <w:marLeft w:val="0"/>
              <w:marRight w:val="0"/>
              <w:marTop w:val="0"/>
              <w:marBottom w:val="0"/>
              <w:divBdr>
                <w:top w:val="none" w:sz="0" w:space="0" w:color="auto"/>
                <w:left w:val="none" w:sz="0" w:space="0" w:color="auto"/>
                <w:bottom w:val="none" w:sz="0" w:space="0" w:color="auto"/>
                <w:right w:val="none" w:sz="0" w:space="0" w:color="auto"/>
              </w:divBdr>
            </w:div>
            <w:div w:id="21366910">
              <w:marLeft w:val="0"/>
              <w:marRight w:val="0"/>
              <w:marTop w:val="0"/>
              <w:marBottom w:val="0"/>
              <w:divBdr>
                <w:top w:val="none" w:sz="0" w:space="0" w:color="auto"/>
                <w:left w:val="none" w:sz="0" w:space="0" w:color="auto"/>
                <w:bottom w:val="none" w:sz="0" w:space="0" w:color="auto"/>
                <w:right w:val="none" w:sz="0" w:space="0" w:color="auto"/>
              </w:divBdr>
            </w:div>
            <w:div w:id="24211279">
              <w:marLeft w:val="0"/>
              <w:marRight w:val="0"/>
              <w:marTop w:val="0"/>
              <w:marBottom w:val="0"/>
              <w:divBdr>
                <w:top w:val="none" w:sz="0" w:space="0" w:color="auto"/>
                <w:left w:val="none" w:sz="0" w:space="0" w:color="auto"/>
                <w:bottom w:val="none" w:sz="0" w:space="0" w:color="auto"/>
                <w:right w:val="none" w:sz="0" w:space="0" w:color="auto"/>
              </w:divBdr>
            </w:div>
            <w:div w:id="27605582">
              <w:marLeft w:val="0"/>
              <w:marRight w:val="0"/>
              <w:marTop w:val="0"/>
              <w:marBottom w:val="0"/>
              <w:divBdr>
                <w:top w:val="none" w:sz="0" w:space="0" w:color="auto"/>
                <w:left w:val="none" w:sz="0" w:space="0" w:color="auto"/>
                <w:bottom w:val="none" w:sz="0" w:space="0" w:color="auto"/>
                <w:right w:val="none" w:sz="0" w:space="0" w:color="auto"/>
              </w:divBdr>
            </w:div>
            <w:div w:id="33310631">
              <w:marLeft w:val="0"/>
              <w:marRight w:val="0"/>
              <w:marTop w:val="0"/>
              <w:marBottom w:val="0"/>
              <w:divBdr>
                <w:top w:val="none" w:sz="0" w:space="0" w:color="auto"/>
                <w:left w:val="none" w:sz="0" w:space="0" w:color="auto"/>
                <w:bottom w:val="none" w:sz="0" w:space="0" w:color="auto"/>
                <w:right w:val="none" w:sz="0" w:space="0" w:color="auto"/>
              </w:divBdr>
            </w:div>
            <w:div w:id="41485466">
              <w:marLeft w:val="0"/>
              <w:marRight w:val="0"/>
              <w:marTop w:val="0"/>
              <w:marBottom w:val="0"/>
              <w:divBdr>
                <w:top w:val="none" w:sz="0" w:space="0" w:color="auto"/>
                <w:left w:val="none" w:sz="0" w:space="0" w:color="auto"/>
                <w:bottom w:val="none" w:sz="0" w:space="0" w:color="auto"/>
                <w:right w:val="none" w:sz="0" w:space="0" w:color="auto"/>
              </w:divBdr>
            </w:div>
            <w:div w:id="44453991">
              <w:marLeft w:val="0"/>
              <w:marRight w:val="0"/>
              <w:marTop w:val="0"/>
              <w:marBottom w:val="0"/>
              <w:divBdr>
                <w:top w:val="none" w:sz="0" w:space="0" w:color="auto"/>
                <w:left w:val="none" w:sz="0" w:space="0" w:color="auto"/>
                <w:bottom w:val="none" w:sz="0" w:space="0" w:color="auto"/>
                <w:right w:val="none" w:sz="0" w:space="0" w:color="auto"/>
              </w:divBdr>
            </w:div>
            <w:div w:id="56442545">
              <w:marLeft w:val="0"/>
              <w:marRight w:val="0"/>
              <w:marTop w:val="0"/>
              <w:marBottom w:val="0"/>
              <w:divBdr>
                <w:top w:val="none" w:sz="0" w:space="0" w:color="auto"/>
                <w:left w:val="none" w:sz="0" w:space="0" w:color="auto"/>
                <w:bottom w:val="none" w:sz="0" w:space="0" w:color="auto"/>
                <w:right w:val="none" w:sz="0" w:space="0" w:color="auto"/>
              </w:divBdr>
            </w:div>
            <w:div w:id="60102391">
              <w:marLeft w:val="0"/>
              <w:marRight w:val="0"/>
              <w:marTop w:val="0"/>
              <w:marBottom w:val="0"/>
              <w:divBdr>
                <w:top w:val="none" w:sz="0" w:space="0" w:color="auto"/>
                <w:left w:val="none" w:sz="0" w:space="0" w:color="auto"/>
                <w:bottom w:val="none" w:sz="0" w:space="0" w:color="auto"/>
                <w:right w:val="none" w:sz="0" w:space="0" w:color="auto"/>
              </w:divBdr>
            </w:div>
            <w:div w:id="71898030">
              <w:marLeft w:val="0"/>
              <w:marRight w:val="0"/>
              <w:marTop w:val="0"/>
              <w:marBottom w:val="0"/>
              <w:divBdr>
                <w:top w:val="none" w:sz="0" w:space="0" w:color="auto"/>
                <w:left w:val="none" w:sz="0" w:space="0" w:color="auto"/>
                <w:bottom w:val="none" w:sz="0" w:space="0" w:color="auto"/>
                <w:right w:val="none" w:sz="0" w:space="0" w:color="auto"/>
              </w:divBdr>
            </w:div>
            <w:div w:id="76944218">
              <w:marLeft w:val="0"/>
              <w:marRight w:val="0"/>
              <w:marTop w:val="0"/>
              <w:marBottom w:val="0"/>
              <w:divBdr>
                <w:top w:val="none" w:sz="0" w:space="0" w:color="auto"/>
                <w:left w:val="none" w:sz="0" w:space="0" w:color="auto"/>
                <w:bottom w:val="none" w:sz="0" w:space="0" w:color="auto"/>
                <w:right w:val="none" w:sz="0" w:space="0" w:color="auto"/>
              </w:divBdr>
            </w:div>
            <w:div w:id="87510304">
              <w:marLeft w:val="0"/>
              <w:marRight w:val="0"/>
              <w:marTop w:val="0"/>
              <w:marBottom w:val="0"/>
              <w:divBdr>
                <w:top w:val="none" w:sz="0" w:space="0" w:color="auto"/>
                <w:left w:val="none" w:sz="0" w:space="0" w:color="auto"/>
                <w:bottom w:val="none" w:sz="0" w:space="0" w:color="auto"/>
                <w:right w:val="none" w:sz="0" w:space="0" w:color="auto"/>
              </w:divBdr>
            </w:div>
            <w:div w:id="91241925">
              <w:marLeft w:val="0"/>
              <w:marRight w:val="0"/>
              <w:marTop w:val="0"/>
              <w:marBottom w:val="0"/>
              <w:divBdr>
                <w:top w:val="none" w:sz="0" w:space="0" w:color="auto"/>
                <w:left w:val="none" w:sz="0" w:space="0" w:color="auto"/>
                <w:bottom w:val="none" w:sz="0" w:space="0" w:color="auto"/>
                <w:right w:val="none" w:sz="0" w:space="0" w:color="auto"/>
              </w:divBdr>
            </w:div>
            <w:div w:id="92670561">
              <w:marLeft w:val="0"/>
              <w:marRight w:val="0"/>
              <w:marTop w:val="0"/>
              <w:marBottom w:val="0"/>
              <w:divBdr>
                <w:top w:val="none" w:sz="0" w:space="0" w:color="auto"/>
                <w:left w:val="none" w:sz="0" w:space="0" w:color="auto"/>
                <w:bottom w:val="none" w:sz="0" w:space="0" w:color="auto"/>
                <w:right w:val="none" w:sz="0" w:space="0" w:color="auto"/>
              </w:divBdr>
            </w:div>
            <w:div w:id="97986691">
              <w:marLeft w:val="0"/>
              <w:marRight w:val="0"/>
              <w:marTop w:val="0"/>
              <w:marBottom w:val="0"/>
              <w:divBdr>
                <w:top w:val="none" w:sz="0" w:space="0" w:color="auto"/>
                <w:left w:val="none" w:sz="0" w:space="0" w:color="auto"/>
                <w:bottom w:val="none" w:sz="0" w:space="0" w:color="auto"/>
                <w:right w:val="none" w:sz="0" w:space="0" w:color="auto"/>
              </w:divBdr>
            </w:div>
            <w:div w:id="100036344">
              <w:marLeft w:val="0"/>
              <w:marRight w:val="0"/>
              <w:marTop w:val="0"/>
              <w:marBottom w:val="0"/>
              <w:divBdr>
                <w:top w:val="none" w:sz="0" w:space="0" w:color="auto"/>
                <w:left w:val="none" w:sz="0" w:space="0" w:color="auto"/>
                <w:bottom w:val="none" w:sz="0" w:space="0" w:color="auto"/>
                <w:right w:val="none" w:sz="0" w:space="0" w:color="auto"/>
              </w:divBdr>
            </w:div>
            <w:div w:id="104202635">
              <w:marLeft w:val="0"/>
              <w:marRight w:val="0"/>
              <w:marTop w:val="0"/>
              <w:marBottom w:val="0"/>
              <w:divBdr>
                <w:top w:val="none" w:sz="0" w:space="0" w:color="auto"/>
                <w:left w:val="none" w:sz="0" w:space="0" w:color="auto"/>
                <w:bottom w:val="none" w:sz="0" w:space="0" w:color="auto"/>
                <w:right w:val="none" w:sz="0" w:space="0" w:color="auto"/>
              </w:divBdr>
            </w:div>
            <w:div w:id="110129048">
              <w:marLeft w:val="0"/>
              <w:marRight w:val="0"/>
              <w:marTop w:val="0"/>
              <w:marBottom w:val="0"/>
              <w:divBdr>
                <w:top w:val="none" w:sz="0" w:space="0" w:color="auto"/>
                <w:left w:val="none" w:sz="0" w:space="0" w:color="auto"/>
                <w:bottom w:val="none" w:sz="0" w:space="0" w:color="auto"/>
                <w:right w:val="none" w:sz="0" w:space="0" w:color="auto"/>
              </w:divBdr>
            </w:div>
            <w:div w:id="112788845">
              <w:marLeft w:val="0"/>
              <w:marRight w:val="0"/>
              <w:marTop w:val="0"/>
              <w:marBottom w:val="0"/>
              <w:divBdr>
                <w:top w:val="none" w:sz="0" w:space="0" w:color="auto"/>
                <w:left w:val="none" w:sz="0" w:space="0" w:color="auto"/>
                <w:bottom w:val="none" w:sz="0" w:space="0" w:color="auto"/>
                <w:right w:val="none" w:sz="0" w:space="0" w:color="auto"/>
              </w:divBdr>
            </w:div>
            <w:div w:id="114761509">
              <w:marLeft w:val="0"/>
              <w:marRight w:val="0"/>
              <w:marTop w:val="0"/>
              <w:marBottom w:val="0"/>
              <w:divBdr>
                <w:top w:val="none" w:sz="0" w:space="0" w:color="auto"/>
                <w:left w:val="none" w:sz="0" w:space="0" w:color="auto"/>
                <w:bottom w:val="none" w:sz="0" w:space="0" w:color="auto"/>
                <w:right w:val="none" w:sz="0" w:space="0" w:color="auto"/>
              </w:divBdr>
            </w:div>
            <w:div w:id="119569235">
              <w:marLeft w:val="0"/>
              <w:marRight w:val="0"/>
              <w:marTop w:val="0"/>
              <w:marBottom w:val="0"/>
              <w:divBdr>
                <w:top w:val="none" w:sz="0" w:space="0" w:color="auto"/>
                <w:left w:val="none" w:sz="0" w:space="0" w:color="auto"/>
                <w:bottom w:val="none" w:sz="0" w:space="0" w:color="auto"/>
                <w:right w:val="none" w:sz="0" w:space="0" w:color="auto"/>
              </w:divBdr>
            </w:div>
            <w:div w:id="120347303">
              <w:marLeft w:val="0"/>
              <w:marRight w:val="0"/>
              <w:marTop w:val="0"/>
              <w:marBottom w:val="0"/>
              <w:divBdr>
                <w:top w:val="none" w:sz="0" w:space="0" w:color="auto"/>
                <w:left w:val="none" w:sz="0" w:space="0" w:color="auto"/>
                <w:bottom w:val="none" w:sz="0" w:space="0" w:color="auto"/>
                <w:right w:val="none" w:sz="0" w:space="0" w:color="auto"/>
              </w:divBdr>
            </w:div>
            <w:div w:id="124323217">
              <w:marLeft w:val="0"/>
              <w:marRight w:val="0"/>
              <w:marTop w:val="0"/>
              <w:marBottom w:val="0"/>
              <w:divBdr>
                <w:top w:val="none" w:sz="0" w:space="0" w:color="auto"/>
                <w:left w:val="none" w:sz="0" w:space="0" w:color="auto"/>
                <w:bottom w:val="none" w:sz="0" w:space="0" w:color="auto"/>
                <w:right w:val="none" w:sz="0" w:space="0" w:color="auto"/>
              </w:divBdr>
            </w:div>
            <w:div w:id="124323633">
              <w:marLeft w:val="0"/>
              <w:marRight w:val="0"/>
              <w:marTop w:val="0"/>
              <w:marBottom w:val="0"/>
              <w:divBdr>
                <w:top w:val="none" w:sz="0" w:space="0" w:color="auto"/>
                <w:left w:val="none" w:sz="0" w:space="0" w:color="auto"/>
                <w:bottom w:val="none" w:sz="0" w:space="0" w:color="auto"/>
                <w:right w:val="none" w:sz="0" w:space="0" w:color="auto"/>
              </w:divBdr>
            </w:div>
            <w:div w:id="151141436">
              <w:marLeft w:val="0"/>
              <w:marRight w:val="0"/>
              <w:marTop w:val="0"/>
              <w:marBottom w:val="0"/>
              <w:divBdr>
                <w:top w:val="none" w:sz="0" w:space="0" w:color="auto"/>
                <w:left w:val="none" w:sz="0" w:space="0" w:color="auto"/>
                <w:bottom w:val="none" w:sz="0" w:space="0" w:color="auto"/>
                <w:right w:val="none" w:sz="0" w:space="0" w:color="auto"/>
              </w:divBdr>
            </w:div>
            <w:div w:id="152112637">
              <w:marLeft w:val="0"/>
              <w:marRight w:val="0"/>
              <w:marTop w:val="0"/>
              <w:marBottom w:val="0"/>
              <w:divBdr>
                <w:top w:val="none" w:sz="0" w:space="0" w:color="auto"/>
                <w:left w:val="none" w:sz="0" w:space="0" w:color="auto"/>
                <w:bottom w:val="none" w:sz="0" w:space="0" w:color="auto"/>
                <w:right w:val="none" w:sz="0" w:space="0" w:color="auto"/>
              </w:divBdr>
            </w:div>
            <w:div w:id="154415046">
              <w:marLeft w:val="0"/>
              <w:marRight w:val="0"/>
              <w:marTop w:val="0"/>
              <w:marBottom w:val="0"/>
              <w:divBdr>
                <w:top w:val="none" w:sz="0" w:space="0" w:color="auto"/>
                <w:left w:val="none" w:sz="0" w:space="0" w:color="auto"/>
                <w:bottom w:val="none" w:sz="0" w:space="0" w:color="auto"/>
                <w:right w:val="none" w:sz="0" w:space="0" w:color="auto"/>
              </w:divBdr>
            </w:div>
            <w:div w:id="154536182">
              <w:marLeft w:val="0"/>
              <w:marRight w:val="0"/>
              <w:marTop w:val="0"/>
              <w:marBottom w:val="0"/>
              <w:divBdr>
                <w:top w:val="none" w:sz="0" w:space="0" w:color="auto"/>
                <w:left w:val="none" w:sz="0" w:space="0" w:color="auto"/>
                <w:bottom w:val="none" w:sz="0" w:space="0" w:color="auto"/>
                <w:right w:val="none" w:sz="0" w:space="0" w:color="auto"/>
              </w:divBdr>
            </w:div>
            <w:div w:id="168568853">
              <w:marLeft w:val="0"/>
              <w:marRight w:val="0"/>
              <w:marTop w:val="0"/>
              <w:marBottom w:val="0"/>
              <w:divBdr>
                <w:top w:val="none" w:sz="0" w:space="0" w:color="auto"/>
                <w:left w:val="none" w:sz="0" w:space="0" w:color="auto"/>
                <w:bottom w:val="none" w:sz="0" w:space="0" w:color="auto"/>
                <w:right w:val="none" w:sz="0" w:space="0" w:color="auto"/>
              </w:divBdr>
            </w:div>
            <w:div w:id="171146687">
              <w:marLeft w:val="0"/>
              <w:marRight w:val="0"/>
              <w:marTop w:val="0"/>
              <w:marBottom w:val="0"/>
              <w:divBdr>
                <w:top w:val="none" w:sz="0" w:space="0" w:color="auto"/>
                <w:left w:val="none" w:sz="0" w:space="0" w:color="auto"/>
                <w:bottom w:val="none" w:sz="0" w:space="0" w:color="auto"/>
                <w:right w:val="none" w:sz="0" w:space="0" w:color="auto"/>
              </w:divBdr>
            </w:div>
            <w:div w:id="172425859">
              <w:marLeft w:val="0"/>
              <w:marRight w:val="0"/>
              <w:marTop w:val="0"/>
              <w:marBottom w:val="0"/>
              <w:divBdr>
                <w:top w:val="none" w:sz="0" w:space="0" w:color="auto"/>
                <w:left w:val="none" w:sz="0" w:space="0" w:color="auto"/>
                <w:bottom w:val="none" w:sz="0" w:space="0" w:color="auto"/>
                <w:right w:val="none" w:sz="0" w:space="0" w:color="auto"/>
              </w:divBdr>
            </w:div>
            <w:div w:id="176114986">
              <w:marLeft w:val="0"/>
              <w:marRight w:val="0"/>
              <w:marTop w:val="0"/>
              <w:marBottom w:val="0"/>
              <w:divBdr>
                <w:top w:val="none" w:sz="0" w:space="0" w:color="auto"/>
                <w:left w:val="none" w:sz="0" w:space="0" w:color="auto"/>
                <w:bottom w:val="none" w:sz="0" w:space="0" w:color="auto"/>
                <w:right w:val="none" w:sz="0" w:space="0" w:color="auto"/>
              </w:divBdr>
            </w:div>
            <w:div w:id="199975739">
              <w:marLeft w:val="0"/>
              <w:marRight w:val="0"/>
              <w:marTop w:val="0"/>
              <w:marBottom w:val="0"/>
              <w:divBdr>
                <w:top w:val="none" w:sz="0" w:space="0" w:color="auto"/>
                <w:left w:val="none" w:sz="0" w:space="0" w:color="auto"/>
                <w:bottom w:val="none" w:sz="0" w:space="0" w:color="auto"/>
                <w:right w:val="none" w:sz="0" w:space="0" w:color="auto"/>
              </w:divBdr>
            </w:div>
            <w:div w:id="204831934">
              <w:marLeft w:val="0"/>
              <w:marRight w:val="0"/>
              <w:marTop w:val="0"/>
              <w:marBottom w:val="0"/>
              <w:divBdr>
                <w:top w:val="none" w:sz="0" w:space="0" w:color="auto"/>
                <w:left w:val="none" w:sz="0" w:space="0" w:color="auto"/>
                <w:bottom w:val="none" w:sz="0" w:space="0" w:color="auto"/>
                <w:right w:val="none" w:sz="0" w:space="0" w:color="auto"/>
              </w:divBdr>
            </w:div>
            <w:div w:id="212427896">
              <w:marLeft w:val="0"/>
              <w:marRight w:val="0"/>
              <w:marTop w:val="0"/>
              <w:marBottom w:val="0"/>
              <w:divBdr>
                <w:top w:val="none" w:sz="0" w:space="0" w:color="auto"/>
                <w:left w:val="none" w:sz="0" w:space="0" w:color="auto"/>
                <w:bottom w:val="none" w:sz="0" w:space="0" w:color="auto"/>
                <w:right w:val="none" w:sz="0" w:space="0" w:color="auto"/>
              </w:divBdr>
            </w:div>
            <w:div w:id="223950655">
              <w:marLeft w:val="0"/>
              <w:marRight w:val="0"/>
              <w:marTop w:val="0"/>
              <w:marBottom w:val="0"/>
              <w:divBdr>
                <w:top w:val="none" w:sz="0" w:space="0" w:color="auto"/>
                <w:left w:val="none" w:sz="0" w:space="0" w:color="auto"/>
                <w:bottom w:val="none" w:sz="0" w:space="0" w:color="auto"/>
                <w:right w:val="none" w:sz="0" w:space="0" w:color="auto"/>
              </w:divBdr>
            </w:div>
            <w:div w:id="226842851">
              <w:marLeft w:val="0"/>
              <w:marRight w:val="0"/>
              <w:marTop w:val="0"/>
              <w:marBottom w:val="0"/>
              <w:divBdr>
                <w:top w:val="none" w:sz="0" w:space="0" w:color="auto"/>
                <w:left w:val="none" w:sz="0" w:space="0" w:color="auto"/>
                <w:bottom w:val="none" w:sz="0" w:space="0" w:color="auto"/>
                <w:right w:val="none" w:sz="0" w:space="0" w:color="auto"/>
              </w:divBdr>
            </w:div>
            <w:div w:id="227813629">
              <w:marLeft w:val="0"/>
              <w:marRight w:val="0"/>
              <w:marTop w:val="0"/>
              <w:marBottom w:val="0"/>
              <w:divBdr>
                <w:top w:val="none" w:sz="0" w:space="0" w:color="auto"/>
                <w:left w:val="none" w:sz="0" w:space="0" w:color="auto"/>
                <w:bottom w:val="none" w:sz="0" w:space="0" w:color="auto"/>
                <w:right w:val="none" w:sz="0" w:space="0" w:color="auto"/>
              </w:divBdr>
            </w:div>
            <w:div w:id="231307146">
              <w:marLeft w:val="0"/>
              <w:marRight w:val="0"/>
              <w:marTop w:val="0"/>
              <w:marBottom w:val="0"/>
              <w:divBdr>
                <w:top w:val="none" w:sz="0" w:space="0" w:color="auto"/>
                <w:left w:val="none" w:sz="0" w:space="0" w:color="auto"/>
                <w:bottom w:val="none" w:sz="0" w:space="0" w:color="auto"/>
                <w:right w:val="none" w:sz="0" w:space="0" w:color="auto"/>
              </w:divBdr>
            </w:div>
            <w:div w:id="233047077">
              <w:marLeft w:val="0"/>
              <w:marRight w:val="0"/>
              <w:marTop w:val="0"/>
              <w:marBottom w:val="0"/>
              <w:divBdr>
                <w:top w:val="none" w:sz="0" w:space="0" w:color="auto"/>
                <w:left w:val="none" w:sz="0" w:space="0" w:color="auto"/>
                <w:bottom w:val="none" w:sz="0" w:space="0" w:color="auto"/>
                <w:right w:val="none" w:sz="0" w:space="0" w:color="auto"/>
              </w:divBdr>
            </w:div>
            <w:div w:id="233471041">
              <w:marLeft w:val="0"/>
              <w:marRight w:val="0"/>
              <w:marTop w:val="0"/>
              <w:marBottom w:val="0"/>
              <w:divBdr>
                <w:top w:val="none" w:sz="0" w:space="0" w:color="auto"/>
                <w:left w:val="none" w:sz="0" w:space="0" w:color="auto"/>
                <w:bottom w:val="none" w:sz="0" w:space="0" w:color="auto"/>
                <w:right w:val="none" w:sz="0" w:space="0" w:color="auto"/>
              </w:divBdr>
            </w:div>
            <w:div w:id="243616156">
              <w:marLeft w:val="0"/>
              <w:marRight w:val="0"/>
              <w:marTop w:val="0"/>
              <w:marBottom w:val="0"/>
              <w:divBdr>
                <w:top w:val="none" w:sz="0" w:space="0" w:color="auto"/>
                <w:left w:val="none" w:sz="0" w:space="0" w:color="auto"/>
                <w:bottom w:val="none" w:sz="0" w:space="0" w:color="auto"/>
                <w:right w:val="none" w:sz="0" w:space="0" w:color="auto"/>
              </w:divBdr>
            </w:div>
            <w:div w:id="271595428">
              <w:marLeft w:val="0"/>
              <w:marRight w:val="0"/>
              <w:marTop w:val="0"/>
              <w:marBottom w:val="0"/>
              <w:divBdr>
                <w:top w:val="none" w:sz="0" w:space="0" w:color="auto"/>
                <w:left w:val="none" w:sz="0" w:space="0" w:color="auto"/>
                <w:bottom w:val="none" w:sz="0" w:space="0" w:color="auto"/>
                <w:right w:val="none" w:sz="0" w:space="0" w:color="auto"/>
              </w:divBdr>
            </w:div>
            <w:div w:id="290986692">
              <w:marLeft w:val="0"/>
              <w:marRight w:val="0"/>
              <w:marTop w:val="0"/>
              <w:marBottom w:val="0"/>
              <w:divBdr>
                <w:top w:val="none" w:sz="0" w:space="0" w:color="auto"/>
                <w:left w:val="none" w:sz="0" w:space="0" w:color="auto"/>
                <w:bottom w:val="none" w:sz="0" w:space="0" w:color="auto"/>
                <w:right w:val="none" w:sz="0" w:space="0" w:color="auto"/>
              </w:divBdr>
            </w:div>
            <w:div w:id="295263284">
              <w:marLeft w:val="0"/>
              <w:marRight w:val="0"/>
              <w:marTop w:val="0"/>
              <w:marBottom w:val="0"/>
              <w:divBdr>
                <w:top w:val="none" w:sz="0" w:space="0" w:color="auto"/>
                <w:left w:val="none" w:sz="0" w:space="0" w:color="auto"/>
                <w:bottom w:val="none" w:sz="0" w:space="0" w:color="auto"/>
                <w:right w:val="none" w:sz="0" w:space="0" w:color="auto"/>
              </w:divBdr>
            </w:div>
            <w:div w:id="296299818">
              <w:marLeft w:val="0"/>
              <w:marRight w:val="0"/>
              <w:marTop w:val="0"/>
              <w:marBottom w:val="0"/>
              <w:divBdr>
                <w:top w:val="none" w:sz="0" w:space="0" w:color="auto"/>
                <w:left w:val="none" w:sz="0" w:space="0" w:color="auto"/>
                <w:bottom w:val="none" w:sz="0" w:space="0" w:color="auto"/>
                <w:right w:val="none" w:sz="0" w:space="0" w:color="auto"/>
              </w:divBdr>
            </w:div>
            <w:div w:id="305401686">
              <w:marLeft w:val="0"/>
              <w:marRight w:val="0"/>
              <w:marTop w:val="0"/>
              <w:marBottom w:val="0"/>
              <w:divBdr>
                <w:top w:val="none" w:sz="0" w:space="0" w:color="auto"/>
                <w:left w:val="none" w:sz="0" w:space="0" w:color="auto"/>
                <w:bottom w:val="none" w:sz="0" w:space="0" w:color="auto"/>
                <w:right w:val="none" w:sz="0" w:space="0" w:color="auto"/>
              </w:divBdr>
            </w:div>
            <w:div w:id="314645055">
              <w:marLeft w:val="0"/>
              <w:marRight w:val="0"/>
              <w:marTop w:val="0"/>
              <w:marBottom w:val="0"/>
              <w:divBdr>
                <w:top w:val="none" w:sz="0" w:space="0" w:color="auto"/>
                <w:left w:val="none" w:sz="0" w:space="0" w:color="auto"/>
                <w:bottom w:val="none" w:sz="0" w:space="0" w:color="auto"/>
                <w:right w:val="none" w:sz="0" w:space="0" w:color="auto"/>
              </w:divBdr>
            </w:div>
            <w:div w:id="319773824">
              <w:marLeft w:val="0"/>
              <w:marRight w:val="0"/>
              <w:marTop w:val="0"/>
              <w:marBottom w:val="0"/>
              <w:divBdr>
                <w:top w:val="none" w:sz="0" w:space="0" w:color="auto"/>
                <w:left w:val="none" w:sz="0" w:space="0" w:color="auto"/>
                <w:bottom w:val="none" w:sz="0" w:space="0" w:color="auto"/>
                <w:right w:val="none" w:sz="0" w:space="0" w:color="auto"/>
              </w:divBdr>
            </w:div>
            <w:div w:id="328603892">
              <w:marLeft w:val="0"/>
              <w:marRight w:val="0"/>
              <w:marTop w:val="0"/>
              <w:marBottom w:val="0"/>
              <w:divBdr>
                <w:top w:val="none" w:sz="0" w:space="0" w:color="auto"/>
                <w:left w:val="none" w:sz="0" w:space="0" w:color="auto"/>
                <w:bottom w:val="none" w:sz="0" w:space="0" w:color="auto"/>
                <w:right w:val="none" w:sz="0" w:space="0" w:color="auto"/>
              </w:divBdr>
            </w:div>
            <w:div w:id="332345213">
              <w:marLeft w:val="0"/>
              <w:marRight w:val="0"/>
              <w:marTop w:val="0"/>
              <w:marBottom w:val="0"/>
              <w:divBdr>
                <w:top w:val="none" w:sz="0" w:space="0" w:color="auto"/>
                <w:left w:val="none" w:sz="0" w:space="0" w:color="auto"/>
                <w:bottom w:val="none" w:sz="0" w:space="0" w:color="auto"/>
                <w:right w:val="none" w:sz="0" w:space="0" w:color="auto"/>
              </w:divBdr>
            </w:div>
            <w:div w:id="347101690">
              <w:marLeft w:val="0"/>
              <w:marRight w:val="0"/>
              <w:marTop w:val="0"/>
              <w:marBottom w:val="0"/>
              <w:divBdr>
                <w:top w:val="none" w:sz="0" w:space="0" w:color="auto"/>
                <w:left w:val="none" w:sz="0" w:space="0" w:color="auto"/>
                <w:bottom w:val="none" w:sz="0" w:space="0" w:color="auto"/>
                <w:right w:val="none" w:sz="0" w:space="0" w:color="auto"/>
              </w:divBdr>
            </w:div>
            <w:div w:id="347483014">
              <w:marLeft w:val="0"/>
              <w:marRight w:val="0"/>
              <w:marTop w:val="0"/>
              <w:marBottom w:val="0"/>
              <w:divBdr>
                <w:top w:val="none" w:sz="0" w:space="0" w:color="auto"/>
                <w:left w:val="none" w:sz="0" w:space="0" w:color="auto"/>
                <w:bottom w:val="none" w:sz="0" w:space="0" w:color="auto"/>
                <w:right w:val="none" w:sz="0" w:space="0" w:color="auto"/>
              </w:divBdr>
            </w:div>
            <w:div w:id="360130464">
              <w:marLeft w:val="0"/>
              <w:marRight w:val="0"/>
              <w:marTop w:val="0"/>
              <w:marBottom w:val="0"/>
              <w:divBdr>
                <w:top w:val="none" w:sz="0" w:space="0" w:color="auto"/>
                <w:left w:val="none" w:sz="0" w:space="0" w:color="auto"/>
                <w:bottom w:val="none" w:sz="0" w:space="0" w:color="auto"/>
                <w:right w:val="none" w:sz="0" w:space="0" w:color="auto"/>
              </w:divBdr>
            </w:div>
            <w:div w:id="361056096">
              <w:marLeft w:val="0"/>
              <w:marRight w:val="0"/>
              <w:marTop w:val="0"/>
              <w:marBottom w:val="0"/>
              <w:divBdr>
                <w:top w:val="none" w:sz="0" w:space="0" w:color="auto"/>
                <w:left w:val="none" w:sz="0" w:space="0" w:color="auto"/>
                <w:bottom w:val="none" w:sz="0" w:space="0" w:color="auto"/>
                <w:right w:val="none" w:sz="0" w:space="0" w:color="auto"/>
              </w:divBdr>
            </w:div>
            <w:div w:id="361635443">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389496393">
              <w:marLeft w:val="0"/>
              <w:marRight w:val="0"/>
              <w:marTop w:val="0"/>
              <w:marBottom w:val="0"/>
              <w:divBdr>
                <w:top w:val="none" w:sz="0" w:space="0" w:color="auto"/>
                <w:left w:val="none" w:sz="0" w:space="0" w:color="auto"/>
                <w:bottom w:val="none" w:sz="0" w:space="0" w:color="auto"/>
                <w:right w:val="none" w:sz="0" w:space="0" w:color="auto"/>
              </w:divBdr>
            </w:div>
            <w:div w:id="436407420">
              <w:marLeft w:val="0"/>
              <w:marRight w:val="0"/>
              <w:marTop w:val="0"/>
              <w:marBottom w:val="0"/>
              <w:divBdr>
                <w:top w:val="none" w:sz="0" w:space="0" w:color="auto"/>
                <w:left w:val="none" w:sz="0" w:space="0" w:color="auto"/>
                <w:bottom w:val="none" w:sz="0" w:space="0" w:color="auto"/>
                <w:right w:val="none" w:sz="0" w:space="0" w:color="auto"/>
              </w:divBdr>
            </w:div>
            <w:div w:id="444740799">
              <w:marLeft w:val="0"/>
              <w:marRight w:val="0"/>
              <w:marTop w:val="0"/>
              <w:marBottom w:val="0"/>
              <w:divBdr>
                <w:top w:val="none" w:sz="0" w:space="0" w:color="auto"/>
                <w:left w:val="none" w:sz="0" w:space="0" w:color="auto"/>
                <w:bottom w:val="none" w:sz="0" w:space="0" w:color="auto"/>
                <w:right w:val="none" w:sz="0" w:space="0" w:color="auto"/>
              </w:divBdr>
            </w:div>
            <w:div w:id="445269524">
              <w:marLeft w:val="0"/>
              <w:marRight w:val="0"/>
              <w:marTop w:val="0"/>
              <w:marBottom w:val="0"/>
              <w:divBdr>
                <w:top w:val="none" w:sz="0" w:space="0" w:color="auto"/>
                <w:left w:val="none" w:sz="0" w:space="0" w:color="auto"/>
                <w:bottom w:val="none" w:sz="0" w:space="0" w:color="auto"/>
                <w:right w:val="none" w:sz="0" w:space="0" w:color="auto"/>
              </w:divBdr>
            </w:div>
            <w:div w:id="445537543">
              <w:marLeft w:val="0"/>
              <w:marRight w:val="0"/>
              <w:marTop w:val="0"/>
              <w:marBottom w:val="0"/>
              <w:divBdr>
                <w:top w:val="none" w:sz="0" w:space="0" w:color="auto"/>
                <w:left w:val="none" w:sz="0" w:space="0" w:color="auto"/>
                <w:bottom w:val="none" w:sz="0" w:space="0" w:color="auto"/>
                <w:right w:val="none" w:sz="0" w:space="0" w:color="auto"/>
              </w:divBdr>
            </w:div>
            <w:div w:id="450786787">
              <w:marLeft w:val="0"/>
              <w:marRight w:val="0"/>
              <w:marTop w:val="0"/>
              <w:marBottom w:val="0"/>
              <w:divBdr>
                <w:top w:val="none" w:sz="0" w:space="0" w:color="auto"/>
                <w:left w:val="none" w:sz="0" w:space="0" w:color="auto"/>
                <w:bottom w:val="none" w:sz="0" w:space="0" w:color="auto"/>
                <w:right w:val="none" w:sz="0" w:space="0" w:color="auto"/>
              </w:divBdr>
            </w:div>
            <w:div w:id="455414392">
              <w:marLeft w:val="0"/>
              <w:marRight w:val="0"/>
              <w:marTop w:val="0"/>
              <w:marBottom w:val="0"/>
              <w:divBdr>
                <w:top w:val="none" w:sz="0" w:space="0" w:color="auto"/>
                <w:left w:val="none" w:sz="0" w:space="0" w:color="auto"/>
                <w:bottom w:val="none" w:sz="0" w:space="0" w:color="auto"/>
                <w:right w:val="none" w:sz="0" w:space="0" w:color="auto"/>
              </w:divBdr>
            </w:div>
            <w:div w:id="462887612">
              <w:marLeft w:val="0"/>
              <w:marRight w:val="0"/>
              <w:marTop w:val="0"/>
              <w:marBottom w:val="0"/>
              <w:divBdr>
                <w:top w:val="none" w:sz="0" w:space="0" w:color="auto"/>
                <w:left w:val="none" w:sz="0" w:space="0" w:color="auto"/>
                <w:bottom w:val="none" w:sz="0" w:space="0" w:color="auto"/>
                <w:right w:val="none" w:sz="0" w:space="0" w:color="auto"/>
              </w:divBdr>
            </w:div>
            <w:div w:id="463698755">
              <w:marLeft w:val="0"/>
              <w:marRight w:val="0"/>
              <w:marTop w:val="0"/>
              <w:marBottom w:val="0"/>
              <w:divBdr>
                <w:top w:val="none" w:sz="0" w:space="0" w:color="auto"/>
                <w:left w:val="none" w:sz="0" w:space="0" w:color="auto"/>
                <w:bottom w:val="none" w:sz="0" w:space="0" w:color="auto"/>
                <w:right w:val="none" w:sz="0" w:space="0" w:color="auto"/>
              </w:divBdr>
            </w:div>
            <w:div w:id="486746669">
              <w:marLeft w:val="0"/>
              <w:marRight w:val="0"/>
              <w:marTop w:val="0"/>
              <w:marBottom w:val="0"/>
              <w:divBdr>
                <w:top w:val="none" w:sz="0" w:space="0" w:color="auto"/>
                <w:left w:val="none" w:sz="0" w:space="0" w:color="auto"/>
                <w:bottom w:val="none" w:sz="0" w:space="0" w:color="auto"/>
                <w:right w:val="none" w:sz="0" w:space="0" w:color="auto"/>
              </w:divBdr>
            </w:div>
            <w:div w:id="487406551">
              <w:marLeft w:val="0"/>
              <w:marRight w:val="0"/>
              <w:marTop w:val="0"/>
              <w:marBottom w:val="0"/>
              <w:divBdr>
                <w:top w:val="none" w:sz="0" w:space="0" w:color="auto"/>
                <w:left w:val="none" w:sz="0" w:space="0" w:color="auto"/>
                <w:bottom w:val="none" w:sz="0" w:space="0" w:color="auto"/>
                <w:right w:val="none" w:sz="0" w:space="0" w:color="auto"/>
              </w:divBdr>
            </w:div>
            <w:div w:id="488139062">
              <w:marLeft w:val="0"/>
              <w:marRight w:val="0"/>
              <w:marTop w:val="0"/>
              <w:marBottom w:val="0"/>
              <w:divBdr>
                <w:top w:val="none" w:sz="0" w:space="0" w:color="auto"/>
                <w:left w:val="none" w:sz="0" w:space="0" w:color="auto"/>
                <w:bottom w:val="none" w:sz="0" w:space="0" w:color="auto"/>
                <w:right w:val="none" w:sz="0" w:space="0" w:color="auto"/>
              </w:divBdr>
            </w:div>
            <w:div w:id="492575652">
              <w:marLeft w:val="0"/>
              <w:marRight w:val="0"/>
              <w:marTop w:val="0"/>
              <w:marBottom w:val="0"/>
              <w:divBdr>
                <w:top w:val="none" w:sz="0" w:space="0" w:color="auto"/>
                <w:left w:val="none" w:sz="0" w:space="0" w:color="auto"/>
                <w:bottom w:val="none" w:sz="0" w:space="0" w:color="auto"/>
                <w:right w:val="none" w:sz="0" w:space="0" w:color="auto"/>
              </w:divBdr>
            </w:div>
            <w:div w:id="493491043">
              <w:marLeft w:val="0"/>
              <w:marRight w:val="0"/>
              <w:marTop w:val="0"/>
              <w:marBottom w:val="0"/>
              <w:divBdr>
                <w:top w:val="none" w:sz="0" w:space="0" w:color="auto"/>
                <w:left w:val="none" w:sz="0" w:space="0" w:color="auto"/>
                <w:bottom w:val="none" w:sz="0" w:space="0" w:color="auto"/>
                <w:right w:val="none" w:sz="0" w:space="0" w:color="auto"/>
              </w:divBdr>
            </w:div>
            <w:div w:id="498037145">
              <w:marLeft w:val="0"/>
              <w:marRight w:val="0"/>
              <w:marTop w:val="0"/>
              <w:marBottom w:val="0"/>
              <w:divBdr>
                <w:top w:val="none" w:sz="0" w:space="0" w:color="auto"/>
                <w:left w:val="none" w:sz="0" w:space="0" w:color="auto"/>
                <w:bottom w:val="none" w:sz="0" w:space="0" w:color="auto"/>
                <w:right w:val="none" w:sz="0" w:space="0" w:color="auto"/>
              </w:divBdr>
            </w:div>
            <w:div w:id="503205110">
              <w:marLeft w:val="0"/>
              <w:marRight w:val="0"/>
              <w:marTop w:val="0"/>
              <w:marBottom w:val="0"/>
              <w:divBdr>
                <w:top w:val="none" w:sz="0" w:space="0" w:color="auto"/>
                <w:left w:val="none" w:sz="0" w:space="0" w:color="auto"/>
                <w:bottom w:val="none" w:sz="0" w:space="0" w:color="auto"/>
                <w:right w:val="none" w:sz="0" w:space="0" w:color="auto"/>
              </w:divBdr>
            </w:div>
            <w:div w:id="504563181">
              <w:marLeft w:val="0"/>
              <w:marRight w:val="0"/>
              <w:marTop w:val="0"/>
              <w:marBottom w:val="0"/>
              <w:divBdr>
                <w:top w:val="none" w:sz="0" w:space="0" w:color="auto"/>
                <w:left w:val="none" w:sz="0" w:space="0" w:color="auto"/>
                <w:bottom w:val="none" w:sz="0" w:space="0" w:color="auto"/>
                <w:right w:val="none" w:sz="0" w:space="0" w:color="auto"/>
              </w:divBdr>
            </w:div>
            <w:div w:id="506099231">
              <w:marLeft w:val="0"/>
              <w:marRight w:val="0"/>
              <w:marTop w:val="0"/>
              <w:marBottom w:val="0"/>
              <w:divBdr>
                <w:top w:val="none" w:sz="0" w:space="0" w:color="auto"/>
                <w:left w:val="none" w:sz="0" w:space="0" w:color="auto"/>
                <w:bottom w:val="none" w:sz="0" w:space="0" w:color="auto"/>
                <w:right w:val="none" w:sz="0" w:space="0" w:color="auto"/>
              </w:divBdr>
            </w:div>
            <w:div w:id="514156214">
              <w:marLeft w:val="0"/>
              <w:marRight w:val="0"/>
              <w:marTop w:val="0"/>
              <w:marBottom w:val="0"/>
              <w:divBdr>
                <w:top w:val="none" w:sz="0" w:space="0" w:color="auto"/>
                <w:left w:val="none" w:sz="0" w:space="0" w:color="auto"/>
                <w:bottom w:val="none" w:sz="0" w:space="0" w:color="auto"/>
                <w:right w:val="none" w:sz="0" w:space="0" w:color="auto"/>
              </w:divBdr>
            </w:div>
            <w:div w:id="532350117">
              <w:marLeft w:val="0"/>
              <w:marRight w:val="0"/>
              <w:marTop w:val="0"/>
              <w:marBottom w:val="0"/>
              <w:divBdr>
                <w:top w:val="none" w:sz="0" w:space="0" w:color="auto"/>
                <w:left w:val="none" w:sz="0" w:space="0" w:color="auto"/>
                <w:bottom w:val="none" w:sz="0" w:space="0" w:color="auto"/>
                <w:right w:val="none" w:sz="0" w:space="0" w:color="auto"/>
              </w:divBdr>
            </w:div>
            <w:div w:id="536431621">
              <w:marLeft w:val="0"/>
              <w:marRight w:val="0"/>
              <w:marTop w:val="0"/>
              <w:marBottom w:val="0"/>
              <w:divBdr>
                <w:top w:val="none" w:sz="0" w:space="0" w:color="auto"/>
                <w:left w:val="none" w:sz="0" w:space="0" w:color="auto"/>
                <w:bottom w:val="none" w:sz="0" w:space="0" w:color="auto"/>
                <w:right w:val="none" w:sz="0" w:space="0" w:color="auto"/>
              </w:divBdr>
            </w:div>
            <w:div w:id="545215798">
              <w:marLeft w:val="0"/>
              <w:marRight w:val="0"/>
              <w:marTop w:val="0"/>
              <w:marBottom w:val="0"/>
              <w:divBdr>
                <w:top w:val="none" w:sz="0" w:space="0" w:color="auto"/>
                <w:left w:val="none" w:sz="0" w:space="0" w:color="auto"/>
                <w:bottom w:val="none" w:sz="0" w:space="0" w:color="auto"/>
                <w:right w:val="none" w:sz="0" w:space="0" w:color="auto"/>
              </w:divBdr>
            </w:div>
            <w:div w:id="545682433">
              <w:marLeft w:val="0"/>
              <w:marRight w:val="0"/>
              <w:marTop w:val="0"/>
              <w:marBottom w:val="0"/>
              <w:divBdr>
                <w:top w:val="none" w:sz="0" w:space="0" w:color="auto"/>
                <w:left w:val="none" w:sz="0" w:space="0" w:color="auto"/>
                <w:bottom w:val="none" w:sz="0" w:space="0" w:color="auto"/>
                <w:right w:val="none" w:sz="0" w:space="0" w:color="auto"/>
              </w:divBdr>
            </w:div>
            <w:div w:id="551038912">
              <w:marLeft w:val="0"/>
              <w:marRight w:val="0"/>
              <w:marTop w:val="0"/>
              <w:marBottom w:val="0"/>
              <w:divBdr>
                <w:top w:val="none" w:sz="0" w:space="0" w:color="auto"/>
                <w:left w:val="none" w:sz="0" w:space="0" w:color="auto"/>
                <w:bottom w:val="none" w:sz="0" w:space="0" w:color="auto"/>
                <w:right w:val="none" w:sz="0" w:space="0" w:color="auto"/>
              </w:divBdr>
            </w:div>
            <w:div w:id="564145340">
              <w:marLeft w:val="0"/>
              <w:marRight w:val="0"/>
              <w:marTop w:val="0"/>
              <w:marBottom w:val="0"/>
              <w:divBdr>
                <w:top w:val="none" w:sz="0" w:space="0" w:color="auto"/>
                <w:left w:val="none" w:sz="0" w:space="0" w:color="auto"/>
                <w:bottom w:val="none" w:sz="0" w:space="0" w:color="auto"/>
                <w:right w:val="none" w:sz="0" w:space="0" w:color="auto"/>
              </w:divBdr>
            </w:div>
            <w:div w:id="565190880">
              <w:marLeft w:val="0"/>
              <w:marRight w:val="0"/>
              <w:marTop w:val="0"/>
              <w:marBottom w:val="0"/>
              <w:divBdr>
                <w:top w:val="none" w:sz="0" w:space="0" w:color="auto"/>
                <w:left w:val="none" w:sz="0" w:space="0" w:color="auto"/>
                <w:bottom w:val="none" w:sz="0" w:space="0" w:color="auto"/>
                <w:right w:val="none" w:sz="0" w:space="0" w:color="auto"/>
              </w:divBdr>
            </w:div>
            <w:div w:id="566766589">
              <w:marLeft w:val="0"/>
              <w:marRight w:val="0"/>
              <w:marTop w:val="0"/>
              <w:marBottom w:val="0"/>
              <w:divBdr>
                <w:top w:val="none" w:sz="0" w:space="0" w:color="auto"/>
                <w:left w:val="none" w:sz="0" w:space="0" w:color="auto"/>
                <w:bottom w:val="none" w:sz="0" w:space="0" w:color="auto"/>
                <w:right w:val="none" w:sz="0" w:space="0" w:color="auto"/>
              </w:divBdr>
            </w:div>
            <w:div w:id="571622516">
              <w:marLeft w:val="0"/>
              <w:marRight w:val="0"/>
              <w:marTop w:val="0"/>
              <w:marBottom w:val="0"/>
              <w:divBdr>
                <w:top w:val="none" w:sz="0" w:space="0" w:color="auto"/>
                <w:left w:val="none" w:sz="0" w:space="0" w:color="auto"/>
                <w:bottom w:val="none" w:sz="0" w:space="0" w:color="auto"/>
                <w:right w:val="none" w:sz="0" w:space="0" w:color="auto"/>
              </w:divBdr>
            </w:div>
            <w:div w:id="573512681">
              <w:marLeft w:val="0"/>
              <w:marRight w:val="0"/>
              <w:marTop w:val="0"/>
              <w:marBottom w:val="0"/>
              <w:divBdr>
                <w:top w:val="none" w:sz="0" w:space="0" w:color="auto"/>
                <w:left w:val="none" w:sz="0" w:space="0" w:color="auto"/>
                <w:bottom w:val="none" w:sz="0" w:space="0" w:color="auto"/>
                <w:right w:val="none" w:sz="0" w:space="0" w:color="auto"/>
              </w:divBdr>
            </w:div>
            <w:div w:id="576280755">
              <w:marLeft w:val="0"/>
              <w:marRight w:val="0"/>
              <w:marTop w:val="0"/>
              <w:marBottom w:val="0"/>
              <w:divBdr>
                <w:top w:val="none" w:sz="0" w:space="0" w:color="auto"/>
                <w:left w:val="none" w:sz="0" w:space="0" w:color="auto"/>
                <w:bottom w:val="none" w:sz="0" w:space="0" w:color="auto"/>
                <w:right w:val="none" w:sz="0" w:space="0" w:color="auto"/>
              </w:divBdr>
            </w:div>
            <w:div w:id="577986373">
              <w:marLeft w:val="0"/>
              <w:marRight w:val="0"/>
              <w:marTop w:val="0"/>
              <w:marBottom w:val="0"/>
              <w:divBdr>
                <w:top w:val="none" w:sz="0" w:space="0" w:color="auto"/>
                <w:left w:val="none" w:sz="0" w:space="0" w:color="auto"/>
                <w:bottom w:val="none" w:sz="0" w:space="0" w:color="auto"/>
                <w:right w:val="none" w:sz="0" w:space="0" w:color="auto"/>
              </w:divBdr>
            </w:div>
            <w:div w:id="581573014">
              <w:marLeft w:val="0"/>
              <w:marRight w:val="0"/>
              <w:marTop w:val="0"/>
              <w:marBottom w:val="0"/>
              <w:divBdr>
                <w:top w:val="none" w:sz="0" w:space="0" w:color="auto"/>
                <w:left w:val="none" w:sz="0" w:space="0" w:color="auto"/>
                <w:bottom w:val="none" w:sz="0" w:space="0" w:color="auto"/>
                <w:right w:val="none" w:sz="0" w:space="0" w:color="auto"/>
              </w:divBdr>
            </w:div>
            <w:div w:id="594705926">
              <w:marLeft w:val="0"/>
              <w:marRight w:val="0"/>
              <w:marTop w:val="0"/>
              <w:marBottom w:val="0"/>
              <w:divBdr>
                <w:top w:val="none" w:sz="0" w:space="0" w:color="auto"/>
                <w:left w:val="none" w:sz="0" w:space="0" w:color="auto"/>
                <w:bottom w:val="none" w:sz="0" w:space="0" w:color="auto"/>
                <w:right w:val="none" w:sz="0" w:space="0" w:color="auto"/>
              </w:divBdr>
            </w:div>
            <w:div w:id="603078947">
              <w:marLeft w:val="0"/>
              <w:marRight w:val="0"/>
              <w:marTop w:val="0"/>
              <w:marBottom w:val="0"/>
              <w:divBdr>
                <w:top w:val="none" w:sz="0" w:space="0" w:color="auto"/>
                <w:left w:val="none" w:sz="0" w:space="0" w:color="auto"/>
                <w:bottom w:val="none" w:sz="0" w:space="0" w:color="auto"/>
                <w:right w:val="none" w:sz="0" w:space="0" w:color="auto"/>
              </w:divBdr>
            </w:div>
            <w:div w:id="616914214">
              <w:marLeft w:val="0"/>
              <w:marRight w:val="0"/>
              <w:marTop w:val="0"/>
              <w:marBottom w:val="0"/>
              <w:divBdr>
                <w:top w:val="none" w:sz="0" w:space="0" w:color="auto"/>
                <w:left w:val="none" w:sz="0" w:space="0" w:color="auto"/>
                <w:bottom w:val="none" w:sz="0" w:space="0" w:color="auto"/>
                <w:right w:val="none" w:sz="0" w:space="0" w:color="auto"/>
              </w:divBdr>
            </w:div>
            <w:div w:id="624041566">
              <w:marLeft w:val="0"/>
              <w:marRight w:val="0"/>
              <w:marTop w:val="0"/>
              <w:marBottom w:val="0"/>
              <w:divBdr>
                <w:top w:val="none" w:sz="0" w:space="0" w:color="auto"/>
                <w:left w:val="none" w:sz="0" w:space="0" w:color="auto"/>
                <w:bottom w:val="none" w:sz="0" w:space="0" w:color="auto"/>
                <w:right w:val="none" w:sz="0" w:space="0" w:color="auto"/>
              </w:divBdr>
            </w:div>
            <w:div w:id="626549033">
              <w:marLeft w:val="0"/>
              <w:marRight w:val="0"/>
              <w:marTop w:val="0"/>
              <w:marBottom w:val="0"/>
              <w:divBdr>
                <w:top w:val="none" w:sz="0" w:space="0" w:color="auto"/>
                <w:left w:val="none" w:sz="0" w:space="0" w:color="auto"/>
                <w:bottom w:val="none" w:sz="0" w:space="0" w:color="auto"/>
                <w:right w:val="none" w:sz="0" w:space="0" w:color="auto"/>
              </w:divBdr>
            </w:div>
            <w:div w:id="626811216">
              <w:marLeft w:val="0"/>
              <w:marRight w:val="0"/>
              <w:marTop w:val="0"/>
              <w:marBottom w:val="0"/>
              <w:divBdr>
                <w:top w:val="none" w:sz="0" w:space="0" w:color="auto"/>
                <w:left w:val="none" w:sz="0" w:space="0" w:color="auto"/>
                <w:bottom w:val="none" w:sz="0" w:space="0" w:color="auto"/>
                <w:right w:val="none" w:sz="0" w:space="0" w:color="auto"/>
              </w:divBdr>
            </w:div>
            <w:div w:id="629090224">
              <w:marLeft w:val="0"/>
              <w:marRight w:val="0"/>
              <w:marTop w:val="0"/>
              <w:marBottom w:val="0"/>
              <w:divBdr>
                <w:top w:val="none" w:sz="0" w:space="0" w:color="auto"/>
                <w:left w:val="none" w:sz="0" w:space="0" w:color="auto"/>
                <w:bottom w:val="none" w:sz="0" w:space="0" w:color="auto"/>
                <w:right w:val="none" w:sz="0" w:space="0" w:color="auto"/>
              </w:divBdr>
            </w:div>
            <w:div w:id="635575157">
              <w:marLeft w:val="0"/>
              <w:marRight w:val="0"/>
              <w:marTop w:val="0"/>
              <w:marBottom w:val="0"/>
              <w:divBdr>
                <w:top w:val="none" w:sz="0" w:space="0" w:color="auto"/>
                <w:left w:val="none" w:sz="0" w:space="0" w:color="auto"/>
                <w:bottom w:val="none" w:sz="0" w:space="0" w:color="auto"/>
                <w:right w:val="none" w:sz="0" w:space="0" w:color="auto"/>
              </w:divBdr>
            </w:div>
            <w:div w:id="640035218">
              <w:marLeft w:val="0"/>
              <w:marRight w:val="0"/>
              <w:marTop w:val="0"/>
              <w:marBottom w:val="0"/>
              <w:divBdr>
                <w:top w:val="none" w:sz="0" w:space="0" w:color="auto"/>
                <w:left w:val="none" w:sz="0" w:space="0" w:color="auto"/>
                <w:bottom w:val="none" w:sz="0" w:space="0" w:color="auto"/>
                <w:right w:val="none" w:sz="0" w:space="0" w:color="auto"/>
              </w:divBdr>
            </w:div>
            <w:div w:id="642808449">
              <w:marLeft w:val="0"/>
              <w:marRight w:val="0"/>
              <w:marTop w:val="0"/>
              <w:marBottom w:val="0"/>
              <w:divBdr>
                <w:top w:val="none" w:sz="0" w:space="0" w:color="auto"/>
                <w:left w:val="none" w:sz="0" w:space="0" w:color="auto"/>
                <w:bottom w:val="none" w:sz="0" w:space="0" w:color="auto"/>
                <w:right w:val="none" w:sz="0" w:space="0" w:color="auto"/>
              </w:divBdr>
            </w:div>
            <w:div w:id="645940672">
              <w:marLeft w:val="0"/>
              <w:marRight w:val="0"/>
              <w:marTop w:val="0"/>
              <w:marBottom w:val="0"/>
              <w:divBdr>
                <w:top w:val="none" w:sz="0" w:space="0" w:color="auto"/>
                <w:left w:val="none" w:sz="0" w:space="0" w:color="auto"/>
                <w:bottom w:val="none" w:sz="0" w:space="0" w:color="auto"/>
                <w:right w:val="none" w:sz="0" w:space="0" w:color="auto"/>
              </w:divBdr>
            </w:div>
            <w:div w:id="662851524">
              <w:marLeft w:val="0"/>
              <w:marRight w:val="0"/>
              <w:marTop w:val="0"/>
              <w:marBottom w:val="0"/>
              <w:divBdr>
                <w:top w:val="none" w:sz="0" w:space="0" w:color="auto"/>
                <w:left w:val="none" w:sz="0" w:space="0" w:color="auto"/>
                <w:bottom w:val="none" w:sz="0" w:space="0" w:color="auto"/>
                <w:right w:val="none" w:sz="0" w:space="0" w:color="auto"/>
              </w:divBdr>
            </w:div>
            <w:div w:id="666177909">
              <w:marLeft w:val="0"/>
              <w:marRight w:val="0"/>
              <w:marTop w:val="0"/>
              <w:marBottom w:val="0"/>
              <w:divBdr>
                <w:top w:val="none" w:sz="0" w:space="0" w:color="auto"/>
                <w:left w:val="none" w:sz="0" w:space="0" w:color="auto"/>
                <w:bottom w:val="none" w:sz="0" w:space="0" w:color="auto"/>
                <w:right w:val="none" w:sz="0" w:space="0" w:color="auto"/>
              </w:divBdr>
            </w:div>
            <w:div w:id="669910780">
              <w:marLeft w:val="0"/>
              <w:marRight w:val="0"/>
              <w:marTop w:val="0"/>
              <w:marBottom w:val="0"/>
              <w:divBdr>
                <w:top w:val="none" w:sz="0" w:space="0" w:color="auto"/>
                <w:left w:val="none" w:sz="0" w:space="0" w:color="auto"/>
                <w:bottom w:val="none" w:sz="0" w:space="0" w:color="auto"/>
                <w:right w:val="none" w:sz="0" w:space="0" w:color="auto"/>
              </w:divBdr>
            </w:div>
            <w:div w:id="679426275">
              <w:marLeft w:val="0"/>
              <w:marRight w:val="0"/>
              <w:marTop w:val="0"/>
              <w:marBottom w:val="0"/>
              <w:divBdr>
                <w:top w:val="none" w:sz="0" w:space="0" w:color="auto"/>
                <w:left w:val="none" w:sz="0" w:space="0" w:color="auto"/>
                <w:bottom w:val="none" w:sz="0" w:space="0" w:color="auto"/>
                <w:right w:val="none" w:sz="0" w:space="0" w:color="auto"/>
              </w:divBdr>
            </w:div>
            <w:div w:id="692264318">
              <w:marLeft w:val="0"/>
              <w:marRight w:val="0"/>
              <w:marTop w:val="0"/>
              <w:marBottom w:val="0"/>
              <w:divBdr>
                <w:top w:val="none" w:sz="0" w:space="0" w:color="auto"/>
                <w:left w:val="none" w:sz="0" w:space="0" w:color="auto"/>
                <w:bottom w:val="none" w:sz="0" w:space="0" w:color="auto"/>
                <w:right w:val="none" w:sz="0" w:space="0" w:color="auto"/>
              </w:divBdr>
            </w:div>
            <w:div w:id="692417910">
              <w:marLeft w:val="0"/>
              <w:marRight w:val="0"/>
              <w:marTop w:val="0"/>
              <w:marBottom w:val="0"/>
              <w:divBdr>
                <w:top w:val="none" w:sz="0" w:space="0" w:color="auto"/>
                <w:left w:val="none" w:sz="0" w:space="0" w:color="auto"/>
                <w:bottom w:val="none" w:sz="0" w:space="0" w:color="auto"/>
                <w:right w:val="none" w:sz="0" w:space="0" w:color="auto"/>
              </w:divBdr>
            </w:div>
            <w:div w:id="700788396">
              <w:marLeft w:val="0"/>
              <w:marRight w:val="0"/>
              <w:marTop w:val="0"/>
              <w:marBottom w:val="0"/>
              <w:divBdr>
                <w:top w:val="none" w:sz="0" w:space="0" w:color="auto"/>
                <w:left w:val="none" w:sz="0" w:space="0" w:color="auto"/>
                <w:bottom w:val="none" w:sz="0" w:space="0" w:color="auto"/>
                <w:right w:val="none" w:sz="0" w:space="0" w:color="auto"/>
              </w:divBdr>
            </w:div>
            <w:div w:id="703674424">
              <w:marLeft w:val="0"/>
              <w:marRight w:val="0"/>
              <w:marTop w:val="0"/>
              <w:marBottom w:val="0"/>
              <w:divBdr>
                <w:top w:val="none" w:sz="0" w:space="0" w:color="auto"/>
                <w:left w:val="none" w:sz="0" w:space="0" w:color="auto"/>
                <w:bottom w:val="none" w:sz="0" w:space="0" w:color="auto"/>
                <w:right w:val="none" w:sz="0" w:space="0" w:color="auto"/>
              </w:divBdr>
            </w:div>
            <w:div w:id="706759309">
              <w:marLeft w:val="0"/>
              <w:marRight w:val="0"/>
              <w:marTop w:val="0"/>
              <w:marBottom w:val="0"/>
              <w:divBdr>
                <w:top w:val="none" w:sz="0" w:space="0" w:color="auto"/>
                <w:left w:val="none" w:sz="0" w:space="0" w:color="auto"/>
                <w:bottom w:val="none" w:sz="0" w:space="0" w:color="auto"/>
                <w:right w:val="none" w:sz="0" w:space="0" w:color="auto"/>
              </w:divBdr>
            </w:div>
            <w:div w:id="707680197">
              <w:marLeft w:val="0"/>
              <w:marRight w:val="0"/>
              <w:marTop w:val="0"/>
              <w:marBottom w:val="0"/>
              <w:divBdr>
                <w:top w:val="none" w:sz="0" w:space="0" w:color="auto"/>
                <w:left w:val="none" w:sz="0" w:space="0" w:color="auto"/>
                <w:bottom w:val="none" w:sz="0" w:space="0" w:color="auto"/>
                <w:right w:val="none" w:sz="0" w:space="0" w:color="auto"/>
              </w:divBdr>
            </w:div>
            <w:div w:id="717244941">
              <w:marLeft w:val="0"/>
              <w:marRight w:val="0"/>
              <w:marTop w:val="0"/>
              <w:marBottom w:val="0"/>
              <w:divBdr>
                <w:top w:val="none" w:sz="0" w:space="0" w:color="auto"/>
                <w:left w:val="none" w:sz="0" w:space="0" w:color="auto"/>
                <w:bottom w:val="none" w:sz="0" w:space="0" w:color="auto"/>
                <w:right w:val="none" w:sz="0" w:space="0" w:color="auto"/>
              </w:divBdr>
            </w:div>
            <w:div w:id="734209315">
              <w:marLeft w:val="0"/>
              <w:marRight w:val="0"/>
              <w:marTop w:val="0"/>
              <w:marBottom w:val="0"/>
              <w:divBdr>
                <w:top w:val="none" w:sz="0" w:space="0" w:color="auto"/>
                <w:left w:val="none" w:sz="0" w:space="0" w:color="auto"/>
                <w:bottom w:val="none" w:sz="0" w:space="0" w:color="auto"/>
                <w:right w:val="none" w:sz="0" w:space="0" w:color="auto"/>
              </w:divBdr>
            </w:div>
            <w:div w:id="735785407">
              <w:marLeft w:val="0"/>
              <w:marRight w:val="0"/>
              <w:marTop w:val="0"/>
              <w:marBottom w:val="0"/>
              <w:divBdr>
                <w:top w:val="none" w:sz="0" w:space="0" w:color="auto"/>
                <w:left w:val="none" w:sz="0" w:space="0" w:color="auto"/>
                <w:bottom w:val="none" w:sz="0" w:space="0" w:color="auto"/>
                <w:right w:val="none" w:sz="0" w:space="0" w:color="auto"/>
              </w:divBdr>
            </w:div>
            <w:div w:id="743602003">
              <w:marLeft w:val="0"/>
              <w:marRight w:val="0"/>
              <w:marTop w:val="0"/>
              <w:marBottom w:val="0"/>
              <w:divBdr>
                <w:top w:val="none" w:sz="0" w:space="0" w:color="auto"/>
                <w:left w:val="none" w:sz="0" w:space="0" w:color="auto"/>
                <w:bottom w:val="none" w:sz="0" w:space="0" w:color="auto"/>
                <w:right w:val="none" w:sz="0" w:space="0" w:color="auto"/>
              </w:divBdr>
            </w:div>
            <w:div w:id="747918694">
              <w:marLeft w:val="0"/>
              <w:marRight w:val="0"/>
              <w:marTop w:val="0"/>
              <w:marBottom w:val="0"/>
              <w:divBdr>
                <w:top w:val="none" w:sz="0" w:space="0" w:color="auto"/>
                <w:left w:val="none" w:sz="0" w:space="0" w:color="auto"/>
                <w:bottom w:val="none" w:sz="0" w:space="0" w:color="auto"/>
                <w:right w:val="none" w:sz="0" w:space="0" w:color="auto"/>
              </w:divBdr>
            </w:div>
            <w:div w:id="750081061">
              <w:marLeft w:val="0"/>
              <w:marRight w:val="0"/>
              <w:marTop w:val="0"/>
              <w:marBottom w:val="0"/>
              <w:divBdr>
                <w:top w:val="none" w:sz="0" w:space="0" w:color="auto"/>
                <w:left w:val="none" w:sz="0" w:space="0" w:color="auto"/>
                <w:bottom w:val="none" w:sz="0" w:space="0" w:color="auto"/>
                <w:right w:val="none" w:sz="0" w:space="0" w:color="auto"/>
              </w:divBdr>
            </w:div>
            <w:div w:id="772822042">
              <w:marLeft w:val="0"/>
              <w:marRight w:val="0"/>
              <w:marTop w:val="0"/>
              <w:marBottom w:val="0"/>
              <w:divBdr>
                <w:top w:val="none" w:sz="0" w:space="0" w:color="auto"/>
                <w:left w:val="none" w:sz="0" w:space="0" w:color="auto"/>
                <w:bottom w:val="none" w:sz="0" w:space="0" w:color="auto"/>
                <w:right w:val="none" w:sz="0" w:space="0" w:color="auto"/>
              </w:divBdr>
            </w:div>
            <w:div w:id="777798789">
              <w:marLeft w:val="0"/>
              <w:marRight w:val="0"/>
              <w:marTop w:val="0"/>
              <w:marBottom w:val="0"/>
              <w:divBdr>
                <w:top w:val="none" w:sz="0" w:space="0" w:color="auto"/>
                <w:left w:val="none" w:sz="0" w:space="0" w:color="auto"/>
                <w:bottom w:val="none" w:sz="0" w:space="0" w:color="auto"/>
                <w:right w:val="none" w:sz="0" w:space="0" w:color="auto"/>
              </w:divBdr>
            </w:div>
            <w:div w:id="779253338">
              <w:marLeft w:val="0"/>
              <w:marRight w:val="0"/>
              <w:marTop w:val="0"/>
              <w:marBottom w:val="0"/>
              <w:divBdr>
                <w:top w:val="none" w:sz="0" w:space="0" w:color="auto"/>
                <w:left w:val="none" w:sz="0" w:space="0" w:color="auto"/>
                <w:bottom w:val="none" w:sz="0" w:space="0" w:color="auto"/>
                <w:right w:val="none" w:sz="0" w:space="0" w:color="auto"/>
              </w:divBdr>
            </w:div>
            <w:div w:id="783887993">
              <w:marLeft w:val="0"/>
              <w:marRight w:val="0"/>
              <w:marTop w:val="0"/>
              <w:marBottom w:val="0"/>
              <w:divBdr>
                <w:top w:val="none" w:sz="0" w:space="0" w:color="auto"/>
                <w:left w:val="none" w:sz="0" w:space="0" w:color="auto"/>
                <w:bottom w:val="none" w:sz="0" w:space="0" w:color="auto"/>
                <w:right w:val="none" w:sz="0" w:space="0" w:color="auto"/>
              </w:divBdr>
            </w:div>
            <w:div w:id="787436437">
              <w:marLeft w:val="0"/>
              <w:marRight w:val="0"/>
              <w:marTop w:val="0"/>
              <w:marBottom w:val="0"/>
              <w:divBdr>
                <w:top w:val="none" w:sz="0" w:space="0" w:color="auto"/>
                <w:left w:val="none" w:sz="0" w:space="0" w:color="auto"/>
                <w:bottom w:val="none" w:sz="0" w:space="0" w:color="auto"/>
                <w:right w:val="none" w:sz="0" w:space="0" w:color="auto"/>
              </w:divBdr>
            </w:div>
            <w:div w:id="788931219">
              <w:marLeft w:val="0"/>
              <w:marRight w:val="0"/>
              <w:marTop w:val="0"/>
              <w:marBottom w:val="0"/>
              <w:divBdr>
                <w:top w:val="none" w:sz="0" w:space="0" w:color="auto"/>
                <w:left w:val="none" w:sz="0" w:space="0" w:color="auto"/>
                <w:bottom w:val="none" w:sz="0" w:space="0" w:color="auto"/>
                <w:right w:val="none" w:sz="0" w:space="0" w:color="auto"/>
              </w:divBdr>
            </w:div>
            <w:div w:id="803930125">
              <w:marLeft w:val="0"/>
              <w:marRight w:val="0"/>
              <w:marTop w:val="0"/>
              <w:marBottom w:val="0"/>
              <w:divBdr>
                <w:top w:val="none" w:sz="0" w:space="0" w:color="auto"/>
                <w:left w:val="none" w:sz="0" w:space="0" w:color="auto"/>
                <w:bottom w:val="none" w:sz="0" w:space="0" w:color="auto"/>
                <w:right w:val="none" w:sz="0" w:space="0" w:color="auto"/>
              </w:divBdr>
            </w:div>
            <w:div w:id="809513312">
              <w:marLeft w:val="0"/>
              <w:marRight w:val="0"/>
              <w:marTop w:val="0"/>
              <w:marBottom w:val="0"/>
              <w:divBdr>
                <w:top w:val="none" w:sz="0" w:space="0" w:color="auto"/>
                <w:left w:val="none" w:sz="0" w:space="0" w:color="auto"/>
                <w:bottom w:val="none" w:sz="0" w:space="0" w:color="auto"/>
                <w:right w:val="none" w:sz="0" w:space="0" w:color="auto"/>
              </w:divBdr>
            </w:div>
            <w:div w:id="813256344">
              <w:marLeft w:val="0"/>
              <w:marRight w:val="0"/>
              <w:marTop w:val="0"/>
              <w:marBottom w:val="0"/>
              <w:divBdr>
                <w:top w:val="none" w:sz="0" w:space="0" w:color="auto"/>
                <w:left w:val="none" w:sz="0" w:space="0" w:color="auto"/>
                <w:bottom w:val="none" w:sz="0" w:space="0" w:color="auto"/>
                <w:right w:val="none" w:sz="0" w:space="0" w:color="auto"/>
              </w:divBdr>
            </w:div>
            <w:div w:id="831599634">
              <w:marLeft w:val="0"/>
              <w:marRight w:val="0"/>
              <w:marTop w:val="0"/>
              <w:marBottom w:val="0"/>
              <w:divBdr>
                <w:top w:val="none" w:sz="0" w:space="0" w:color="auto"/>
                <w:left w:val="none" w:sz="0" w:space="0" w:color="auto"/>
                <w:bottom w:val="none" w:sz="0" w:space="0" w:color="auto"/>
                <w:right w:val="none" w:sz="0" w:space="0" w:color="auto"/>
              </w:divBdr>
            </w:div>
            <w:div w:id="842013346">
              <w:marLeft w:val="0"/>
              <w:marRight w:val="0"/>
              <w:marTop w:val="0"/>
              <w:marBottom w:val="0"/>
              <w:divBdr>
                <w:top w:val="none" w:sz="0" w:space="0" w:color="auto"/>
                <w:left w:val="none" w:sz="0" w:space="0" w:color="auto"/>
                <w:bottom w:val="none" w:sz="0" w:space="0" w:color="auto"/>
                <w:right w:val="none" w:sz="0" w:space="0" w:color="auto"/>
              </w:divBdr>
            </w:div>
            <w:div w:id="842164926">
              <w:marLeft w:val="0"/>
              <w:marRight w:val="0"/>
              <w:marTop w:val="0"/>
              <w:marBottom w:val="0"/>
              <w:divBdr>
                <w:top w:val="none" w:sz="0" w:space="0" w:color="auto"/>
                <w:left w:val="none" w:sz="0" w:space="0" w:color="auto"/>
                <w:bottom w:val="none" w:sz="0" w:space="0" w:color="auto"/>
                <w:right w:val="none" w:sz="0" w:space="0" w:color="auto"/>
              </w:divBdr>
            </w:div>
            <w:div w:id="847906158">
              <w:marLeft w:val="0"/>
              <w:marRight w:val="0"/>
              <w:marTop w:val="0"/>
              <w:marBottom w:val="0"/>
              <w:divBdr>
                <w:top w:val="none" w:sz="0" w:space="0" w:color="auto"/>
                <w:left w:val="none" w:sz="0" w:space="0" w:color="auto"/>
                <w:bottom w:val="none" w:sz="0" w:space="0" w:color="auto"/>
                <w:right w:val="none" w:sz="0" w:space="0" w:color="auto"/>
              </w:divBdr>
            </w:div>
            <w:div w:id="856970352">
              <w:marLeft w:val="0"/>
              <w:marRight w:val="0"/>
              <w:marTop w:val="0"/>
              <w:marBottom w:val="0"/>
              <w:divBdr>
                <w:top w:val="none" w:sz="0" w:space="0" w:color="auto"/>
                <w:left w:val="none" w:sz="0" w:space="0" w:color="auto"/>
                <w:bottom w:val="none" w:sz="0" w:space="0" w:color="auto"/>
                <w:right w:val="none" w:sz="0" w:space="0" w:color="auto"/>
              </w:divBdr>
            </w:div>
            <w:div w:id="857742195">
              <w:marLeft w:val="0"/>
              <w:marRight w:val="0"/>
              <w:marTop w:val="0"/>
              <w:marBottom w:val="0"/>
              <w:divBdr>
                <w:top w:val="none" w:sz="0" w:space="0" w:color="auto"/>
                <w:left w:val="none" w:sz="0" w:space="0" w:color="auto"/>
                <w:bottom w:val="none" w:sz="0" w:space="0" w:color="auto"/>
                <w:right w:val="none" w:sz="0" w:space="0" w:color="auto"/>
              </w:divBdr>
            </w:div>
            <w:div w:id="859508939">
              <w:marLeft w:val="0"/>
              <w:marRight w:val="0"/>
              <w:marTop w:val="0"/>
              <w:marBottom w:val="0"/>
              <w:divBdr>
                <w:top w:val="none" w:sz="0" w:space="0" w:color="auto"/>
                <w:left w:val="none" w:sz="0" w:space="0" w:color="auto"/>
                <w:bottom w:val="none" w:sz="0" w:space="0" w:color="auto"/>
                <w:right w:val="none" w:sz="0" w:space="0" w:color="auto"/>
              </w:divBdr>
            </w:div>
            <w:div w:id="859509746">
              <w:marLeft w:val="0"/>
              <w:marRight w:val="0"/>
              <w:marTop w:val="0"/>
              <w:marBottom w:val="0"/>
              <w:divBdr>
                <w:top w:val="none" w:sz="0" w:space="0" w:color="auto"/>
                <w:left w:val="none" w:sz="0" w:space="0" w:color="auto"/>
                <w:bottom w:val="none" w:sz="0" w:space="0" w:color="auto"/>
                <w:right w:val="none" w:sz="0" w:space="0" w:color="auto"/>
              </w:divBdr>
            </w:div>
            <w:div w:id="870726000">
              <w:marLeft w:val="0"/>
              <w:marRight w:val="0"/>
              <w:marTop w:val="0"/>
              <w:marBottom w:val="0"/>
              <w:divBdr>
                <w:top w:val="none" w:sz="0" w:space="0" w:color="auto"/>
                <w:left w:val="none" w:sz="0" w:space="0" w:color="auto"/>
                <w:bottom w:val="none" w:sz="0" w:space="0" w:color="auto"/>
                <w:right w:val="none" w:sz="0" w:space="0" w:color="auto"/>
              </w:divBdr>
            </w:div>
            <w:div w:id="872618361">
              <w:marLeft w:val="0"/>
              <w:marRight w:val="0"/>
              <w:marTop w:val="0"/>
              <w:marBottom w:val="0"/>
              <w:divBdr>
                <w:top w:val="none" w:sz="0" w:space="0" w:color="auto"/>
                <w:left w:val="none" w:sz="0" w:space="0" w:color="auto"/>
                <w:bottom w:val="none" w:sz="0" w:space="0" w:color="auto"/>
                <w:right w:val="none" w:sz="0" w:space="0" w:color="auto"/>
              </w:divBdr>
            </w:div>
            <w:div w:id="879125662">
              <w:marLeft w:val="0"/>
              <w:marRight w:val="0"/>
              <w:marTop w:val="0"/>
              <w:marBottom w:val="0"/>
              <w:divBdr>
                <w:top w:val="none" w:sz="0" w:space="0" w:color="auto"/>
                <w:left w:val="none" w:sz="0" w:space="0" w:color="auto"/>
                <w:bottom w:val="none" w:sz="0" w:space="0" w:color="auto"/>
                <w:right w:val="none" w:sz="0" w:space="0" w:color="auto"/>
              </w:divBdr>
            </w:div>
            <w:div w:id="891892706">
              <w:marLeft w:val="0"/>
              <w:marRight w:val="0"/>
              <w:marTop w:val="0"/>
              <w:marBottom w:val="0"/>
              <w:divBdr>
                <w:top w:val="none" w:sz="0" w:space="0" w:color="auto"/>
                <w:left w:val="none" w:sz="0" w:space="0" w:color="auto"/>
                <w:bottom w:val="none" w:sz="0" w:space="0" w:color="auto"/>
                <w:right w:val="none" w:sz="0" w:space="0" w:color="auto"/>
              </w:divBdr>
            </w:div>
            <w:div w:id="892237174">
              <w:marLeft w:val="0"/>
              <w:marRight w:val="0"/>
              <w:marTop w:val="0"/>
              <w:marBottom w:val="0"/>
              <w:divBdr>
                <w:top w:val="none" w:sz="0" w:space="0" w:color="auto"/>
                <w:left w:val="none" w:sz="0" w:space="0" w:color="auto"/>
                <w:bottom w:val="none" w:sz="0" w:space="0" w:color="auto"/>
                <w:right w:val="none" w:sz="0" w:space="0" w:color="auto"/>
              </w:divBdr>
            </w:div>
            <w:div w:id="893740425">
              <w:marLeft w:val="0"/>
              <w:marRight w:val="0"/>
              <w:marTop w:val="0"/>
              <w:marBottom w:val="0"/>
              <w:divBdr>
                <w:top w:val="none" w:sz="0" w:space="0" w:color="auto"/>
                <w:left w:val="none" w:sz="0" w:space="0" w:color="auto"/>
                <w:bottom w:val="none" w:sz="0" w:space="0" w:color="auto"/>
                <w:right w:val="none" w:sz="0" w:space="0" w:color="auto"/>
              </w:divBdr>
            </w:div>
            <w:div w:id="908417940">
              <w:marLeft w:val="0"/>
              <w:marRight w:val="0"/>
              <w:marTop w:val="0"/>
              <w:marBottom w:val="0"/>
              <w:divBdr>
                <w:top w:val="none" w:sz="0" w:space="0" w:color="auto"/>
                <w:left w:val="none" w:sz="0" w:space="0" w:color="auto"/>
                <w:bottom w:val="none" w:sz="0" w:space="0" w:color="auto"/>
                <w:right w:val="none" w:sz="0" w:space="0" w:color="auto"/>
              </w:divBdr>
            </w:div>
            <w:div w:id="914365400">
              <w:marLeft w:val="0"/>
              <w:marRight w:val="0"/>
              <w:marTop w:val="0"/>
              <w:marBottom w:val="0"/>
              <w:divBdr>
                <w:top w:val="none" w:sz="0" w:space="0" w:color="auto"/>
                <w:left w:val="none" w:sz="0" w:space="0" w:color="auto"/>
                <w:bottom w:val="none" w:sz="0" w:space="0" w:color="auto"/>
                <w:right w:val="none" w:sz="0" w:space="0" w:color="auto"/>
              </w:divBdr>
            </w:div>
            <w:div w:id="931282688">
              <w:marLeft w:val="0"/>
              <w:marRight w:val="0"/>
              <w:marTop w:val="0"/>
              <w:marBottom w:val="0"/>
              <w:divBdr>
                <w:top w:val="none" w:sz="0" w:space="0" w:color="auto"/>
                <w:left w:val="none" w:sz="0" w:space="0" w:color="auto"/>
                <w:bottom w:val="none" w:sz="0" w:space="0" w:color="auto"/>
                <w:right w:val="none" w:sz="0" w:space="0" w:color="auto"/>
              </w:divBdr>
            </w:div>
            <w:div w:id="932007677">
              <w:marLeft w:val="0"/>
              <w:marRight w:val="0"/>
              <w:marTop w:val="0"/>
              <w:marBottom w:val="0"/>
              <w:divBdr>
                <w:top w:val="none" w:sz="0" w:space="0" w:color="auto"/>
                <w:left w:val="none" w:sz="0" w:space="0" w:color="auto"/>
                <w:bottom w:val="none" w:sz="0" w:space="0" w:color="auto"/>
                <w:right w:val="none" w:sz="0" w:space="0" w:color="auto"/>
              </w:divBdr>
            </w:div>
            <w:div w:id="932855952">
              <w:marLeft w:val="0"/>
              <w:marRight w:val="0"/>
              <w:marTop w:val="0"/>
              <w:marBottom w:val="0"/>
              <w:divBdr>
                <w:top w:val="none" w:sz="0" w:space="0" w:color="auto"/>
                <w:left w:val="none" w:sz="0" w:space="0" w:color="auto"/>
                <w:bottom w:val="none" w:sz="0" w:space="0" w:color="auto"/>
                <w:right w:val="none" w:sz="0" w:space="0" w:color="auto"/>
              </w:divBdr>
            </w:div>
            <w:div w:id="940339691">
              <w:marLeft w:val="0"/>
              <w:marRight w:val="0"/>
              <w:marTop w:val="0"/>
              <w:marBottom w:val="0"/>
              <w:divBdr>
                <w:top w:val="none" w:sz="0" w:space="0" w:color="auto"/>
                <w:left w:val="none" w:sz="0" w:space="0" w:color="auto"/>
                <w:bottom w:val="none" w:sz="0" w:space="0" w:color="auto"/>
                <w:right w:val="none" w:sz="0" w:space="0" w:color="auto"/>
              </w:divBdr>
            </w:div>
            <w:div w:id="943808701">
              <w:marLeft w:val="0"/>
              <w:marRight w:val="0"/>
              <w:marTop w:val="0"/>
              <w:marBottom w:val="0"/>
              <w:divBdr>
                <w:top w:val="none" w:sz="0" w:space="0" w:color="auto"/>
                <w:left w:val="none" w:sz="0" w:space="0" w:color="auto"/>
                <w:bottom w:val="none" w:sz="0" w:space="0" w:color="auto"/>
                <w:right w:val="none" w:sz="0" w:space="0" w:color="auto"/>
              </w:divBdr>
            </w:div>
            <w:div w:id="976880951">
              <w:marLeft w:val="0"/>
              <w:marRight w:val="0"/>
              <w:marTop w:val="0"/>
              <w:marBottom w:val="0"/>
              <w:divBdr>
                <w:top w:val="none" w:sz="0" w:space="0" w:color="auto"/>
                <w:left w:val="none" w:sz="0" w:space="0" w:color="auto"/>
                <w:bottom w:val="none" w:sz="0" w:space="0" w:color="auto"/>
                <w:right w:val="none" w:sz="0" w:space="0" w:color="auto"/>
              </w:divBdr>
            </w:div>
            <w:div w:id="977495860">
              <w:marLeft w:val="0"/>
              <w:marRight w:val="0"/>
              <w:marTop w:val="0"/>
              <w:marBottom w:val="0"/>
              <w:divBdr>
                <w:top w:val="none" w:sz="0" w:space="0" w:color="auto"/>
                <w:left w:val="none" w:sz="0" w:space="0" w:color="auto"/>
                <w:bottom w:val="none" w:sz="0" w:space="0" w:color="auto"/>
                <w:right w:val="none" w:sz="0" w:space="0" w:color="auto"/>
              </w:divBdr>
            </w:div>
            <w:div w:id="978148338">
              <w:marLeft w:val="0"/>
              <w:marRight w:val="0"/>
              <w:marTop w:val="0"/>
              <w:marBottom w:val="0"/>
              <w:divBdr>
                <w:top w:val="none" w:sz="0" w:space="0" w:color="auto"/>
                <w:left w:val="none" w:sz="0" w:space="0" w:color="auto"/>
                <w:bottom w:val="none" w:sz="0" w:space="0" w:color="auto"/>
                <w:right w:val="none" w:sz="0" w:space="0" w:color="auto"/>
              </w:divBdr>
            </w:div>
            <w:div w:id="982395196">
              <w:marLeft w:val="0"/>
              <w:marRight w:val="0"/>
              <w:marTop w:val="0"/>
              <w:marBottom w:val="0"/>
              <w:divBdr>
                <w:top w:val="none" w:sz="0" w:space="0" w:color="auto"/>
                <w:left w:val="none" w:sz="0" w:space="0" w:color="auto"/>
                <w:bottom w:val="none" w:sz="0" w:space="0" w:color="auto"/>
                <w:right w:val="none" w:sz="0" w:space="0" w:color="auto"/>
              </w:divBdr>
            </w:div>
            <w:div w:id="989752074">
              <w:marLeft w:val="0"/>
              <w:marRight w:val="0"/>
              <w:marTop w:val="0"/>
              <w:marBottom w:val="0"/>
              <w:divBdr>
                <w:top w:val="none" w:sz="0" w:space="0" w:color="auto"/>
                <w:left w:val="none" w:sz="0" w:space="0" w:color="auto"/>
                <w:bottom w:val="none" w:sz="0" w:space="0" w:color="auto"/>
                <w:right w:val="none" w:sz="0" w:space="0" w:color="auto"/>
              </w:divBdr>
            </w:div>
            <w:div w:id="990400282">
              <w:marLeft w:val="0"/>
              <w:marRight w:val="0"/>
              <w:marTop w:val="0"/>
              <w:marBottom w:val="0"/>
              <w:divBdr>
                <w:top w:val="none" w:sz="0" w:space="0" w:color="auto"/>
                <w:left w:val="none" w:sz="0" w:space="0" w:color="auto"/>
                <w:bottom w:val="none" w:sz="0" w:space="0" w:color="auto"/>
                <w:right w:val="none" w:sz="0" w:space="0" w:color="auto"/>
              </w:divBdr>
            </w:div>
            <w:div w:id="992686655">
              <w:marLeft w:val="0"/>
              <w:marRight w:val="0"/>
              <w:marTop w:val="0"/>
              <w:marBottom w:val="0"/>
              <w:divBdr>
                <w:top w:val="none" w:sz="0" w:space="0" w:color="auto"/>
                <w:left w:val="none" w:sz="0" w:space="0" w:color="auto"/>
                <w:bottom w:val="none" w:sz="0" w:space="0" w:color="auto"/>
                <w:right w:val="none" w:sz="0" w:space="0" w:color="auto"/>
              </w:divBdr>
            </w:div>
            <w:div w:id="996348269">
              <w:marLeft w:val="0"/>
              <w:marRight w:val="0"/>
              <w:marTop w:val="0"/>
              <w:marBottom w:val="0"/>
              <w:divBdr>
                <w:top w:val="none" w:sz="0" w:space="0" w:color="auto"/>
                <w:left w:val="none" w:sz="0" w:space="0" w:color="auto"/>
                <w:bottom w:val="none" w:sz="0" w:space="0" w:color="auto"/>
                <w:right w:val="none" w:sz="0" w:space="0" w:color="auto"/>
              </w:divBdr>
            </w:div>
            <w:div w:id="999842885">
              <w:marLeft w:val="0"/>
              <w:marRight w:val="0"/>
              <w:marTop w:val="0"/>
              <w:marBottom w:val="0"/>
              <w:divBdr>
                <w:top w:val="none" w:sz="0" w:space="0" w:color="auto"/>
                <w:left w:val="none" w:sz="0" w:space="0" w:color="auto"/>
                <w:bottom w:val="none" w:sz="0" w:space="0" w:color="auto"/>
                <w:right w:val="none" w:sz="0" w:space="0" w:color="auto"/>
              </w:divBdr>
            </w:div>
            <w:div w:id="1002053259">
              <w:marLeft w:val="0"/>
              <w:marRight w:val="0"/>
              <w:marTop w:val="0"/>
              <w:marBottom w:val="0"/>
              <w:divBdr>
                <w:top w:val="none" w:sz="0" w:space="0" w:color="auto"/>
                <w:left w:val="none" w:sz="0" w:space="0" w:color="auto"/>
                <w:bottom w:val="none" w:sz="0" w:space="0" w:color="auto"/>
                <w:right w:val="none" w:sz="0" w:space="0" w:color="auto"/>
              </w:divBdr>
            </w:div>
            <w:div w:id="1014304241">
              <w:marLeft w:val="0"/>
              <w:marRight w:val="0"/>
              <w:marTop w:val="0"/>
              <w:marBottom w:val="0"/>
              <w:divBdr>
                <w:top w:val="none" w:sz="0" w:space="0" w:color="auto"/>
                <w:left w:val="none" w:sz="0" w:space="0" w:color="auto"/>
                <w:bottom w:val="none" w:sz="0" w:space="0" w:color="auto"/>
                <w:right w:val="none" w:sz="0" w:space="0" w:color="auto"/>
              </w:divBdr>
            </w:div>
            <w:div w:id="1017464898">
              <w:marLeft w:val="0"/>
              <w:marRight w:val="0"/>
              <w:marTop w:val="0"/>
              <w:marBottom w:val="0"/>
              <w:divBdr>
                <w:top w:val="none" w:sz="0" w:space="0" w:color="auto"/>
                <w:left w:val="none" w:sz="0" w:space="0" w:color="auto"/>
                <w:bottom w:val="none" w:sz="0" w:space="0" w:color="auto"/>
                <w:right w:val="none" w:sz="0" w:space="0" w:color="auto"/>
              </w:divBdr>
            </w:div>
            <w:div w:id="1017579278">
              <w:marLeft w:val="0"/>
              <w:marRight w:val="0"/>
              <w:marTop w:val="0"/>
              <w:marBottom w:val="0"/>
              <w:divBdr>
                <w:top w:val="none" w:sz="0" w:space="0" w:color="auto"/>
                <w:left w:val="none" w:sz="0" w:space="0" w:color="auto"/>
                <w:bottom w:val="none" w:sz="0" w:space="0" w:color="auto"/>
                <w:right w:val="none" w:sz="0" w:space="0" w:color="auto"/>
              </w:divBdr>
            </w:div>
            <w:div w:id="1030492283">
              <w:marLeft w:val="0"/>
              <w:marRight w:val="0"/>
              <w:marTop w:val="0"/>
              <w:marBottom w:val="0"/>
              <w:divBdr>
                <w:top w:val="none" w:sz="0" w:space="0" w:color="auto"/>
                <w:left w:val="none" w:sz="0" w:space="0" w:color="auto"/>
                <w:bottom w:val="none" w:sz="0" w:space="0" w:color="auto"/>
                <w:right w:val="none" w:sz="0" w:space="0" w:color="auto"/>
              </w:divBdr>
            </w:div>
            <w:div w:id="1031612299">
              <w:marLeft w:val="0"/>
              <w:marRight w:val="0"/>
              <w:marTop w:val="0"/>
              <w:marBottom w:val="0"/>
              <w:divBdr>
                <w:top w:val="none" w:sz="0" w:space="0" w:color="auto"/>
                <w:left w:val="none" w:sz="0" w:space="0" w:color="auto"/>
                <w:bottom w:val="none" w:sz="0" w:space="0" w:color="auto"/>
                <w:right w:val="none" w:sz="0" w:space="0" w:color="auto"/>
              </w:divBdr>
            </w:div>
            <w:div w:id="1045326858">
              <w:marLeft w:val="0"/>
              <w:marRight w:val="0"/>
              <w:marTop w:val="0"/>
              <w:marBottom w:val="0"/>
              <w:divBdr>
                <w:top w:val="none" w:sz="0" w:space="0" w:color="auto"/>
                <w:left w:val="none" w:sz="0" w:space="0" w:color="auto"/>
                <w:bottom w:val="none" w:sz="0" w:space="0" w:color="auto"/>
                <w:right w:val="none" w:sz="0" w:space="0" w:color="auto"/>
              </w:divBdr>
            </w:div>
            <w:div w:id="1048992359">
              <w:marLeft w:val="0"/>
              <w:marRight w:val="0"/>
              <w:marTop w:val="0"/>
              <w:marBottom w:val="0"/>
              <w:divBdr>
                <w:top w:val="none" w:sz="0" w:space="0" w:color="auto"/>
                <w:left w:val="none" w:sz="0" w:space="0" w:color="auto"/>
                <w:bottom w:val="none" w:sz="0" w:space="0" w:color="auto"/>
                <w:right w:val="none" w:sz="0" w:space="0" w:color="auto"/>
              </w:divBdr>
            </w:div>
            <w:div w:id="1067844681">
              <w:marLeft w:val="0"/>
              <w:marRight w:val="0"/>
              <w:marTop w:val="0"/>
              <w:marBottom w:val="0"/>
              <w:divBdr>
                <w:top w:val="none" w:sz="0" w:space="0" w:color="auto"/>
                <w:left w:val="none" w:sz="0" w:space="0" w:color="auto"/>
                <w:bottom w:val="none" w:sz="0" w:space="0" w:color="auto"/>
                <w:right w:val="none" w:sz="0" w:space="0" w:color="auto"/>
              </w:divBdr>
            </w:div>
            <w:div w:id="1069768572">
              <w:marLeft w:val="0"/>
              <w:marRight w:val="0"/>
              <w:marTop w:val="0"/>
              <w:marBottom w:val="0"/>
              <w:divBdr>
                <w:top w:val="none" w:sz="0" w:space="0" w:color="auto"/>
                <w:left w:val="none" w:sz="0" w:space="0" w:color="auto"/>
                <w:bottom w:val="none" w:sz="0" w:space="0" w:color="auto"/>
                <w:right w:val="none" w:sz="0" w:space="0" w:color="auto"/>
              </w:divBdr>
            </w:div>
            <w:div w:id="1080101843">
              <w:marLeft w:val="0"/>
              <w:marRight w:val="0"/>
              <w:marTop w:val="0"/>
              <w:marBottom w:val="0"/>
              <w:divBdr>
                <w:top w:val="none" w:sz="0" w:space="0" w:color="auto"/>
                <w:left w:val="none" w:sz="0" w:space="0" w:color="auto"/>
                <w:bottom w:val="none" w:sz="0" w:space="0" w:color="auto"/>
                <w:right w:val="none" w:sz="0" w:space="0" w:color="auto"/>
              </w:divBdr>
            </w:div>
            <w:div w:id="1081876001">
              <w:marLeft w:val="0"/>
              <w:marRight w:val="0"/>
              <w:marTop w:val="0"/>
              <w:marBottom w:val="0"/>
              <w:divBdr>
                <w:top w:val="none" w:sz="0" w:space="0" w:color="auto"/>
                <w:left w:val="none" w:sz="0" w:space="0" w:color="auto"/>
                <w:bottom w:val="none" w:sz="0" w:space="0" w:color="auto"/>
                <w:right w:val="none" w:sz="0" w:space="0" w:color="auto"/>
              </w:divBdr>
            </w:div>
            <w:div w:id="1085152408">
              <w:marLeft w:val="0"/>
              <w:marRight w:val="0"/>
              <w:marTop w:val="0"/>
              <w:marBottom w:val="0"/>
              <w:divBdr>
                <w:top w:val="none" w:sz="0" w:space="0" w:color="auto"/>
                <w:left w:val="none" w:sz="0" w:space="0" w:color="auto"/>
                <w:bottom w:val="none" w:sz="0" w:space="0" w:color="auto"/>
                <w:right w:val="none" w:sz="0" w:space="0" w:color="auto"/>
              </w:divBdr>
            </w:div>
            <w:div w:id="1087726445">
              <w:marLeft w:val="0"/>
              <w:marRight w:val="0"/>
              <w:marTop w:val="0"/>
              <w:marBottom w:val="0"/>
              <w:divBdr>
                <w:top w:val="none" w:sz="0" w:space="0" w:color="auto"/>
                <w:left w:val="none" w:sz="0" w:space="0" w:color="auto"/>
                <w:bottom w:val="none" w:sz="0" w:space="0" w:color="auto"/>
                <w:right w:val="none" w:sz="0" w:space="0" w:color="auto"/>
              </w:divBdr>
            </w:div>
            <w:div w:id="1090782577">
              <w:marLeft w:val="0"/>
              <w:marRight w:val="0"/>
              <w:marTop w:val="0"/>
              <w:marBottom w:val="0"/>
              <w:divBdr>
                <w:top w:val="none" w:sz="0" w:space="0" w:color="auto"/>
                <w:left w:val="none" w:sz="0" w:space="0" w:color="auto"/>
                <w:bottom w:val="none" w:sz="0" w:space="0" w:color="auto"/>
                <w:right w:val="none" w:sz="0" w:space="0" w:color="auto"/>
              </w:divBdr>
            </w:div>
            <w:div w:id="1096175497">
              <w:marLeft w:val="0"/>
              <w:marRight w:val="0"/>
              <w:marTop w:val="0"/>
              <w:marBottom w:val="0"/>
              <w:divBdr>
                <w:top w:val="none" w:sz="0" w:space="0" w:color="auto"/>
                <w:left w:val="none" w:sz="0" w:space="0" w:color="auto"/>
                <w:bottom w:val="none" w:sz="0" w:space="0" w:color="auto"/>
                <w:right w:val="none" w:sz="0" w:space="0" w:color="auto"/>
              </w:divBdr>
            </w:div>
            <w:div w:id="1101872141">
              <w:marLeft w:val="0"/>
              <w:marRight w:val="0"/>
              <w:marTop w:val="0"/>
              <w:marBottom w:val="0"/>
              <w:divBdr>
                <w:top w:val="none" w:sz="0" w:space="0" w:color="auto"/>
                <w:left w:val="none" w:sz="0" w:space="0" w:color="auto"/>
                <w:bottom w:val="none" w:sz="0" w:space="0" w:color="auto"/>
                <w:right w:val="none" w:sz="0" w:space="0" w:color="auto"/>
              </w:divBdr>
            </w:div>
            <w:div w:id="1101872485">
              <w:marLeft w:val="0"/>
              <w:marRight w:val="0"/>
              <w:marTop w:val="0"/>
              <w:marBottom w:val="0"/>
              <w:divBdr>
                <w:top w:val="none" w:sz="0" w:space="0" w:color="auto"/>
                <w:left w:val="none" w:sz="0" w:space="0" w:color="auto"/>
                <w:bottom w:val="none" w:sz="0" w:space="0" w:color="auto"/>
                <w:right w:val="none" w:sz="0" w:space="0" w:color="auto"/>
              </w:divBdr>
            </w:div>
            <w:div w:id="1103695726">
              <w:marLeft w:val="0"/>
              <w:marRight w:val="0"/>
              <w:marTop w:val="0"/>
              <w:marBottom w:val="0"/>
              <w:divBdr>
                <w:top w:val="none" w:sz="0" w:space="0" w:color="auto"/>
                <w:left w:val="none" w:sz="0" w:space="0" w:color="auto"/>
                <w:bottom w:val="none" w:sz="0" w:space="0" w:color="auto"/>
                <w:right w:val="none" w:sz="0" w:space="0" w:color="auto"/>
              </w:divBdr>
            </w:div>
            <w:div w:id="1105923761">
              <w:marLeft w:val="0"/>
              <w:marRight w:val="0"/>
              <w:marTop w:val="0"/>
              <w:marBottom w:val="0"/>
              <w:divBdr>
                <w:top w:val="none" w:sz="0" w:space="0" w:color="auto"/>
                <w:left w:val="none" w:sz="0" w:space="0" w:color="auto"/>
                <w:bottom w:val="none" w:sz="0" w:space="0" w:color="auto"/>
                <w:right w:val="none" w:sz="0" w:space="0" w:color="auto"/>
              </w:divBdr>
            </w:div>
            <w:div w:id="1115294660">
              <w:marLeft w:val="0"/>
              <w:marRight w:val="0"/>
              <w:marTop w:val="0"/>
              <w:marBottom w:val="0"/>
              <w:divBdr>
                <w:top w:val="none" w:sz="0" w:space="0" w:color="auto"/>
                <w:left w:val="none" w:sz="0" w:space="0" w:color="auto"/>
                <w:bottom w:val="none" w:sz="0" w:space="0" w:color="auto"/>
                <w:right w:val="none" w:sz="0" w:space="0" w:color="auto"/>
              </w:divBdr>
            </w:div>
            <w:div w:id="1118915296">
              <w:marLeft w:val="0"/>
              <w:marRight w:val="0"/>
              <w:marTop w:val="0"/>
              <w:marBottom w:val="0"/>
              <w:divBdr>
                <w:top w:val="none" w:sz="0" w:space="0" w:color="auto"/>
                <w:left w:val="none" w:sz="0" w:space="0" w:color="auto"/>
                <w:bottom w:val="none" w:sz="0" w:space="0" w:color="auto"/>
                <w:right w:val="none" w:sz="0" w:space="0" w:color="auto"/>
              </w:divBdr>
            </w:div>
            <w:div w:id="1130586470">
              <w:marLeft w:val="0"/>
              <w:marRight w:val="0"/>
              <w:marTop w:val="0"/>
              <w:marBottom w:val="0"/>
              <w:divBdr>
                <w:top w:val="none" w:sz="0" w:space="0" w:color="auto"/>
                <w:left w:val="none" w:sz="0" w:space="0" w:color="auto"/>
                <w:bottom w:val="none" w:sz="0" w:space="0" w:color="auto"/>
                <w:right w:val="none" w:sz="0" w:space="0" w:color="auto"/>
              </w:divBdr>
            </w:div>
            <w:div w:id="1133138947">
              <w:marLeft w:val="0"/>
              <w:marRight w:val="0"/>
              <w:marTop w:val="0"/>
              <w:marBottom w:val="0"/>
              <w:divBdr>
                <w:top w:val="none" w:sz="0" w:space="0" w:color="auto"/>
                <w:left w:val="none" w:sz="0" w:space="0" w:color="auto"/>
                <w:bottom w:val="none" w:sz="0" w:space="0" w:color="auto"/>
                <w:right w:val="none" w:sz="0" w:space="0" w:color="auto"/>
              </w:divBdr>
            </w:div>
            <w:div w:id="1141921941">
              <w:marLeft w:val="0"/>
              <w:marRight w:val="0"/>
              <w:marTop w:val="0"/>
              <w:marBottom w:val="0"/>
              <w:divBdr>
                <w:top w:val="none" w:sz="0" w:space="0" w:color="auto"/>
                <w:left w:val="none" w:sz="0" w:space="0" w:color="auto"/>
                <w:bottom w:val="none" w:sz="0" w:space="0" w:color="auto"/>
                <w:right w:val="none" w:sz="0" w:space="0" w:color="auto"/>
              </w:divBdr>
            </w:div>
            <w:div w:id="1155223930">
              <w:marLeft w:val="0"/>
              <w:marRight w:val="0"/>
              <w:marTop w:val="0"/>
              <w:marBottom w:val="0"/>
              <w:divBdr>
                <w:top w:val="none" w:sz="0" w:space="0" w:color="auto"/>
                <w:left w:val="none" w:sz="0" w:space="0" w:color="auto"/>
                <w:bottom w:val="none" w:sz="0" w:space="0" w:color="auto"/>
                <w:right w:val="none" w:sz="0" w:space="0" w:color="auto"/>
              </w:divBdr>
            </w:div>
            <w:div w:id="1166827821">
              <w:marLeft w:val="0"/>
              <w:marRight w:val="0"/>
              <w:marTop w:val="0"/>
              <w:marBottom w:val="0"/>
              <w:divBdr>
                <w:top w:val="none" w:sz="0" w:space="0" w:color="auto"/>
                <w:left w:val="none" w:sz="0" w:space="0" w:color="auto"/>
                <w:bottom w:val="none" w:sz="0" w:space="0" w:color="auto"/>
                <w:right w:val="none" w:sz="0" w:space="0" w:color="auto"/>
              </w:divBdr>
            </w:div>
            <w:div w:id="1169367524">
              <w:marLeft w:val="0"/>
              <w:marRight w:val="0"/>
              <w:marTop w:val="0"/>
              <w:marBottom w:val="0"/>
              <w:divBdr>
                <w:top w:val="none" w:sz="0" w:space="0" w:color="auto"/>
                <w:left w:val="none" w:sz="0" w:space="0" w:color="auto"/>
                <w:bottom w:val="none" w:sz="0" w:space="0" w:color="auto"/>
                <w:right w:val="none" w:sz="0" w:space="0" w:color="auto"/>
              </w:divBdr>
            </w:div>
            <w:div w:id="1171212541">
              <w:marLeft w:val="0"/>
              <w:marRight w:val="0"/>
              <w:marTop w:val="0"/>
              <w:marBottom w:val="0"/>
              <w:divBdr>
                <w:top w:val="none" w:sz="0" w:space="0" w:color="auto"/>
                <w:left w:val="none" w:sz="0" w:space="0" w:color="auto"/>
                <w:bottom w:val="none" w:sz="0" w:space="0" w:color="auto"/>
                <w:right w:val="none" w:sz="0" w:space="0" w:color="auto"/>
              </w:divBdr>
            </w:div>
            <w:div w:id="1180119571">
              <w:marLeft w:val="0"/>
              <w:marRight w:val="0"/>
              <w:marTop w:val="0"/>
              <w:marBottom w:val="0"/>
              <w:divBdr>
                <w:top w:val="none" w:sz="0" w:space="0" w:color="auto"/>
                <w:left w:val="none" w:sz="0" w:space="0" w:color="auto"/>
                <w:bottom w:val="none" w:sz="0" w:space="0" w:color="auto"/>
                <w:right w:val="none" w:sz="0" w:space="0" w:color="auto"/>
              </w:divBdr>
            </w:div>
            <w:div w:id="1187672078">
              <w:marLeft w:val="0"/>
              <w:marRight w:val="0"/>
              <w:marTop w:val="0"/>
              <w:marBottom w:val="0"/>
              <w:divBdr>
                <w:top w:val="none" w:sz="0" w:space="0" w:color="auto"/>
                <w:left w:val="none" w:sz="0" w:space="0" w:color="auto"/>
                <w:bottom w:val="none" w:sz="0" w:space="0" w:color="auto"/>
                <w:right w:val="none" w:sz="0" w:space="0" w:color="auto"/>
              </w:divBdr>
            </w:div>
            <w:div w:id="1191647169">
              <w:marLeft w:val="0"/>
              <w:marRight w:val="0"/>
              <w:marTop w:val="0"/>
              <w:marBottom w:val="0"/>
              <w:divBdr>
                <w:top w:val="none" w:sz="0" w:space="0" w:color="auto"/>
                <w:left w:val="none" w:sz="0" w:space="0" w:color="auto"/>
                <w:bottom w:val="none" w:sz="0" w:space="0" w:color="auto"/>
                <w:right w:val="none" w:sz="0" w:space="0" w:color="auto"/>
              </w:divBdr>
            </w:div>
            <w:div w:id="1214149122">
              <w:marLeft w:val="0"/>
              <w:marRight w:val="0"/>
              <w:marTop w:val="0"/>
              <w:marBottom w:val="0"/>
              <w:divBdr>
                <w:top w:val="none" w:sz="0" w:space="0" w:color="auto"/>
                <w:left w:val="none" w:sz="0" w:space="0" w:color="auto"/>
                <w:bottom w:val="none" w:sz="0" w:space="0" w:color="auto"/>
                <w:right w:val="none" w:sz="0" w:space="0" w:color="auto"/>
              </w:divBdr>
            </w:div>
            <w:div w:id="1221937511">
              <w:marLeft w:val="0"/>
              <w:marRight w:val="0"/>
              <w:marTop w:val="0"/>
              <w:marBottom w:val="0"/>
              <w:divBdr>
                <w:top w:val="none" w:sz="0" w:space="0" w:color="auto"/>
                <w:left w:val="none" w:sz="0" w:space="0" w:color="auto"/>
                <w:bottom w:val="none" w:sz="0" w:space="0" w:color="auto"/>
                <w:right w:val="none" w:sz="0" w:space="0" w:color="auto"/>
              </w:divBdr>
            </w:div>
            <w:div w:id="1228955503">
              <w:marLeft w:val="0"/>
              <w:marRight w:val="0"/>
              <w:marTop w:val="0"/>
              <w:marBottom w:val="0"/>
              <w:divBdr>
                <w:top w:val="none" w:sz="0" w:space="0" w:color="auto"/>
                <w:left w:val="none" w:sz="0" w:space="0" w:color="auto"/>
                <w:bottom w:val="none" w:sz="0" w:space="0" w:color="auto"/>
                <w:right w:val="none" w:sz="0" w:space="0" w:color="auto"/>
              </w:divBdr>
            </w:div>
            <w:div w:id="1229027429">
              <w:marLeft w:val="0"/>
              <w:marRight w:val="0"/>
              <w:marTop w:val="0"/>
              <w:marBottom w:val="0"/>
              <w:divBdr>
                <w:top w:val="none" w:sz="0" w:space="0" w:color="auto"/>
                <w:left w:val="none" w:sz="0" w:space="0" w:color="auto"/>
                <w:bottom w:val="none" w:sz="0" w:space="0" w:color="auto"/>
                <w:right w:val="none" w:sz="0" w:space="0" w:color="auto"/>
              </w:divBdr>
            </w:div>
            <w:div w:id="1230844265">
              <w:marLeft w:val="0"/>
              <w:marRight w:val="0"/>
              <w:marTop w:val="0"/>
              <w:marBottom w:val="0"/>
              <w:divBdr>
                <w:top w:val="none" w:sz="0" w:space="0" w:color="auto"/>
                <w:left w:val="none" w:sz="0" w:space="0" w:color="auto"/>
                <w:bottom w:val="none" w:sz="0" w:space="0" w:color="auto"/>
                <w:right w:val="none" w:sz="0" w:space="0" w:color="auto"/>
              </w:divBdr>
            </w:div>
            <w:div w:id="1237205645">
              <w:marLeft w:val="0"/>
              <w:marRight w:val="0"/>
              <w:marTop w:val="0"/>
              <w:marBottom w:val="0"/>
              <w:divBdr>
                <w:top w:val="none" w:sz="0" w:space="0" w:color="auto"/>
                <w:left w:val="none" w:sz="0" w:space="0" w:color="auto"/>
                <w:bottom w:val="none" w:sz="0" w:space="0" w:color="auto"/>
                <w:right w:val="none" w:sz="0" w:space="0" w:color="auto"/>
              </w:divBdr>
            </w:div>
            <w:div w:id="1239291031">
              <w:marLeft w:val="0"/>
              <w:marRight w:val="0"/>
              <w:marTop w:val="0"/>
              <w:marBottom w:val="0"/>
              <w:divBdr>
                <w:top w:val="none" w:sz="0" w:space="0" w:color="auto"/>
                <w:left w:val="none" w:sz="0" w:space="0" w:color="auto"/>
                <w:bottom w:val="none" w:sz="0" w:space="0" w:color="auto"/>
                <w:right w:val="none" w:sz="0" w:space="0" w:color="auto"/>
              </w:divBdr>
            </w:div>
            <w:div w:id="1253316275">
              <w:marLeft w:val="0"/>
              <w:marRight w:val="0"/>
              <w:marTop w:val="0"/>
              <w:marBottom w:val="0"/>
              <w:divBdr>
                <w:top w:val="none" w:sz="0" w:space="0" w:color="auto"/>
                <w:left w:val="none" w:sz="0" w:space="0" w:color="auto"/>
                <w:bottom w:val="none" w:sz="0" w:space="0" w:color="auto"/>
                <w:right w:val="none" w:sz="0" w:space="0" w:color="auto"/>
              </w:divBdr>
            </w:div>
            <w:div w:id="1259288144">
              <w:marLeft w:val="0"/>
              <w:marRight w:val="0"/>
              <w:marTop w:val="0"/>
              <w:marBottom w:val="0"/>
              <w:divBdr>
                <w:top w:val="none" w:sz="0" w:space="0" w:color="auto"/>
                <w:left w:val="none" w:sz="0" w:space="0" w:color="auto"/>
                <w:bottom w:val="none" w:sz="0" w:space="0" w:color="auto"/>
                <w:right w:val="none" w:sz="0" w:space="0" w:color="auto"/>
              </w:divBdr>
            </w:div>
            <w:div w:id="1267346396">
              <w:marLeft w:val="0"/>
              <w:marRight w:val="0"/>
              <w:marTop w:val="0"/>
              <w:marBottom w:val="0"/>
              <w:divBdr>
                <w:top w:val="none" w:sz="0" w:space="0" w:color="auto"/>
                <w:left w:val="none" w:sz="0" w:space="0" w:color="auto"/>
                <w:bottom w:val="none" w:sz="0" w:space="0" w:color="auto"/>
                <w:right w:val="none" w:sz="0" w:space="0" w:color="auto"/>
              </w:divBdr>
            </w:div>
            <w:div w:id="1268007714">
              <w:marLeft w:val="0"/>
              <w:marRight w:val="0"/>
              <w:marTop w:val="0"/>
              <w:marBottom w:val="0"/>
              <w:divBdr>
                <w:top w:val="none" w:sz="0" w:space="0" w:color="auto"/>
                <w:left w:val="none" w:sz="0" w:space="0" w:color="auto"/>
                <w:bottom w:val="none" w:sz="0" w:space="0" w:color="auto"/>
                <w:right w:val="none" w:sz="0" w:space="0" w:color="auto"/>
              </w:divBdr>
            </w:div>
            <w:div w:id="1268195345">
              <w:marLeft w:val="0"/>
              <w:marRight w:val="0"/>
              <w:marTop w:val="0"/>
              <w:marBottom w:val="0"/>
              <w:divBdr>
                <w:top w:val="none" w:sz="0" w:space="0" w:color="auto"/>
                <w:left w:val="none" w:sz="0" w:space="0" w:color="auto"/>
                <w:bottom w:val="none" w:sz="0" w:space="0" w:color="auto"/>
                <w:right w:val="none" w:sz="0" w:space="0" w:color="auto"/>
              </w:divBdr>
            </w:div>
            <w:div w:id="1271401713">
              <w:marLeft w:val="0"/>
              <w:marRight w:val="0"/>
              <w:marTop w:val="0"/>
              <w:marBottom w:val="0"/>
              <w:divBdr>
                <w:top w:val="none" w:sz="0" w:space="0" w:color="auto"/>
                <w:left w:val="none" w:sz="0" w:space="0" w:color="auto"/>
                <w:bottom w:val="none" w:sz="0" w:space="0" w:color="auto"/>
                <w:right w:val="none" w:sz="0" w:space="0" w:color="auto"/>
              </w:divBdr>
            </w:div>
            <w:div w:id="1273778294">
              <w:marLeft w:val="0"/>
              <w:marRight w:val="0"/>
              <w:marTop w:val="0"/>
              <w:marBottom w:val="0"/>
              <w:divBdr>
                <w:top w:val="none" w:sz="0" w:space="0" w:color="auto"/>
                <w:left w:val="none" w:sz="0" w:space="0" w:color="auto"/>
                <w:bottom w:val="none" w:sz="0" w:space="0" w:color="auto"/>
                <w:right w:val="none" w:sz="0" w:space="0" w:color="auto"/>
              </w:divBdr>
            </w:div>
            <w:div w:id="1280063136">
              <w:marLeft w:val="0"/>
              <w:marRight w:val="0"/>
              <w:marTop w:val="0"/>
              <w:marBottom w:val="0"/>
              <w:divBdr>
                <w:top w:val="none" w:sz="0" w:space="0" w:color="auto"/>
                <w:left w:val="none" w:sz="0" w:space="0" w:color="auto"/>
                <w:bottom w:val="none" w:sz="0" w:space="0" w:color="auto"/>
                <w:right w:val="none" w:sz="0" w:space="0" w:color="auto"/>
              </w:divBdr>
            </w:div>
            <w:div w:id="1281843897">
              <w:marLeft w:val="0"/>
              <w:marRight w:val="0"/>
              <w:marTop w:val="0"/>
              <w:marBottom w:val="0"/>
              <w:divBdr>
                <w:top w:val="none" w:sz="0" w:space="0" w:color="auto"/>
                <w:left w:val="none" w:sz="0" w:space="0" w:color="auto"/>
                <w:bottom w:val="none" w:sz="0" w:space="0" w:color="auto"/>
                <w:right w:val="none" w:sz="0" w:space="0" w:color="auto"/>
              </w:divBdr>
            </w:div>
            <w:div w:id="1285238373">
              <w:marLeft w:val="0"/>
              <w:marRight w:val="0"/>
              <w:marTop w:val="0"/>
              <w:marBottom w:val="0"/>
              <w:divBdr>
                <w:top w:val="none" w:sz="0" w:space="0" w:color="auto"/>
                <w:left w:val="none" w:sz="0" w:space="0" w:color="auto"/>
                <w:bottom w:val="none" w:sz="0" w:space="0" w:color="auto"/>
                <w:right w:val="none" w:sz="0" w:space="0" w:color="auto"/>
              </w:divBdr>
            </w:div>
            <w:div w:id="1298561553">
              <w:marLeft w:val="0"/>
              <w:marRight w:val="0"/>
              <w:marTop w:val="0"/>
              <w:marBottom w:val="0"/>
              <w:divBdr>
                <w:top w:val="none" w:sz="0" w:space="0" w:color="auto"/>
                <w:left w:val="none" w:sz="0" w:space="0" w:color="auto"/>
                <w:bottom w:val="none" w:sz="0" w:space="0" w:color="auto"/>
                <w:right w:val="none" w:sz="0" w:space="0" w:color="auto"/>
              </w:divBdr>
            </w:div>
            <w:div w:id="1305502652">
              <w:marLeft w:val="0"/>
              <w:marRight w:val="0"/>
              <w:marTop w:val="0"/>
              <w:marBottom w:val="0"/>
              <w:divBdr>
                <w:top w:val="none" w:sz="0" w:space="0" w:color="auto"/>
                <w:left w:val="none" w:sz="0" w:space="0" w:color="auto"/>
                <w:bottom w:val="none" w:sz="0" w:space="0" w:color="auto"/>
                <w:right w:val="none" w:sz="0" w:space="0" w:color="auto"/>
              </w:divBdr>
            </w:div>
            <w:div w:id="1306659779">
              <w:marLeft w:val="0"/>
              <w:marRight w:val="0"/>
              <w:marTop w:val="0"/>
              <w:marBottom w:val="0"/>
              <w:divBdr>
                <w:top w:val="none" w:sz="0" w:space="0" w:color="auto"/>
                <w:left w:val="none" w:sz="0" w:space="0" w:color="auto"/>
                <w:bottom w:val="none" w:sz="0" w:space="0" w:color="auto"/>
                <w:right w:val="none" w:sz="0" w:space="0" w:color="auto"/>
              </w:divBdr>
            </w:div>
            <w:div w:id="1311444381">
              <w:marLeft w:val="0"/>
              <w:marRight w:val="0"/>
              <w:marTop w:val="0"/>
              <w:marBottom w:val="0"/>
              <w:divBdr>
                <w:top w:val="none" w:sz="0" w:space="0" w:color="auto"/>
                <w:left w:val="none" w:sz="0" w:space="0" w:color="auto"/>
                <w:bottom w:val="none" w:sz="0" w:space="0" w:color="auto"/>
                <w:right w:val="none" w:sz="0" w:space="0" w:color="auto"/>
              </w:divBdr>
            </w:div>
            <w:div w:id="1311985570">
              <w:marLeft w:val="0"/>
              <w:marRight w:val="0"/>
              <w:marTop w:val="0"/>
              <w:marBottom w:val="0"/>
              <w:divBdr>
                <w:top w:val="none" w:sz="0" w:space="0" w:color="auto"/>
                <w:left w:val="none" w:sz="0" w:space="0" w:color="auto"/>
                <w:bottom w:val="none" w:sz="0" w:space="0" w:color="auto"/>
                <w:right w:val="none" w:sz="0" w:space="0" w:color="auto"/>
              </w:divBdr>
            </w:div>
            <w:div w:id="1314218984">
              <w:marLeft w:val="0"/>
              <w:marRight w:val="0"/>
              <w:marTop w:val="0"/>
              <w:marBottom w:val="0"/>
              <w:divBdr>
                <w:top w:val="none" w:sz="0" w:space="0" w:color="auto"/>
                <w:left w:val="none" w:sz="0" w:space="0" w:color="auto"/>
                <w:bottom w:val="none" w:sz="0" w:space="0" w:color="auto"/>
                <w:right w:val="none" w:sz="0" w:space="0" w:color="auto"/>
              </w:divBdr>
            </w:div>
            <w:div w:id="1324627813">
              <w:marLeft w:val="0"/>
              <w:marRight w:val="0"/>
              <w:marTop w:val="0"/>
              <w:marBottom w:val="0"/>
              <w:divBdr>
                <w:top w:val="none" w:sz="0" w:space="0" w:color="auto"/>
                <w:left w:val="none" w:sz="0" w:space="0" w:color="auto"/>
                <w:bottom w:val="none" w:sz="0" w:space="0" w:color="auto"/>
                <w:right w:val="none" w:sz="0" w:space="0" w:color="auto"/>
              </w:divBdr>
            </w:div>
            <w:div w:id="1325281118">
              <w:marLeft w:val="0"/>
              <w:marRight w:val="0"/>
              <w:marTop w:val="0"/>
              <w:marBottom w:val="0"/>
              <w:divBdr>
                <w:top w:val="none" w:sz="0" w:space="0" w:color="auto"/>
                <w:left w:val="none" w:sz="0" w:space="0" w:color="auto"/>
                <w:bottom w:val="none" w:sz="0" w:space="0" w:color="auto"/>
                <w:right w:val="none" w:sz="0" w:space="0" w:color="auto"/>
              </w:divBdr>
            </w:div>
            <w:div w:id="1333147635">
              <w:marLeft w:val="0"/>
              <w:marRight w:val="0"/>
              <w:marTop w:val="0"/>
              <w:marBottom w:val="0"/>
              <w:divBdr>
                <w:top w:val="none" w:sz="0" w:space="0" w:color="auto"/>
                <w:left w:val="none" w:sz="0" w:space="0" w:color="auto"/>
                <w:bottom w:val="none" w:sz="0" w:space="0" w:color="auto"/>
                <w:right w:val="none" w:sz="0" w:space="0" w:color="auto"/>
              </w:divBdr>
            </w:div>
            <w:div w:id="1342125573">
              <w:marLeft w:val="0"/>
              <w:marRight w:val="0"/>
              <w:marTop w:val="0"/>
              <w:marBottom w:val="0"/>
              <w:divBdr>
                <w:top w:val="none" w:sz="0" w:space="0" w:color="auto"/>
                <w:left w:val="none" w:sz="0" w:space="0" w:color="auto"/>
                <w:bottom w:val="none" w:sz="0" w:space="0" w:color="auto"/>
                <w:right w:val="none" w:sz="0" w:space="0" w:color="auto"/>
              </w:divBdr>
            </w:div>
            <w:div w:id="1347437149">
              <w:marLeft w:val="0"/>
              <w:marRight w:val="0"/>
              <w:marTop w:val="0"/>
              <w:marBottom w:val="0"/>
              <w:divBdr>
                <w:top w:val="none" w:sz="0" w:space="0" w:color="auto"/>
                <w:left w:val="none" w:sz="0" w:space="0" w:color="auto"/>
                <w:bottom w:val="none" w:sz="0" w:space="0" w:color="auto"/>
                <w:right w:val="none" w:sz="0" w:space="0" w:color="auto"/>
              </w:divBdr>
            </w:div>
            <w:div w:id="1350326598">
              <w:marLeft w:val="0"/>
              <w:marRight w:val="0"/>
              <w:marTop w:val="0"/>
              <w:marBottom w:val="0"/>
              <w:divBdr>
                <w:top w:val="none" w:sz="0" w:space="0" w:color="auto"/>
                <w:left w:val="none" w:sz="0" w:space="0" w:color="auto"/>
                <w:bottom w:val="none" w:sz="0" w:space="0" w:color="auto"/>
                <w:right w:val="none" w:sz="0" w:space="0" w:color="auto"/>
              </w:divBdr>
            </w:div>
            <w:div w:id="1357461792">
              <w:marLeft w:val="0"/>
              <w:marRight w:val="0"/>
              <w:marTop w:val="0"/>
              <w:marBottom w:val="0"/>
              <w:divBdr>
                <w:top w:val="none" w:sz="0" w:space="0" w:color="auto"/>
                <w:left w:val="none" w:sz="0" w:space="0" w:color="auto"/>
                <w:bottom w:val="none" w:sz="0" w:space="0" w:color="auto"/>
                <w:right w:val="none" w:sz="0" w:space="0" w:color="auto"/>
              </w:divBdr>
            </w:div>
            <w:div w:id="1363675154">
              <w:marLeft w:val="0"/>
              <w:marRight w:val="0"/>
              <w:marTop w:val="0"/>
              <w:marBottom w:val="0"/>
              <w:divBdr>
                <w:top w:val="none" w:sz="0" w:space="0" w:color="auto"/>
                <w:left w:val="none" w:sz="0" w:space="0" w:color="auto"/>
                <w:bottom w:val="none" w:sz="0" w:space="0" w:color="auto"/>
                <w:right w:val="none" w:sz="0" w:space="0" w:color="auto"/>
              </w:divBdr>
            </w:div>
            <w:div w:id="1364018903">
              <w:marLeft w:val="0"/>
              <w:marRight w:val="0"/>
              <w:marTop w:val="0"/>
              <w:marBottom w:val="0"/>
              <w:divBdr>
                <w:top w:val="none" w:sz="0" w:space="0" w:color="auto"/>
                <w:left w:val="none" w:sz="0" w:space="0" w:color="auto"/>
                <w:bottom w:val="none" w:sz="0" w:space="0" w:color="auto"/>
                <w:right w:val="none" w:sz="0" w:space="0" w:color="auto"/>
              </w:divBdr>
            </w:div>
            <w:div w:id="1364597097">
              <w:marLeft w:val="0"/>
              <w:marRight w:val="0"/>
              <w:marTop w:val="0"/>
              <w:marBottom w:val="0"/>
              <w:divBdr>
                <w:top w:val="none" w:sz="0" w:space="0" w:color="auto"/>
                <w:left w:val="none" w:sz="0" w:space="0" w:color="auto"/>
                <w:bottom w:val="none" w:sz="0" w:space="0" w:color="auto"/>
                <w:right w:val="none" w:sz="0" w:space="0" w:color="auto"/>
              </w:divBdr>
            </w:div>
            <w:div w:id="1366826902">
              <w:marLeft w:val="0"/>
              <w:marRight w:val="0"/>
              <w:marTop w:val="0"/>
              <w:marBottom w:val="0"/>
              <w:divBdr>
                <w:top w:val="none" w:sz="0" w:space="0" w:color="auto"/>
                <w:left w:val="none" w:sz="0" w:space="0" w:color="auto"/>
                <w:bottom w:val="none" w:sz="0" w:space="0" w:color="auto"/>
                <w:right w:val="none" w:sz="0" w:space="0" w:color="auto"/>
              </w:divBdr>
            </w:div>
            <w:div w:id="1374304448">
              <w:marLeft w:val="0"/>
              <w:marRight w:val="0"/>
              <w:marTop w:val="0"/>
              <w:marBottom w:val="0"/>
              <w:divBdr>
                <w:top w:val="none" w:sz="0" w:space="0" w:color="auto"/>
                <w:left w:val="none" w:sz="0" w:space="0" w:color="auto"/>
                <w:bottom w:val="none" w:sz="0" w:space="0" w:color="auto"/>
                <w:right w:val="none" w:sz="0" w:space="0" w:color="auto"/>
              </w:divBdr>
            </w:div>
            <w:div w:id="1380200394">
              <w:marLeft w:val="0"/>
              <w:marRight w:val="0"/>
              <w:marTop w:val="0"/>
              <w:marBottom w:val="0"/>
              <w:divBdr>
                <w:top w:val="none" w:sz="0" w:space="0" w:color="auto"/>
                <w:left w:val="none" w:sz="0" w:space="0" w:color="auto"/>
                <w:bottom w:val="none" w:sz="0" w:space="0" w:color="auto"/>
                <w:right w:val="none" w:sz="0" w:space="0" w:color="auto"/>
              </w:divBdr>
            </w:div>
            <w:div w:id="1381903442">
              <w:marLeft w:val="0"/>
              <w:marRight w:val="0"/>
              <w:marTop w:val="0"/>
              <w:marBottom w:val="0"/>
              <w:divBdr>
                <w:top w:val="none" w:sz="0" w:space="0" w:color="auto"/>
                <w:left w:val="none" w:sz="0" w:space="0" w:color="auto"/>
                <w:bottom w:val="none" w:sz="0" w:space="0" w:color="auto"/>
                <w:right w:val="none" w:sz="0" w:space="0" w:color="auto"/>
              </w:divBdr>
            </w:div>
            <w:div w:id="1383753742">
              <w:marLeft w:val="0"/>
              <w:marRight w:val="0"/>
              <w:marTop w:val="0"/>
              <w:marBottom w:val="0"/>
              <w:divBdr>
                <w:top w:val="none" w:sz="0" w:space="0" w:color="auto"/>
                <w:left w:val="none" w:sz="0" w:space="0" w:color="auto"/>
                <w:bottom w:val="none" w:sz="0" w:space="0" w:color="auto"/>
                <w:right w:val="none" w:sz="0" w:space="0" w:color="auto"/>
              </w:divBdr>
            </w:div>
            <w:div w:id="1390109221">
              <w:marLeft w:val="0"/>
              <w:marRight w:val="0"/>
              <w:marTop w:val="0"/>
              <w:marBottom w:val="0"/>
              <w:divBdr>
                <w:top w:val="none" w:sz="0" w:space="0" w:color="auto"/>
                <w:left w:val="none" w:sz="0" w:space="0" w:color="auto"/>
                <w:bottom w:val="none" w:sz="0" w:space="0" w:color="auto"/>
                <w:right w:val="none" w:sz="0" w:space="0" w:color="auto"/>
              </w:divBdr>
            </w:div>
            <w:div w:id="1395196118">
              <w:marLeft w:val="0"/>
              <w:marRight w:val="0"/>
              <w:marTop w:val="0"/>
              <w:marBottom w:val="0"/>
              <w:divBdr>
                <w:top w:val="none" w:sz="0" w:space="0" w:color="auto"/>
                <w:left w:val="none" w:sz="0" w:space="0" w:color="auto"/>
                <w:bottom w:val="none" w:sz="0" w:space="0" w:color="auto"/>
                <w:right w:val="none" w:sz="0" w:space="0" w:color="auto"/>
              </w:divBdr>
            </w:div>
            <w:div w:id="1407217181">
              <w:marLeft w:val="0"/>
              <w:marRight w:val="0"/>
              <w:marTop w:val="0"/>
              <w:marBottom w:val="0"/>
              <w:divBdr>
                <w:top w:val="none" w:sz="0" w:space="0" w:color="auto"/>
                <w:left w:val="none" w:sz="0" w:space="0" w:color="auto"/>
                <w:bottom w:val="none" w:sz="0" w:space="0" w:color="auto"/>
                <w:right w:val="none" w:sz="0" w:space="0" w:color="auto"/>
              </w:divBdr>
            </w:div>
            <w:div w:id="1407535889">
              <w:marLeft w:val="0"/>
              <w:marRight w:val="0"/>
              <w:marTop w:val="0"/>
              <w:marBottom w:val="0"/>
              <w:divBdr>
                <w:top w:val="none" w:sz="0" w:space="0" w:color="auto"/>
                <w:left w:val="none" w:sz="0" w:space="0" w:color="auto"/>
                <w:bottom w:val="none" w:sz="0" w:space="0" w:color="auto"/>
                <w:right w:val="none" w:sz="0" w:space="0" w:color="auto"/>
              </w:divBdr>
            </w:div>
            <w:div w:id="1410925547">
              <w:marLeft w:val="0"/>
              <w:marRight w:val="0"/>
              <w:marTop w:val="0"/>
              <w:marBottom w:val="0"/>
              <w:divBdr>
                <w:top w:val="none" w:sz="0" w:space="0" w:color="auto"/>
                <w:left w:val="none" w:sz="0" w:space="0" w:color="auto"/>
                <w:bottom w:val="none" w:sz="0" w:space="0" w:color="auto"/>
                <w:right w:val="none" w:sz="0" w:space="0" w:color="auto"/>
              </w:divBdr>
            </w:div>
            <w:div w:id="1416246116">
              <w:marLeft w:val="0"/>
              <w:marRight w:val="0"/>
              <w:marTop w:val="0"/>
              <w:marBottom w:val="0"/>
              <w:divBdr>
                <w:top w:val="none" w:sz="0" w:space="0" w:color="auto"/>
                <w:left w:val="none" w:sz="0" w:space="0" w:color="auto"/>
                <w:bottom w:val="none" w:sz="0" w:space="0" w:color="auto"/>
                <w:right w:val="none" w:sz="0" w:space="0" w:color="auto"/>
              </w:divBdr>
            </w:div>
            <w:div w:id="1429694195">
              <w:marLeft w:val="0"/>
              <w:marRight w:val="0"/>
              <w:marTop w:val="0"/>
              <w:marBottom w:val="0"/>
              <w:divBdr>
                <w:top w:val="none" w:sz="0" w:space="0" w:color="auto"/>
                <w:left w:val="none" w:sz="0" w:space="0" w:color="auto"/>
                <w:bottom w:val="none" w:sz="0" w:space="0" w:color="auto"/>
                <w:right w:val="none" w:sz="0" w:space="0" w:color="auto"/>
              </w:divBdr>
            </w:div>
            <w:div w:id="1434015115">
              <w:marLeft w:val="0"/>
              <w:marRight w:val="0"/>
              <w:marTop w:val="0"/>
              <w:marBottom w:val="0"/>
              <w:divBdr>
                <w:top w:val="none" w:sz="0" w:space="0" w:color="auto"/>
                <w:left w:val="none" w:sz="0" w:space="0" w:color="auto"/>
                <w:bottom w:val="none" w:sz="0" w:space="0" w:color="auto"/>
                <w:right w:val="none" w:sz="0" w:space="0" w:color="auto"/>
              </w:divBdr>
            </w:div>
            <w:div w:id="1438675987">
              <w:marLeft w:val="0"/>
              <w:marRight w:val="0"/>
              <w:marTop w:val="0"/>
              <w:marBottom w:val="0"/>
              <w:divBdr>
                <w:top w:val="none" w:sz="0" w:space="0" w:color="auto"/>
                <w:left w:val="none" w:sz="0" w:space="0" w:color="auto"/>
                <w:bottom w:val="none" w:sz="0" w:space="0" w:color="auto"/>
                <w:right w:val="none" w:sz="0" w:space="0" w:color="auto"/>
              </w:divBdr>
            </w:div>
            <w:div w:id="1439526754">
              <w:marLeft w:val="0"/>
              <w:marRight w:val="0"/>
              <w:marTop w:val="0"/>
              <w:marBottom w:val="0"/>
              <w:divBdr>
                <w:top w:val="none" w:sz="0" w:space="0" w:color="auto"/>
                <w:left w:val="none" w:sz="0" w:space="0" w:color="auto"/>
                <w:bottom w:val="none" w:sz="0" w:space="0" w:color="auto"/>
                <w:right w:val="none" w:sz="0" w:space="0" w:color="auto"/>
              </w:divBdr>
            </w:div>
            <w:div w:id="1448432439">
              <w:marLeft w:val="0"/>
              <w:marRight w:val="0"/>
              <w:marTop w:val="0"/>
              <w:marBottom w:val="0"/>
              <w:divBdr>
                <w:top w:val="none" w:sz="0" w:space="0" w:color="auto"/>
                <w:left w:val="none" w:sz="0" w:space="0" w:color="auto"/>
                <w:bottom w:val="none" w:sz="0" w:space="0" w:color="auto"/>
                <w:right w:val="none" w:sz="0" w:space="0" w:color="auto"/>
              </w:divBdr>
            </w:div>
            <w:div w:id="1449621035">
              <w:marLeft w:val="0"/>
              <w:marRight w:val="0"/>
              <w:marTop w:val="0"/>
              <w:marBottom w:val="0"/>
              <w:divBdr>
                <w:top w:val="none" w:sz="0" w:space="0" w:color="auto"/>
                <w:left w:val="none" w:sz="0" w:space="0" w:color="auto"/>
                <w:bottom w:val="none" w:sz="0" w:space="0" w:color="auto"/>
                <w:right w:val="none" w:sz="0" w:space="0" w:color="auto"/>
              </w:divBdr>
            </w:div>
            <w:div w:id="1457717361">
              <w:marLeft w:val="0"/>
              <w:marRight w:val="0"/>
              <w:marTop w:val="0"/>
              <w:marBottom w:val="0"/>
              <w:divBdr>
                <w:top w:val="none" w:sz="0" w:space="0" w:color="auto"/>
                <w:left w:val="none" w:sz="0" w:space="0" w:color="auto"/>
                <w:bottom w:val="none" w:sz="0" w:space="0" w:color="auto"/>
                <w:right w:val="none" w:sz="0" w:space="0" w:color="auto"/>
              </w:divBdr>
            </w:div>
            <w:div w:id="1459110333">
              <w:marLeft w:val="0"/>
              <w:marRight w:val="0"/>
              <w:marTop w:val="0"/>
              <w:marBottom w:val="0"/>
              <w:divBdr>
                <w:top w:val="none" w:sz="0" w:space="0" w:color="auto"/>
                <w:left w:val="none" w:sz="0" w:space="0" w:color="auto"/>
                <w:bottom w:val="none" w:sz="0" w:space="0" w:color="auto"/>
                <w:right w:val="none" w:sz="0" w:space="0" w:color="auto"/>
              </w:divBdr>
            </w:div>
            <w:div w:id="1462191998">
              <w:marLeft w:val="0"/>
              <w:marRight w:val="0"/>
              <w:marTop w:val="0"/>
              <w:marBottom w:val="0"/>
              <w:divBdr>
                <w:top w:val="none" w:sz="0" w:space="0" w:color="auto"/>
                <w:left w:val="none" w:sz="0" w:space="0" w:color="auto"/>
                <w:bottom w:val="none" w:sz="0" w:space="0" w:color="auto"/>
                <w:right w:val="none" w:sz="0" w:space="0" w:color="auto"/>
              </w:divBdr>
            </w:div>
            <w:div w:id="1463423704">
              <w:marLeft w:val="0"/>
              <w:marRight w:val="0"/>
              <w:marTop w:val="0"/>
              <w:marBottom w:val="0"/>
              <w:divBdr>
                <w:top w:val="none" w:sz="0" w:space="0" w:color="auto"/>
                <w:left w:val="none" w:sz="0" w:space="0" w:color="auto"/>
                <w:bottom w:val="none" w:sz="0" w:space="0" w:color="auto"/>
                <w:right w:val="none" w:sz="0" w:space="0" w:color="auto"/>
              </w:divBdr>
            </w:div>
            <w:div w:id="1469779377">
              <w:marLeft w:val="0"/>
              <w:marRight w:val="0"/>
              <w:marTop w:val="0"/>
              <w:marBottom w:val="0"/>
              <w:divBdr>
                <w:top w:val="none" w:sz="0" w:space="0" w:color="auto"/>
                <w:left w:val="none" w:sz="0" w:space="0" w:color="auto"/>
                <w:bottom w:val="none" w:sz="0" w:space="0" w:color="auto"/>
                <w:right w:val="none" w:sz="0" w:space="0" w:color="auto"/>
              </w:divBdr>
            </w:div>
            <w:div w:id="1471483769">
              <w:marLeft w:val="0"/>
              <w:marRight w:val="0"/>
              <w:marTop w:val="0"/>
              <w:marBottom w:val="0"/>
              <w:divBdr>
                <w:top w:val="none" w:sz="0" w:space="0" w:color="auto"/>
                <w:left w:val="none" w:sz="0" w:space="0" w:color="auto"/>
                <w:bottom w:val="none" w:sz="0" w:space="0" w:color="auto"/>
                <w:right w:val="none" w:sz="0" w:space="0" w:color="auto"/>
              </w:divBdr>
            </w:div>
            <w:div w:id="1471677688">
              <w:marLeft w:val="0"/>
              <w:marRight w:val="0"/>
              <w:marTop w:val="0"/>
              <w:marBottom w:val="0"/>
              <w:divBdr>
                <w:top w:val="none" w:sz="0" w:space="0" w:color="auto"/>
                <w:left w:val="none" w:sz="0" w:space="0" w:color="auto"/>
                <w:bottom w:val="none" w:sz="0" w:space="0" w:color="auto"/>
                <w:right w:val="none" w:sz="0" w:space="0" w:color="auto"/>
              </w:divBdr>
            </w:div>
            <w:div w:id="1476096733">
              <w:marLeft w:val="0"/>
              <w:marRight w:val="0"/>
              <w:marTop w:val="0"/>
              <w:marBottom w:val="0"/>
              <w:divBdr>
                <w:top w:val="none" w:sz="0" w:space="0" w:color="auto"/>
                <w:left w:val="none" w:sz="0" w:space="0" w:color="auto"/>
                <w:bottom w:val="none" w:sz="0" w:space="0" w:color="auto"/>
                <w:right w:val="none" w:sz="0" w:space="0" w:color="auto"/>
              </w:divBdr>
            </w:div>
            <w:div w:id="1476870080">
              <w:marLeft w:val="0"/>
              <w:marRight w:val="0"/>
              <w:marTop w:val="0"/>
              <w:marBottom w:val="0"/>
              <w:divBdr>
                <w:top w:val="none" w:sz="0" w:space="0" w:color="auto"/>
                <w:left w:val="none" w:sz="0" w:space="0" w:color="auto"/>
                <w:bottom w:val="none" w:sz="0" w:space="0" w:color="auto"/>
                <w:right w:val="none" w:sz="0" w:space="0" w:color="auto"/>
              </w:divBdr>
            </w:div>
            <w:div w:id="1477378647">
              <w:marLeft w:val="0"/>
              <w:marRight w:val="0"/>
              <w:marTop w:val="0"/>
              <w:marBottom w:val="0"/>
              <w:divBdr>
                <w:top w:val="none" w:sz="0" w:space="0" w:color="auto"/>
                <w:left w:val="none" w:sz="0" w:space="0" w:color="auto"/>
                <w:bottom w:val="none" w:sz="0" w:space="0" w:color="auto"/>
                <w:right w:val="none" w:sz="0" w:space="0" w:color="auto"/>
              </w:divBdr>
            </w:div>
            <w:div w:id="1483085326">
              <w:marLeft w:val="0"/>
              <w:marRight w:val="0"/>
              <w:marTop w:val="0"/>
              <w:marBottom w:val="0"/>
              <w:divBdr>
                <w:top w:val="none" w:sz="0" w:space="0" w:color="auto"/>
                <w:left w:val="none" w:sz="0" w:space="0" w:color="auto"/>
                <w:bottom w:val="none" w:sz="0" w:space="0" w:color="auto"/>
                <w:right w:val="none" w:sz="0" w:space="0" w:color="auto"/>
              </w:divBdr>
            </w:div>
            <w:div w:id="1484200400">
              <w:marLeft w:val="0"/>
              <w:marRight w:val="0"/>
              <w:marTop w:val="0"/>
              <w:marBottom w:val="0"/>
              <w:divBdr>
                <w:top w:val="none" w:sz="0" w:space="0" w:color="auto"/>
                <w:left w:val="none" w:sz="0" w:space="0" w:color="auto"/>
                <w:bottom w:val="none" w:sz="0" w:space="0" w:color="auto"/>
                <w:right w:val="none" w:sz="0" w:space="0" w:color="auto"/>
              </w:divBdr>
            </w:div>
            <w:div w:id="1487554272">
              <w:marLeft w:val="0"/>
              <w:marRight w:val="0"/>
              <w:marTop w:val="0"/>
              <w:marBottom w:val="0"/>
              <w:divBdr>
                <w:top w:val="none" w:sz="0" w:space="0" w:color="auto"/>
                <w:left w:val="none" w:sz="0" w:space="0" w:color="auto"/>
                <w:bottom w:val="none" w:sz="0" w:space="0" w:color="auto"/>
                <w:right w:val="none" w:sz="0" w:space="0" w:color="auto"/>
              </w:divBdr>
            </w:div>
            <w:div w:id="1488201622">
              <w:marLeft w:val="0"/>
              <w:marRight w:val="0"/>
              <w:marTop w:val="0"/>
              <w:marBottom w:val="0"/>
              <w:divBdr>
                <w:top w:val="none" w:sz="0" w:space="0" w:color="auto"/>
                <w:left w:val="none" w:sz="0" w:space="0" w:color="auto"/>
                <w:bottom w:val="none" w:sz="0" w:space="0" w:color="auto"/>
                <w:right w:val="none" w:sz="0" w:space="0" w:color="auto"/>
              </w:divBdr>
            </w:div>
            <w:div w:id="1491211204">
              <w:marLeft w:val="0"/>
              <w:marRight w:val="0"/>
              <w:marTop w:val="0"/>
              <w:marBottom w:val="0"/>
              <w:divBdr>
                <w:top w:val="none" w:sz="0" w:space="0" w:color="auto"/>
                <w:left w:val="none" w:sz="0" w:space="0" w:color="auto"/>
                <w:bottom w:val="none" w:sz="0" w:space="0" w:color="auto"/>
                <w:right w:val="none" w:sz="0" w:space="0" w:color="auto"/>
              </w:divBdr>
            </w:div>
            <w:div w:id="1493569384">
              <w:marLeft w:val="0"/>
              <w:marRight w:val="0"/>
              <w:marTop w:val="0"/>
              <w:marBottom w:val="0"/>
              <w:divBdr>
                <w:top w:val="none" w:sz="0" w:space="0" w:color="auto"/>
                <w:left w:val="none" w:sz="0" w:space="0" w:color="auto"/>
                <w:bottom w:val="none" w:sz="0" w:space="0" w:color="auto"/>
                <w:right w:val="none" w:sz="0" w:space="0" w:color="auto"/>
              </w:divBdr>
            </w:div>
            <w:div w:id="1494368948">
              <w:marLeft w:val="0"/>
              <w:marRight w:val="0"/>
              <w:marTop w:val="0"/>
              <w:marBottom w:val="0"/>
              <w:divBdr>
                <w:top w:val="none" w:sz="0" w:space="0" w:color="auto"/>
                <w:left w:val="none" w:sz="0" w:space="0" w:color="auto"/>
                <w:bottom w:val="none" w:sz="0" w:space="0" w:color="auto"/>
                <w:right w:val="none" w:sz="0" w:space="0" w:color="auto"/>
              </w:divBdr>
            </w:div>
            <w:div w:id="1508977513">
              <w:marLeft w:val="0"/>
              <w:marRight w:val="0"/>
              <w:marTop w:val="0"/>
              <w:marBottom w:val="0"/>
              <w:divBdr>
                <w:top w:val="none" w:sz="0" w:space="0" w:color="auto"/>
                <w:left w:val="none" w:sz="0" w:space="0" w:color="auto"/>
                <w:bottom w:val="none" w:sz="0" w:space="0" w:color="auto"/>
                <w:right w:val="none" w:sz="0" w:space="0" w:color="auto"/>
              </w:divBdr>
            </w:div>
            <w:div w:id="1520510156">
              <w:marLeft w:val="0"/>
              <w:marRight w:val="0"/>
              <w:marTop w:val="0"/>
              <w:marBottom w:val="0"/>
              <w:divBdr>
                <w:top w:val="none" w:sz="0" w:space="0" w:color="auto"/>
                <w:left w:val="none" w:sz="0" w:space="0" w:color="auto"/>
                <w:bottom w:val="none" w:sz="0" w:space="0" w:color="auto"/>
                <w:right w:val="none" w:sz="0" w:space="0" w:color="auto"/>
              </w:divBdr>
            </w:div>
            <w:div w:id="1520775027">
              <w:marLeft w:val="0"/>
              <w:marRight w:val="0"/>
              <w:marTop w:val="0"/>
              <w:marBottom w:val="0"/>
              <w:divBdr>
                <w:top w:val="none" w:sz="0" w:space="0" w:color="auto"/>
                <w:left w:val="none" w:sz="0" w:space="0" w:color="auto"/>
                <w:bottom w:val="none" w:sz="0" w:space="0" w:color="auto"/>
                <w:right w:val="none" w:sz="0" w:space="0" w:color="auto"/>
              </w:divBdr>
            </w:div>
            <w:div w:id="1523787831">
              <w:marLeft w:val="0"/>
              <w:marRight w:val="0"/>
              <w:marTop w:val="0"/>
              <w:marBottom w:val="0"/>
              <w:divBdr>
                <w:top w:val="none" w:sz="0" w:space="0" w:color="auto"/>
                <w:left w:val="none" w:sz="0" w:space="0" w:color="auto"/>
                <w:bottom w:val="none" w:sz="0" w:space="0" w:color="auto"/>
                <w:right w:val="none" w:sz="0" w:space="0" w:color="auto"/>
              </w:divBdr>
            </w:div>
            <w:div w:id="1531917463">
              <w:marLeft w:val="0"/>
              <w:marRight w:val="0"/>
              <w:marTop w:val="0"/>
              <w:marBottom w:val="0"/>
              <w:divBdr>
                <w:top w:val="none" w:sz="0" w:space="0" w:color="auto"/>
                <w:left w:val="none" w:sz="0" w:space="0" w:color="auto"/>
                <w:bottom w:val="none" w:sz="0" w:space="0" w:color="auto"/>
                <w:right w:val="none" w:sz="0" w:space="0" w:color="auto"/>
              </w:divBdr>
            </w:div>
            <w:div w:id="1539782218">
              <w:marLeft w:val="0"/>
              <w:marRight w:val="0"/>
              <w:marTop w:val="0"/>
              <w:marBottom w:val="0"/>
              <w:divBdr>
                <w:top w:val="none" w:sz="0" w:space="0" w:color="auto"/>
                <w:left w:val="none" w:sz="0" w:space="0" w:color="auto"/>
                <w:bottom w:val="none" w:sz="0" w:space="0" w:color="auto"/>
                <w:right w:val="none" w:sz="0" w:space="0" w:color="auto"/>
              </w:divBdr>
            </w:div>
            <w:div w:id="1541556365">
              <w:marLeft w:val="0"/>
              <w:marRight w:val="0"/>
              <w:marTop w:val="0"/>
              <w:marBottom w:val="0"/>
              <w:divBdr>
                <w:top w:val="none" w:sz="0" w:space="0" w:color="auto"/>
                <w:left w:val="none" w:sz="0" w:space="0" w:color="auto"/>
                <w:bottom w:val="none" w:sz="0" w:space="0" w:color="auto"/>
                <w:right w:val="none" w:sz="0" w:space="0" w:color="auto"/>
              </w:divBdr>
            </w:div>
            <w:div w:id="1544443685">
              <w:marLeft w:val="0"/>
              <w:marRight w:val="0"/>
              <w:marTop w:val="0"/>
              <w:marBottom w:val="0"/>
              <w:divBdr>
                <w:top w:val="none" w:sz="0" w:space="0" w:color="auto"/>
                <w:left w:val="none" w:sz="0" w:space="0" w:color="auto"/>
                <w:bottom w:val="none" w:sz="0" w:space="0" w:color="auto"/>
                <w:right w:val="none" w:sz="0" w:space="0" w:color="auto"/>
              </w:divBdr>
            </w:div>
            <w:div w:id="1545673388">
              <w:marLeft w:val="0"/>
              <w:marRight w:val="0"/>
              <w:marTop w:val="0"/>
              <w:marBottom w:val="0"/>
              <w:divBdr>
                <w:top w:val="none" w:sz="0" w:space="0" w:color="auto"/>
                <w:left w:val="none" w:sz="0" w:space="0" w:color="auto"/>
                <w:bottom w:val="none" w:sz="0" w:space="0" w:color="auto"/>
                <w:right w:val="none" w:sz="0" w:space="0" w:color="auto"/>
              </w:divBdr>
            </w:div>
            <w:div w:id="1550604600">
              <w:marLeft w:val="0"/>
              <w:marRight w:val="0"/>
              <w:marTop w:val="0"/>
              <w:marBottom w:val="0"/>
              <w:divBdr>
                <w:top w:val="none" w:sz="0" w:space="0" w:color="auto"/>
                <w:left w:val="none" w:sz="0" w:space="0" w:color="auto"/>
                <w:bottom w:val="none" w:sz="0" w:space="0" w:color="auto"/>
                <w:right w:val="none" w:sz="0" w:space="0" w:color="auto"/>
              </w:divBdr>
            </w:div>
            <w:div w:id="1551576599">
              <w:marLeft w:val="0"/>
              <w:marRight w:val="0"/>
              <w:marTop w:val="0"/>
              <w:marBottom w:val="0"/>
              <w:divBdr>
                <w:top w:val="none" w:sz="0" w:space="0" w:color="auto"/>
                <w:left w:val="none" w:sz="0" w:space="0" w:color="auto"/>
                <w:bottom w:val="none" w:sz="0" w:space="0" w:color="auto"/>
                <w:right w:val="none" w:sz="0" w:space="0" w:color="auto"/>
              </w:divBdr>
            </w:div>
            <w:div w:id="1567374747">
              <w:marLeft w:val="0"/>
              <w:marRight w:val="0"/>
              <w:marTop w:val="0"/>
              <w:marBottom w:val="0"/>
              <w:divBdr>
                <w:top w:val="none" w:sz="0" w:space="0" w:color="auto"/>
                <w:left w:val="none" w:sz="0" w:space="0" w:color="auto"/>
                <w:bottom w:val="none" w:sz="0" w:space="0" w:color="auto"/>
                <w:right w:val="none" w:sz="0" w:space="0" w:color="auto"/>
              </w:divBdr>
            </w:div>
            <w:div w:id="1572541569">
              <w:marLeft w:val="0"/>
              <w:marRight w:val="0"/>
              <w:marTop w:val="0"/>
              <w:marBottom w:val="0"/>
              <w:divBdr>
                <w:top w:val="none" w:sz="0" w:space="0" w:color="auto"/>
                <w:left w:val="none" w:sz="0" w:space="0" w:color="auto"/>
                <w:bottom w:val="none" w:sz="0" w:space="0" w:color="auto"/>
                <w:right w:val="none" w:sz="0" w:space="0" w:color="auto"/>
              </w:divBdr>
            </w:div>
            <w:div w:id="1573739921">
              <w:marLeft w:val="0"/>
              <w:marRight w:val="0"/>
              <w:marTop w:val="0"/>
              <w:marBottom w:val="0"/>
              <w:divBdr>
                <w:top w:val="none" w:sz="0" w:space="0" w:color="auto"/>
                <w:left w:val="none" w:sz="0" w:space="0" w:color="auto"/>
                <w:bottom w:val="none" w:sz="0" w:space="0" w:color="auto"/>
                <w:right w:val="none" w:sz="0" w:space="0" w:color="auto"/>
              </w:divBdr>
            </w:div>
            <w:div w:id="1577010069">
              <w:marLeft w:val="0"/>
              <w:marRight w:val="0"/>
              <w:marTop w:val="0"/>
              <w:marBottom w:val="0"/>
              <w:divBdr>
                <w:top w:val="none" w:sz="0" w:space="0" w:color="auto"/>
                <w:left w:val="none" w:sz="0" w:space="0" w:color="auto"/>
                <w:bottom w:val="none" w:sz="0" w:space="0" w:color="auto"/>
                <w:right w:val="none" w:sz="0" w:space="0" w:color="auto"/>
              </w:divBdr>
            </w:div>
            <w:div w:id="1590654435">
              <w:marLeft w:val="0"/>
              <w:marRight w:val="0"/>
              <w:marTop w:val="0"/>
              <w:marBottom w:val="0"/>
              <w:divBdr>
                <w:top w:val="none" w:sz="0" w:space="0" w:color="auto"/>
                <w:left w:val="none" w:sz="0" w:space="0" w:color="auto"/>
                <w:bottom w:val="none" w:sz="0" w:space="0" w:color="auto"/>
                <w:right w:val="none" w:sz="0" w:space="0" w:color="auto"/>
              </w:divBdr>
            </w:div>
            <w:div w:id="1590655060">
              <w:marLeft w:val="0"/>
              <w:marRight w:val="0"/>
              <w:marTop w:val="0"/>
              <w:marBottom w:val="0"/>
              <w:divBdr>
                <w:top w:val="none" w:sz="0" w:space="0" w:color="auto"/>
                <w:left w:val="none" w:sz="0" w:space="0" w:color="auto"/>
                <w:bottom w:val="none" w:sz="0" w:space="0" w:color="auto"/>
                <w:right w:val="none" w:sz="0" w:space="0" w:color="auto"/>
              </w:divBdr>
            </w:div>
            <w:div w:id="1597665858">
              <w:marLeft w:val="0"/>
              <w:marRight w:val="0"/>
              <w:marTop w:val="0"/>
              <w:marBottom w:val="0"/>
              <w:divBdr>
                <w:top w:val="none" w:sz="0" w:space="0" w:color="auto"/>
                <w:left w:val="none" w:sz="0" w:space="0" w:color="auto"/>
                <w:bottom w:val="none" w:sz="0" w:space="0" w:color="auto"/>
                <w:right w:val="none" w:sz="0" w:space="0" w:color="auto"/>
              </w:divBdr>
            </w:div>
            <w:div w:id="1609660242">
              <w:marLeft w:val="0"/>
              <w:marRight w:val="0"/>
              <w:marTop w:val="0"/>
              <w:marBottom w:val="0"/>
              <w:divBdr>
                <w:top w:val="none" w:sz="0" w:space="0" w:color="auto"/>
                <w:left w:val="none" w:sz="0" w:space="0" w:color="auto"/>
                <w:bottom w:val="none" w:sz="0" w:space="0" w:color="auto"/>
                <w:right w:val="none" w:sz="0" w:space="0" w:color="auto"/>
              </w:divBdr>
            </w:div>
            <w:div w:id="1611012062">
              <w:marLeft w:val="0"/>
              <w:marRight w:val="0"/>
              <w:marTop w:val="0"/>
              <w:marBottom w:val="0"/>
              <w:divBdr>
                <w:top w:val="none" w:sz="0" w:space="0" w:color="auto"/>
                <w:left w:val="none" w:sz="0" w:space="0" w:color="auto"/>
                <w:bottom w:val="none" w:sz="0" w:space="0" w:color="auto"/>
                <w:right w:val="none" w:sz="0" w:space="0" w:color="auto"/>
              </w:divBdr>
            </w:div>
            <w:div w:id="1612321423">
              <w:marLeft w:val="0"/>
              <w:marRight w:val="0"/>
              <w:marTop w:val="0"/>
              <w:marBottom w:val="0"/>
              <w:divBdr>
                <w:top w:val="none" w:sz="0" w:space="0" w:color="auto"/>
                <w:left w:val="none" w:sz="0" w:space="0" w:color="auto"/>
                <w:bottom w:val="none" w:sz="0" w:space="0" w:color="auto"/>
                <w:right w:val="none" w:sz="0" w:space="0" w:color="auto"/>
              </w:divBdr>
            </w:div>
            <w:div w:id="1612931630">
              <w:marLeft w:val="0"/>
              <w:marRight w:val="0"/>
              <w:marTop w:val="0"/>
              <w:marBottom w:val="0"/>
              <w:divBdr>
                <w:top w:val="none" w:sz="0" w:space="0" w:color="auto"/>
                <w:left w:val="none" w:sz="0" w:space="0" w:color="auto"/>
                <w:bottom w:val="none" w:sz="0" w:space="0" w:color="auto"/>
                <w:right w:val="none" w:sz="0" w:space="0" w:color="auto"/>
              </w:divBdr>
            </w:div>
            <w:div w:id="1629240769">
              <w:marLeft w:val="0"/>
              <w:marRight w:val="0"/>
              <w:marTop w:val="0"/>
              <w:marBottom w:val="0"/>
              <w:divBdr>
                <w:top w:val="none" w:sz="0" w:space="0" w:color="auto"/>
                <w:left w:val="none" w:sz="0" w:space="0" w:color="auto"/>
                <w:bottom w:val="none" w:sz="0" w:space="0" w:color="auto"/>
                <w:right w:val="none" w:sz="0" w:space="0" w:color="auto"/>
              </w:divBdr>
            </w:div>
            <w:div w:id="1630817440">
              <w:marLeft w:val="0"/>
              <w:marRight w:val="0"/>
              <w:marTop w:val="0"/>
              <w:marBottom w:val="0"/>
              <w:divBdr>
                <w:top w:val="none" w:sz="0" w:space="0" w:color="auto"/>
                <w:left w:val="none" w:sz="0" w:space="0" w:color="auto"/>
                <w:bottom w:val="none" w:sz="0" w:space="0" w:color="auto"/>
                <w:right w:val="none" w:sz="0" w:space="0" w:color="auto"/>
              </w:divBdr>
            </w:div>
            <w:div w:id="1632050988">
              <w:marLeft w:val="0"/>
              <w:marRight w:val="0"/>
              <w:marTop w:val="0"/>
              <w:marBottom w:val="0"/>
              <w:divBdr>
                <w:top w:val="none" w:sz="0" w:space="0" w:color="auto"/>
                <w:left w:val="none" w:sz="0" w:space="0" w:color="auto"/>
                <w:bottom w:val="none" w:sz="0" w:space="0" w:color="auto"/>
                <w:right w:val="none" w:sz="0" w:space="0" w:color="auto"/>
              </w:divBdr>
            </w:div>
            <w:div w:id="1639413471">
              <w:marLeft w:val="0"/>
              <w:marRight w:val="0"/>
              <w:marTop w:val="0"/>
              <w:marBottom w:val="0"/>
              <w:divBdr>
                <w:top w:val="none" w:sz="0" w:space="0" w:color="auto"/>
                <w:left w:val="none" w:sz="0" w:space="0" w:color="auto"/>
                <w:bottom w:val="none" w:sz="0" w:space="0" w:color="auto"/>
                <w:right w:val="none" w:sz="0" w:space="0" w:color="auto"/>
              </w:divBdr>
            </w:div>
            <w:div w:id="1646739127">
              <w:marLeft w:val="0"/>
              <w:marRight w:val="0"/>
              <w:marTop w:val="0"/>
              <w:marBottom w:val="0"/>
              <w:divBdr>
                <w:top w:val="none" w:sz="0" w:space="0" w:color="auto"/>
                <w:left w:val="none" w:sz="0" w:space="0" w:color="auto"/>
                <w:bottom w:val="none" w:sz="0" w:space="0" w:color="auto"/>
                <w:right w:val="none" w:sz="0" w:space="0" w:color="auto"/>
              </w:divBdr>
            </w:div>
            <w:div w:id="1647516610">
              <w:marLeft w:val="0"/>
              <w:marRight w:val="0"/>
              <w:marTop w:val="0"/>
              <w:marBottom w:val="0"/>
              <w:divBdr>
                <w:top w:val="none" w:sz="0" w:space="0" w:color="auto"/>
                <w:left w:val="none" w:sz="0" w:space="0" w:color="auto"/>
                <w:bottom w:val="none" w:sz="0" w:space="0" w:color="auto"/>
                <w:right w:val="none" w:sz="0" w:space="0" w:color="auto"/>
              </w:divBdr>
            </w:div>
            <w:div w:id="1657220855">
              <w:marLeft w:val="0"/>
              <w:marRight w:val="0"/>
              <w:marTop w:val="0"/>
              <w:marBottom w:val="0"/>
              <w:divBdr>
                <w:top w:val="none" w:sz="0" w:space="0" w:color="auto"/>
                <w:left w:val="none" w:sz="0" w:space="0" w:color="auto"/>
                <w:bottom w:val="none" w:sz="0" w:space="0" w:color="auto"/>
                <w:right w:val="none" w:sz="0" w:space="0" w:color="auto"/>
              </w:divBdr>
            </w:div>
            <w:div w:id="1659572506">
              <w:marLeft w:val="0"/>
              <w:marRight w:val="0"/>
              <w:marTop w:val="0"/>
              <w:marBottom w:val="0"/>
              <w:divBdr>
                <w:top w:val="none" w:sz="0" w:space="0" w:color="auto"/>
                <w:left w:val="none" w:sz="0" w:space="0" w:color="auto"/>
                <w:bottom w:val="none" w:sz="0" w:space="0" w:color="auto"/>
                <w:right w:val="none" w:sz="0" w:space="0" w:color="auto"/>
              </w:divBdr>
            </w:div>
            <w:div w:id="1678844169">
              <w:marLeft w:val="0"/>
              <w:marRight w:val="0"/>
              <w:marTop w:val="0"/>
              <w:marBottom w:val="0"/>
              <w:divBdr>
                <w:top w:val="none" w:sz="0" w:space="0" w:color="auto"/>
                <w:left w:val="none" w:sz="0" w:space="0" w:color="auto"/>
                <w:bottom w:val="none" w:sz="0" w:space="0" w:color="auto"/>
                <w:right w:val="none" w:sz="0" w:space="0" w:color="auto"/>
              </w:divBdr>
            </w:div>
            <w:div w:id="1686907194">
              <w:marLeft w:val="0"/>
              <w:marRight w:val="0"/>
              <w:marTop w:val="0"/>
              <w:marBottom w:val="0"/>
              <w:divBdr>
                <w:top w:val="none" w:sz="0" w:space="0" w:color="auto"/>
                <w:left w:val="none" w:sz="0" w:space="0" w:color="auto"/>
                <w:bottom w:val="none" w:sz="0" w:space="0" w:color="auto"/>
                <w:right w:val="none" w:sz="0" w:space="0" w:color="auto"/>
              </w:divBdr>
            </w:div>
            <w:div w:id="1689716200">
              <w:marLeft w:val="0"/>
              <w:marRight w:val="0"/>
              <w:marTop w:val="0"/>
              <w:marBottom w:val="0"/>
              <w:divBdr>
                <w:top w:val="none" w:sz="0" w:space="0" w:color="auto"/>
                <w:left w:val="none" w:sz="0" w:space="0" w:color="auto"/>
                <w:bottom w:val="none" w:sz="0" w:space="0" w:color="auto"/>
                <w:right w:val="none" w:sz="0" w:space="0" w:color="auto"/>
              </w:divBdr>
            </w:div>
            <w:div w:id="1690792364">
              <w:marLeft w:val="0"/>
              <w:marRight w:val="0"/>
              <w:marTop w:val="0"/>
              <w:marBottom w:val="0"/>
              <w:divBdr>
                <w:top w:val="none" w:sz="0" w:space="0" w:color="auto"/>
                <w:left w:val="none" w:sz="0" w:space="0" w:color="auto"/>
                <w:bottom w:val="none" w:sz="0" w:space="0" w:color="auto"/>
                <w:right w:val="none" w:sz="0" w:space="0" w:color="auto"/>
              </w:divBdr>
            </w:div>
            <w:div w:id="1725715751">
              <w:marLeft w:val="0"/>
              <w:marRight w:val="0"/>
              <w:marTop w:val="0"/>
              <w:marBottom w:val="0"/>
              <w:divBdr>
                <w:top w:val="none" w:sz="0" w:space="0" w:color="auto"/>
                <w:left w:val="none" w:sz="0" w:space="0" w:color="auto"/>
                <w:bottom w:val="none" w:sz="0" w:space="0" w:color="auto"/>
                <w:right w:val="none" w:sz="0" w:space="0" w:color="auto"/>
              </w:divBdr>
            </w:div>
            <w:div w:id="1734501919">
              <w:marLeft w:val="0"/>
              <w:marRight w:val="0"/>
              <w:marTop w:val="0"/>
              <w:marBottom w:val="0"/>
              <w:divBdr>
                <w:top w:val="none" w:sz="0" w:space="0" w:color="auto"/>
                <w:left w:val="none" w:sz="0" w:space="0" w:color="auto"/>
                <w:bottom w:val="none" w:sz="0" w:space="0" w:color="auto"/>
                <w:right w:val="none" w:sz="0" w:space="0" w:color="auto"/>
              </w:divBdr>
            </w:div>
            <w:div w:id="1745178100">
              <w:marLeft w:val="0"/>
              <w:marRight w:val="0"/>
              <w:marTop w:val="0"/>
              <w:marBottom w:val="0"/>
              <w:divBdr>
                <w:top w:val="none" w:sz="0" w:space="0" w:color="auto"/>
                <w:left w:val="none" w:sz="0" w:space="0" w:color="auto"/>
                <w:bottom w:val="none" w:sz="0" w:space="0" w:color="auto"/>
                <w:right w:val="none" w:sz="0" w:space="0" w:color="auto"/>
              </w:divBdr>
            </w:div>
            <w:div w:id="1761490094">
              <w:marLeft w:val="0"/>
              <w:marRight w:val="0"/>
              <w:marTop w:val="0"/>
              <w:marBottom w:val="0"/>
              <w:divBdr>
                <w:top w:val="none" w:sz="0" w:space="0" w:color="auto"/>
                <w:left w:val="none" w:sz="0" w:space="0" w:color="auto"/>
                <w:bottom w:val="none" w:sz="0" w:space="0" w:color="auto"/>
                <w:right w:val="none" w:sz="0" w:space="0" w:color="auto"/>
              </w:divBdr>
            </w:div>
            <w:div w:id="1779250148">
              <w:marLeft w:val="0"/>
              <w:marRight w:val="0"/>
              <w:marTop w:val="0"/>
              <w:marBottom w:val="0"/>
              <w:divBdr>
                <w:top w:val="none" w:sz="0" w:space="0" w:color="auto"/>
                <w:left w:val="none" w:sz="0" w:space="0" w:color="auto"/>
                <w:bottom w:val="none" w:sz="0" w:space="0" w:color="auto"/>
                <w:right w:val="none" w:sz="0" w:space="0" w:color="auto"/>
              </w:divBdr>
            </w:div>
            <w:div w:id="1783725099">
              <w:marLeft w:val="0"/>
              <w:marRight w:val="0"/>
              <w:marTop w:val="0"/>
              <w:marBottom w:val="0"/>
              <w:divBdr>
                <w:top w:val="none" w:sz="0" w:space="0" w:color="auto"/>
                <w:left w:val="none" w:sz="0" w:space="0" w:color="auto"/>
                <w:bottom w:val="none" w:sz="0" w:space="0" w:color="auto"/>
                <w:right w:val="none" w:sz="0" w:space="0" w:color="auto"/>
              </w:divBdr>
            </w:div>
            <w:div w:id="1787383421">
              <w:marLeft w:val="0"/>
              <w:marRight w:val="0"/>
              <w:marTop w:val="0"/>
              <w:marBottom w:val="0"/>
              <w:divBdr>
                <w:top w:val="none" w:sz="0" w:space="0" w:color="auto"/>
                <w:left w:val="none" w:sz="0" w:space="0" w:color="auto"/>
                <w:bottom w:val="none" w:sz="0" w:space="0" w:color="auto"/>
                <w:right w:val="none" w:sz="0" w:space="0" w:color="auto"/>
              </w:divBdr>
            </w:div>
            <w:div w:id="1787848990">
              <w:marLeft w:val="0"/>
              <w:marRight w:val="0"/>
              <w:marTop w:val="0"/>
              <w:marBottom w:val="0"/>
              <w:divBdr>
                <w:top w:val="none" w:sz="0" w:space="0" w:color="auto"/>
                <w:left w:val="none" w:sz="0" w:space="0" w:color="auto"/>
                <w:bottom w:val="none" w:sz="0" w:space="0" w:color="auto"/>
                <w:right w:val="none" w:sz="0" w:space="0" w:color="auto"/>
              </w:divBdr>
            </w:div>
            <w:div w:id="1787893277">
              <w:marLeft w:val="0"/>
              <w:marRight w:val="0"/>
              <w:marTop w:val="0"/>
              <w:marBottom w:val="0"/>
              <w:divBdr>
                <w:top w:val="none" w:sz="0" w:space="0" w:color="auto"/>
                <w:left w:val="none" w:sz="0" w:space="0" w:color="auto"/>
                <w:bottom w:val="none" w:sz="0" w:space="0" w:color="auto"/>
                <w:right w:val="none" w:sz="0" w:space="0" w:color="auto"/>
              </w:divBdr>
            </w:div>
            <w:div w:id="1790120477">
              <w:marLeft w:val="0"/>
              <w:marRight w:val="0"/>
              <w:marTop w:val="0"/>
              <w:marBottom w:val="0"/>
              <w:divBdr>
                <w:top w:val="none" w:sz="0" w:space="0" w:color="auto"/>
                <w:left w:val="none" w:sz="0" w:space="0" w:color="auto"/>
                <w:bottom w:val="none" w:sz="0" w:space="0" w:color="auto"/>
                <w:right w:val="none" w:sz="0" w:space="0" w:color="auto"/>
              </w:divBdr>
            </w:div>
            <w:div w:id="1792892025">
              <w:marLeft w:val="0"/>
              <w:marRight w:val="0"/>
              <w:marTop w:val="0"/>
              <w:marBottom w:val="0"/>
              <w:divBdr>
                <w:top w:val="none" w:sz="0" w:space="0" w:color="auto"/>
                <w:left w:val="none" w:sz="0" w:space="0" w:color="auto"/>
                <w:bottom w:val="none" w:sz="0" w:space="0" w:color="auto"/>
                <w:right w:val="none" w:sz="0" w:space="0" w:color="auto"/>
              </w:divBdr>
            </w:div>
            <w:div w:id="1804494867">
              <w:marLeft w:val="0"/>
              <w:marRight w:val="0"/>
              <w:marTop w:val="0"/>
              <w:marBottom w:val="0"/>
              <w:divBdr>
                <w:top w:val="none" w:sz="0" w:space="0" w:color="auto"/>
                <w:left w:val="none" w:sz="0" w:space="0" w:color="auto"/>
                <w:bottom w:val="none" w:sz="0" w:space="0" w:color="auto"/>
                <w:right w:val="none" w:sz="0" w:space="0" w:color="auto"/>
              </w:divBdr>
            </w:div>
            <w:div w:id="1808740244">
              <w:marLeft w:val="0"/>
              <w:marRight w:val="0"/>
              <w:marTop w:val="0"/>
              <w:marBottom w:val="0"/>
              <w:divBdr>
                <w:top w:val="none" w:sz="0" w:space="0" w:color="auto"/>
                <w:left w:val="none" w:sz="0" w:space="0" w:color="auto"/>
                <w:bottom w:val="none" w:sz="0" w:space="0" w:color="auto"/>
                <w:right w:val="none" w:sz="0" w:space="0" w:color="auto"/>
              </w:divBdr>
            </w:div>
            <w:div w:id="1811437105">
              <w:marLeft w:val="0"/>
              <w:marRight w:val="0"/>
              <w:marTop w:val="0"/>
              <w:marBottom w:val="0"/>
              <w:divBdr>
                <w:top w:val="none" w:sz="0" w:space="0" w:color="auto"/>
                <w:left w:val="none" w:sz="0" w:space="0" w:color="auto"/>
                <w:bottom w:val="none" w:sz="0" w:space="0" w:color="auto"/>
                <w:right w:val="none" w:sz="0" w:space="0" w:color="auto"/>
              </w:divBdr>
            </w:div>
            <w:div w:id="1815291213">
              <w:marLeft w:val="0"/>
              <w:marRight w:val="0"/>
              <w:marTop w:val="0"/>
              <w:marBottom w:val="0"/>
              <w:divBdr>
                <w:top w:val="none" w:sz="0" w:space="0" w:color="auto"/>
                <w:left w:val="none" w:sz="0" w:space="0" w:color="auto"/>
                <w:bottom w:val="none" w:sz="0" w:space="0" w:color="auto"/>
                <w:right w:val="none" w:sz="0" w:space="0" w:color="auto"/>
              </w:divBdr>
            </w:div>
            <w:div w:id="1820078152">
              <w:marLeft w:val="0"/>
              <w:marRight w:val="0"/>
              <w:marTop w:val="0"/>
              <w:marBottom w:val="0"/>
              <w:divBdr>
                <w:top w:val="none" w:sz="0" w:space="0" w:color="auto"/>
                <w:left w:val="none" w:sz="0" w:space="0" w:color="auto"/>
                <w:bottom w:val="none" w:sz="0" w:space="0" w:color="auto"/>
                <w:right w:val="none" w:sz="0" w:space="0" w:color="auto"/>
              </w:divBdr>
            </w:div>
            <w:div w:id="1821730409">
              <w:marLeft w:val="0"/>
              <w:marRight w:val="0"/>
              <w:marTop w:val="0"/>
              <w:marBottom w:val="0"/>
              <w:divBdr>
                <w:top w:val="none" w:sz="0" w:space="0" w:color="auto"/>
                <w:left w:val="none" w:sz="0" w:space="0" w:color="auto"/>
                <w:bottom w:val="none" w:sz="0" w:space="0" w:color="auto"/>
                <w:right w:val="none" w:sz="0" w:space="0" w:color="auto"/>
              </w:divBdr>
            </w:div>
            <w:div w:id="1839728086">
              <w:marLeft w:val="0"/>
              <w:marRight w:val="0"/>
              <w:marTop w:val="0"/>
              <w:marBottom w:val="0"/>
              <w:divBdr>
                <w:top w:val="none" w:sz="0" w:space="0" w:color="auto"/>
                <w:left w:val="none" w:sz="0" w:space="0" w:color="auto"/>
                <w:bottom w:val="none" w:sz="0" w:space="0" w:color="auto"/>
                <w:right w:val="none" w:sz="0" w:space="0" w:color="auto"/>
              </w:divBdr>
            </w:div>
            <w:div w:id="1840579977">
              <w:marLeft w:val="0"/>
              <w:marRight w:val="0"/>
              <w:marTop w:val="0"/>
              <w:marBottom w:val="0"/>
              <w:divBdr>
                <w:top w:val="none" w:sz="0" w:space="0" w:color="auto"/>
                <w:left w:val="none" w:sz="0" w:space="0" w:color="auto"/>
                <w:bottom w:val="none" w:sz="0" w:space="0" w:color="auto"/>
                <w:right w:val="none" w:sz="0" w:space="0" w:color="auto"/>
              </w:divBdr>
            </w:div>
            <w:div w:id="1841968700">
              <w:marLeft w:val="0"/>
              <w:marRight w:val="0"/>
              <w:marTop w:val="0"/>
              <w:marBottom w:val="0"/>
              <w:divBdr>
                <w:top w:val="none" w:sz="0" w:space="0" w:color="auto"/>
                <w:left w:val="none" w:sz="0" w:space="0" w:color="auto"/>
                <w:bottom w:val="none" w:sz="0" w:space="0" w:color="auto"/>
                <w:right w:val="none" w:sz="0" w:space="0" w:color="auto"/>
              </w:divBdr>
            </w:div>
            <w:div w:id="1843623496">
              <w:marLeft w:val="0"/>
              <w:marRight w:val="0"/>
              <w:marTop w:val="0"/>
              <w:marBottom w:val="0"/>
              <w:divBdr>
                <w:top w:val="none" w:sz="0" w:space="0" w:color="auto"/>
                <w:left w:val="none" w:sz="0" w:space="0" w:color="auto"/>
                <w:bottom w:val="none" w:sz="0" w:space="0" w:color="auto"/>
                <w:right w:val="none" w:sz="0" w:space="0" w:color="auto"/>
              </w:divBdr>
            </w:div>
            <w:div w:id="1866096008">
              <w:marLeft w:val="0"/>
              <w:marRight w:val="0"/>
              <w:marTop w:val="0"/>
              <w:marBottom w:val="0"/>
              <w:divBdr>
                <w:top w:val="none" w:sz="0" w:space="0" w:color="auto"/>
                <w:left w:val="none" w:sz="0" w:space="0" w:color="auto"/>
                <w:bottom w:val="none" w:sz="0" w:space="0" w:color="auto"/>
                <w:right w:val="none" w:sz="0" w:space="0" w:color="auto"/>
              </w:divBdr>
            </w:div>
            <w:div w:id="1874230259">
              <w:marLeft w:val="0"/>
              <w:marRight w:val="0"/>
              <w:marTop w:val="0"/>
              <w:marBottom w:val="0"/>
              <w:divBdr>
                <w:top w:val="none" w:sz="0" w:space="0" w:color="auto"/>
                <w:left w:val="none" w:sz="0" w:space="0" w:color="auto"/>
                <w:bottom w:val="none" w:sz="0" w:space="0" w:color="auto"/>
                <w:right w:val="none" w:sz="0" w:space="0" w:color="auto"/>
              </w:divBdr>
            </w:div>
            <w:div w:id="1875120057">
              <w:marLeft w:val="0"/>
              <w:marRight w:val="0"/>
              <w:marTop w:val="0"/>
              <w:marBottom w:val="0"/>
              <w:divBdr>
                <w:top w:val="none" w:sz="0" w:space="0" w:color="auto"/>
                <w:left w:val="none" w:sz="0" w:space="0" w:color="auto"/>
                <w:bottom w:val="none" w:sz="0" w:space="0" w:color="auto"/>
                <w:right w:val="none" w:sz="0" w:space="0" w:color="auto"/>
              </w:divBdr>
            </w:div>
            <w:div w:id="1885672377">
              <w:marLeft w:val="0"/>
              <w:marRight w:val="0"/>
              <w:marTop w:val="0"/>
              <w:marBottom w:val="0"/>
              <w:divBdr>
                <w:top w:val="none" w:sz="0" w:space="0" w:color="auto"/>
                <w:left w:val="none" w:sz="0" w:space="0" w:color="auto"/>
                <w:bottom w:val="none" w:sz="0" w:space="0" w:color="auto"/>
                <w:right w:val="none" w:sz="0" w:space="0" w:color="auto"/>
              </w:divBdr>
            </w:div>
            <w:div w:id="1886991480">
              <w:marLeft w:val="0"/>
              <w:marRight w:val="0"/>
              <w:marTop w:val="0"/>
              <w:marBottom w:val="0"/>
              <w:divBdr>
                <w:top w:val="none" w:sz="0" w:space="0" w:color="auto"/>
                <w:left w:val="none" w:sz="0" w:space="0" w:color="auto"/>
                <w:bottom w:val="none" w:sz="0" w:space="0" w:color="auto"/>
                <w:right w:val="none" w:sz="0" w:space="0" w:color="auto"/>
              </w:divBdr>
            </w:div>
            <w:div w:id="1887519279">
              <w:marLeft w:val="0"/>
              <w:marRight w:val="0"/>
              <w:marTop w:val="0"/>
              <w:marBottom w:val="0"/>
              <w:divBdr>
                <w:top w:val="none" w:sz="0" w:space="0" w:color="auto"/>
                <w:left w:val="none" w:sz="0" w:space="0" w:color="auto"/>
                <w:bottom w:val="none" w:sz="0" w:space="0" w:color="auto"/>
                <w:right w:val="none" w:sz="0" w:space="0" w:color="auto"/>
              </w:divBdr>
            </w:div>
            <w:div w:id="1889949584">
              <w:marLeft w:val="0"/>
              <w:marRight w:val="0"/>
              <w:marTop w:val="0"/>
              <w:marBottom w:val="0"/>
              <w:divBdr>
                <w:top w:val="none" w:sz="0" w:space="0" w:color="auto"/>
                <w:left w:val="none" w:sz="0" w:space="0" w:color="auto"/>
                <w:bottom w:val="none" w:sz="0" w:space="0" w:color="auto"/>
                <w:right w:val="none" w:sz="0" w:space="0" w:color="auto"/>
              </w:divBdr>
            </w:div>
            <w:div w:id="1896815187">
              <w:marLeft w:val="0"/>
              <w:marRight w:val="0"/>
              <w:marTop w:val="0"/>
              <w:marBottom w:val="0"/>
              <w:divBdr>
                <w:top w:val="none" w:sz="0" w:space="0" w:color="auto"/>
                <w:left w:val="none" w:sz="0" w:space="0" w:color="auto"/>
                <w:bottom w:val="none" w:sz="0" w:space="0" w:color="auto"/>
                <w:right w:val="none" w:sz="0" w:space="0" w:color="auto"/>
              </w:divBdr>
            </w:div>
            <w:div w:id="1899584351">
              <w:marLeft w:val="0"/>
              <w:marRight w:val="0"/>
              <w:marTop w:val="0"/>
              <w:marBottom w:val="0"/>
              <w:divBdr>
                <w:top w:val="none" w:sz="0" w:space="0" w:color="auto"/>
                <w:left w:val="none" w:sz="0" w:space="0" w:color="auto"/>
                <w:bottom w:val="none" w:sz="0" w:space="0" w:color="auto"/>
                <w:right w:val="none" w:sz="0" w:space="0" w:color="auto"/>
              </w:divBdr>
            </w:div>
            <w:div w:id="1900020394">
              <w:marLeft w:val="0"/>
              <w:marRight w:val="0"/>
              <w:marTop w:val="0"/>
              <w:marBottom w:val="0"/>
              <w:divBdr>
                <w:top w:val="none" w:sz="0" w:space="0" w:color="auto"/>
                <w:left w:val="none" w:sz="0" w:space="0" w:color="auto"/>
                <w:bottom w:val="none" w:sz="0" w:space="0" w:color="auto"/>
                <w:right w:val="none" w:sz="0" w:space="0" w:color="auto"/>
              </w:divBdr>
            </w:div>
            <w:div w:id="1911649043">
              <w:marLeft w:val="0"/>
              <w:marRight w:val="0"/>
              <w:marTop w:val="0"/>
              <w:marBottom w:val="0"/>
              <w:divBdr>
                <w:top w:val="none" w:sz="0" w:space="0" w:color="auto"/>
                <w:left w:val="none" w:sz="0" w:space="0" w:color="auto"/>
                <w:bottom w:val="none" w:sz="0" w:space="0" w:color="auto"/>
                <w:right w:val="none" w:sz="0" w:space="0" w:color="auto"/>
              </w:divBdr>
            </w:div>
            <w:div w:id="1917352203">
              <w:marLeft w:val="0"/>
              <w:marRight w:val="0"/>
              <w:marTop w:val="0"/>
              <w:marBottom w:val="0"/>
              <w:divBdr>
                <w:top w:val="none" w:sz="0" w:space="0" w:color="auto"/>
                <w:left w:val="none" w:sz="0" w:space="0" w:color="auto"/>
                <w:bottom w:val="none" w:sz="0" w:space="0" w:color="auto"/>
                <w:right w:val="none" w:sz="0" w:space="0" w:color="auto"/>
              </w:divBdr>
            </w:div>
            <w:div w:id="1924949071">
              <w:marLeft w:val="0"/>
              <w:marRight w:val="0"/>
              <w:marTop w:val="0"/>
              <w:marBottom w:val="0"/>
              <w:divBdr>
                <w:top w:val="none" w:sz="0" w:space="0" w:color="auto"/>
                <w:left w:val="none" w:sz="0" w:space="0" w:color="auto"/>
                <w:bottom w:val="none" w:sz="0" w:space="0" w:color="auto"/>
                <w:right w:val="none" w:sz="0" w:space="0" w:color="auto"/>
              </w:divBdr>
            </w:div>
            <w:div w:id="1936982656">
              <w:marLeft w:val="0"/>
              <w:marRight w:val="0"/>
              <w:marTop w:val="0"/>
              <w:marBottom w:val="0"/>
              <w:divBdr>
                <w:top w:val="none" w:sz="0" w:space="0" w:color="auto"/>
                <w:left w:val="none" w:sz="0" w:space="0" w:color="auto"/>
                <w:bottom w:val="none" w:sz="0" w:space="0" w:color="auto"/>
                <w:right w:val="none" w:sz="0" w:space="0" w:color="auto"/>
              </w:divBdr>
            </w:div>
            <w:div w:id="1942761208">
              <w:marLeft w:val="0"/>
              <w:marRight w:val="0"/>
              <w:marTop w:val="0"/>
              <w:marBottom w:val="0"/>
              <w:divBdr>
                <w:top w:val="none" w:sz="0" w:space="0" w:color="auto"/>
                <w:left w:val="none" w:sz="0" w:space="0" w:color="auto"/>
                <w:bottom w:val="none" w:sz="0" w:space="0" w:color="auto"/>
                <w:right w:val="none" w:sz="0" w:space="0" w:color="auto"/>
              </w:divBdr>
            </w:div>
            <w:div w:id="1945266690">
              <w:marLeft w:val="0"/>
              <w:marRight w:val="0"/>
              <w:marTop w:val="0"/>
              <w:marBottom w:val="0"/>
              <w:divBdr>
                <w:top w:val="none" w:sz="0" w:space="0" w:color="auto"/>
                <w:left w:val="none" w:sz="0" w:space="0" w:color="auto"/>
                <w:bottom w:val="none" w:sz="0" w:space="0" w:color="auto"/>
                <w:right w:val="none" w:sz="0" w:space="0" w:color="auto"/>
              </w:divBdr>
            </w:div>
            <w:div w:id="1945376587">
              <w:marLeft w:val="0"/>
              <w:marRight w:val="0"/>
              <w:marTop w:val="0"/>
              <w:marBottom w:val="0"/>
              <w:divBdr>
                <w:top w:val="none" w:sz="0" w:space="0" w:color="auto"/>
                <w:left w:val="none" w:sz="0" w:space="0" w:color="auto"/>
                <w:bottom w:val="none" w:sz="0" w:space="0" w:color="auto"/>
                <w:right w:val="none" w:sz="0" w:space="0" w:color="auto"/>
              </w:divBdr>
            </w:div>
            <w:div w:id="1948079136">
              <w:marLeft w:val="0"/>
              <w:marRight w:val="0"/>
              <w:marTop w:val="0"/>
              <w:marBottom w:val="0"/>
              <w:divBdr>
                <w:top w:val="none" w:sz="0" w:space="0" w:color="auto"/>
                <w:left w:val="none" w:sz="0" w:space="0" w:color="auto"/>
                <w:bottom w:val="none" w:sz="0" w:space="0" w:color="auto"/>
                <w:right w:val="none" w:sz="0" w:space="0" w:color="auto"/>
              </w:divBdr>
            </w:div>
            <w:div w:id="1952665790">
              <w:marLeft w:val="0"/>
              <w:marRight w:val="0"/>
              <w:marTop w:val="0"/>
              <w:marBottom w:val="0"/>
              <w:divBdr>
                <w:top w:val="none" w:sz="0" w:space="0" w:color="auto"/>
                <w:left w:val="none" w:sz="0" w:space="0" w:color="auto"/>
                <w:bottom w:val="none" w:sz="0" w:space="0" w:color="auto"/>
                <w:right w:val="none" w:sz="0" w:space="0" w:color="auto"/>
              </w:divBdr>
            </w:div>
            <w:div w:id="1952976372">
              <w:marLeft w:val="0"/>
              <w:marRight w:val="0"/>
              <w:marTop w:val="0"/>
              <w:marBottom w:val="0"/>
              <w:divBdr>
                <w:top w:val="none" w:sz="0" w:space="0" w:color="auto"/>
                <w:left w:val="none" w:sz="0" w:space="0" w:color="auto"/>
                <w:bottom w:val="none" w:sz="0" w:space="0" w:color="auto"/>
                <w:right w:val="none" w:sz="0" w:space="0" w:color="auto"/>
              </w:divBdr>
            </w:div>
            <w:div w:id="1958371860">
              <w:marLeft w:val="0"/>
              <w:marRight w:val="0"/>
              <w:marTop w:val="0"/>
              <w:marBottom w:val="0"/>
              <w:divBdr>
                <w:top w:val="none" w:sz="0" w:space="0" w:color="auto"/>
                <w:left w:val="none" w:sz="0" w:space="0" w:color="auto"/>
                <w:bottom w:val="none" w:sz="0" w:space="0" w:color="auto"/>
                <w:right w:val="none" w:sz="0" w:space="0" w:color="auto"/>
              </w:divBdr>
            </w:div>
            <w:div w:id="1964119178">
              <w:marLeft w:val="0"/>
              <w:marRight w:val="0"/>
              <w:marTop w:val="0"/>
              <w:marBottom w:val="0"/>
              <w:divBdr>
                <w:top w:val="none" w:sz="0" w:space="0" w:color="auto"/>
                <w:left w:val="none" w:sz="0" w:space="0" w:color="auto"/>
                <w:bottom w:val="none" w:sz="0" w:space="0" w:color="auto"/>
                <w:right w:val="none" w:sz="0" w:space="0" w:color="auto"/>
              </w:divBdr>
            </w:div>
            <w:div w:id="1966891130">
              <w:marLeft w:val="0"/>
              <w:marRight w:val="0"/>
              <w:marTop w:val="0"/>
              <w:marBottom w:val="0"/>
              <w:divBdr>
                <w:top w:val="none" w:sz="0" w:space="0" w:color="auto"/>
                <w:left w:val="none" w:sz="0" w:space="0" w:color="auto"/>
                <w:bottom w:val="none" w:sz="0" w:space="0" w:color="auto"/>
                <w:right w:val="none" w:sz="0" w:space="0" w:color="auto"/>
              </w:divBdr>
            </w:div>
            <w:div w:id="1967275466">
              <w:marLeft w:val="0"/>
              <w:marRight w:val="0"/>
              <w:marTop w:val="0"/>
              <w:marBottom w:val="0"/>
              <w:divBdr>
                <w:top w:val="none" w:sz="0" w:space="0" w:color="auto"/>
                <w:left w:val="none" w:sz="0" w:space="0" w:color="auto"/>
                <w:bottom w:val="none" w:sz="0" w:space="0" w:color="auto"/>
                <w:right w:val="none" w:sz="0" w:space="0" w:color="auto"/>
              </w:divBdr>
            </w:div>
            <w:div w:id="1978560634">
              <w:marLeft w:val="0"/>
              <w:marRight w:val="0"/>
              <w:marTop w:val="0"/>
              <w:marBottom w:val="0"/>
              <w:divBdr>
                <w:top w:val="none" w:sz="0" w:space="0" w:color="auto"/>
                <w:left w:val="none" w:sz="0" w:space="0" w:color="auto"/>
                <w:bottom w:val="none" w:sz="0" w:space="0" w:color="auto"/>
                <w:right w:val="none" w:sz="0" w:space="0" w:color="auto"/>
              </w:divBdr>
            </w:div>
            <w:div w:id="1996298261">
              <w:marLeft w:val="0"/>
              <w:marRight w:val="0"/>
              <w:marTop w:val="0"/>
              <w:marBottom w:val="0"/>
              <w:divBdr>
                <w:top w:val="none" w:sz="0" w:space="0" w:color="auto"/>
                <w:left w:val="none" w:sz="0" w:space="0" w:color="auto"/>
                <w:bottom w:val="none" w:sz="0" w:space="0" w:color="auto"/>
                <w:right w:val="none" w:sz="0" w:space="0" w:color="auto"/>
              </w:divBdr>
            </w:div>
            <w:div w:id="2030637496">
              <w:marLeft w:val="0"/>
              <w:marRight w:val="0"/>
              <w:marTop w:val="0"/>
              <w:marBottom w:val="0"/>
              <w:divBdr>
                <w:top w:val="none" w:sz="0" w:space="0" w:color="auto"/>
                <w:left w:val="none" w:sz="0" w:space="0" w:color="auto"/>
                <w:bottom w:val="none" w:sz="0" w:space="0" w:color="auto"/>
                <w:right w:val="none" w:sz="0" w:space="0" w:color="auto"/>
              </w:divBdr>
            </w:div>
            <w:div w:id="2031489340">
              <w:marLeft w:val="0"/>
              <w:marRight w:val="0"/>
              <w:marTop w:val="0"/>
              <w:marBottom w:val="0"/>
              <w:divBdr>
                <w:top w:val="none" w:sz="0" w:space="0" w:color="auto"/>
                <w:left w:val="none" w:sz="0" w:space="0" w:color="auto"/>
                <w:bottom w:val="none" w:sz="0" w:space="0" w:color="auto"/>
                <w:right w:val="none" w:sz="0" w:space="0" w:color="auto"/>
              </w:divBdr>
            </w:div>
            <w:div w:id="2035686543">
              <w:marLeft w:val="0"/>
              <w:marRight w:val="0"/>
              <w:marTop w:val="0"/>
              <w:marBottom w:val="0"/>
              <w:divBdr>
                <w:top w:val="none" w:sz="0" w:space="0" w:color="auto"/>
                <w:left w:val="none" w:sz="0" w:space="0" w:color="auto"/>
                <w:bottom w:val="none" w:sz="0" w:space="0" w:color="auto"/>
                <w:right w:val="none" w:sz="0" w:space="0" w:color="auto"/>
              </w:divBdr>
            </w:div>
            <w:div w:id="2037920023">
              <w:marLeft w:val="0"/>
              <w:marRight w:val="0"/>
              <w:marTop w:val="0"/>
              <w:marBottom w:val="0"/>
              <w:divBdr>
                <w:top w:val="none" w:sz="0" w:space="0" w:color="auto"/>
                <w:left w:val="none" w:sz="0" w:space="0" w:color="auto"/>
                <w:bottom w:val="none" w:sz="0" w:space="0" w:color="auto"/>
                <w:right w:val="none" w:sz="0" w:space="0" w:color="auto"/>
              </w:divBdr>
            </w:div>
            <w:div w:id="2041513247">
              <w:marLeft w:val="0"/>
              <w:marRight w:val="0"/>
              <w:marTop w:val="0"/>
              <w:marBottom w:val="0"/>
              <w:divBdr>
                <w:top w:val="none" w:sz="0" w:space="0" w:color="auto"/>
                <w:left w:val="none" w:sz="0" w:space="0" w:color="auto"/>
                <w:bottom w:val="none" w:sz="0" w:space="0" w:color="auto"/>
                <w:right w:val="none" w:sz="0" w:space="0" w:color="auto"/>
              </w:divBdr>
            </w:div>
            <w:div w:id="2047367849">
              <w:marLeft w:val="0"/>
              <w:marRight w:val="0"/>
              <w:marTop w:val="0"/>
              <w:marBottom w:val="0"/>
              <w:divBdr>
                <w:top w:val="none" w:sz="0" w:space="0" w:color="auto"/>
                <w:left w:val="none" w:sz="0" w:space="0" w:color="auto"/>
                <w:bottom w:val="none" w:sz="0" w:space="0" w:color="auto"/>
                <w:right w:val="none" w:sz="0" w:space="0" w:color="auto"/>
              </w:divBdr>
            </w:div>
            <w:div w:id="2051414747">
              <w:marLeft w:val="0"/>
              <w:marRight w:val="0"/>
              <w:marTop w:val="0"/>
              <w:marBottom w:val="0"/>
              <w:divBdr>
                <w:top w:val="none" w:sz="0" w:space="0" w:color="auto"/>
                <w:left w:val="none" w:sz="0" w:space="0" w:color="auto"/>
                <w:bottom w:val="none" w:sz="0" w:space="0" w:color="auto"/>
                <w:right w:val="none" w:sz="0" w:space="0" w:color="auto"/>
              </w:divBdr>
            </w:div>
            <w:div w:id="2055424470">
              <w:marLeft w:val="0"/>
              <w:marRight w:val="0"/>
              <w:marTop w:val="0"/>
              <w:marBottom w:val="0"/>
              <w:divBdr>
                <w:top w:val="none" w:sz="0" w:space="0" w:color="auto"/>
                <w:left w:val="none" w:sz="0" w:space="0" w:color="auto"/>
                <w:bottom w:val="none" w:sz="0" w:space="0" w:color="auto"/>
                <w:right w:val="none" w:sz="0" w:space="0" w:color="auto"/>
              </w:divBdr>
            </w:div>
            <w:div w:id="2076659550">
              <w:marLeft w:val="0"/>
              <w:marRight w:val="0"/>
              <w:marTop w:val="0"/>
              <w:marBottom w:val="0"/>
              <w:divBdr>
                <w:top w:val="none" w:sz="0" w:space="0" w:color="auto"/>
                <w:left w:val="none" w:sz="0" w:space="0" w:color="auto"/>
                <w:bottom w:val="none" w:sz="0" w:space="0" w:color="auto"/>
                <w:right w:val="none" w:sz="0" w:space="0" w:color="auto"/>
              </w:divBdr>
            </w:div>
            <w:div w:id="2093089490">
              <w:marLeft w:val="0"/>
              <w:marRight w:val="0"/>
              <w:marTop w:val="0"/>
              <w:marBottom w:val="0"/>
              <w:divBdr>
                <w:top w:val="none" w:sz="0" w:space="0" w:color="auto"/>
                <w:left w:val="none" w:sz="0" w:space="0" w:color="auto"/>
                <w:bottom w:val="none" w:sz="0" w:space="0" w:color="auto"/>
                <w:right w:val="none" w:sz="0" w:space="0" w:color="auto"/>
              </w:divBdr>
            </w:div>
            <w:div w:id="2096050925">
              <w:marLeft w:val="0"/>
              <w:marRight w:val="0"/>
              <w:marTop w:val="0"/>
              <w:marBottom w:val="0"/>
              <w:divBdr>
                <w:top w:val="none" w:sz="0" w:space="0" w:color="auto"/>
                <w:left w:val="none" w:sz="0" w:space="0" w:color="auto"/>
                <w:bottom w:val="none" w:sz="0" w:space="0" w:color="auto"/>
                <w:right w:val="none" w:sz="0" w:space="0" w:color="auto"/>
              </w:divBdr>
            </w:div>
            <w:div w:id="2104378830">
              <w:marLeft w:val="0"/>
              <w:marRight w:val="0"/>
              <w:marTop w:val="0"/>
              <w:marBottom w:val="0"/>
              <w:divBdr>
                <w:top w:val="none" w:sz="0" w:space="0" w:color="auto"/>
                <w:left w:val="none" w:sz="0" w:space="0" w:color="auto"/>
                <w:bottom w:val="none" w:sz="0" w:space="0" w:color="auto"/>
                <w:right w:val="none" w:sz="0" w:space="0" w:color="auto"/>
              </w:divBdr>
            </w:div>
            <w:div w:id="2104567630">
              <w:marLeft w:val="0"/>
              <w:marRight w:val="0"/>
              <w:marTop w:val="0"/>
              <w:marBottom w:val="0"/>
              <w:divBdr>
                <w:top w:val="none" w:sz="0" w:space="0" w:color="auto"/>
                <w:left w:val="none" w:sz="0" w:space="0" w:color="auto"/>
                <w:bottom w:val="none" w:sz="0" w:space="0" w:color="auto"/>
                <w:right w:val="none" w:sz="0" w:space="0" w:color="auto"/>
              </w:divBdr>
            </w:div>
            <w:div w:id="2112701711">
              <w:marLeft w:val="0"/>
              <w:marRight w:val="0"/>
              <w:marTop w:val="0"/>
              <w:marBottom w:val="0"/>
              <w:divBdr>
                <w:top w:val="none" w:sz="0" w:space="0" w:color="auto"/>
                <w:left w:val="none" w:sz="0" w:space="0" w:color="auto"/>
                <w:bottom w:val="none" w:sz="0" w:space="0" w:color="auto"/>
                <w:right w:val="none" w:sz="0" w:space="0" w:color="auto"/>
              </w:divBdr>
            </w:div>
            <w:div w:id="2114394596">
              <w:marLeft w:val="0"/>
              <w:marRight w:val="0"/>
              <w:marTop w:val="0"/>
              <w:marBottom w:val="0"/>
              <w:divBdr>
                <w:top w:val="none" w:sz="0" w:space="0" w:color="auto"/>
                <w:left w:val="none" w:sz="0" w:space="0" w:color="auto"/>
                <w:bottom w:val="none" w:sz="0" w:space="0" w:color="auto"/>
                <w:right w:val="none" w:sz="0" w:space="0" w:color="auto"/>
              </w:divBdr>
            </w:div>
            <w:div w:id="2114472552">
              <w:marLeft w:val="0"/>
              <w:marRight w:val="0"/>
              <w:marTop w:val="0"/>
              <w:marBottom w:val="0"/>
              <w:divBdr>
                <w:top w:val="none" w:sz="0" w:space="0" w:color="auto"/>
                <w:left w:val="none" w:sz="0" w:space="0" w:color="auto"/>
                <w:bottom w:val="none" w:sz="0" w:space="0" w:color="auto"/>
                <w:right w:val="none" w:sz="0" w:space="0" w:color="auto"/>
              </w:divBdr>
            </w:div>
            <w:div w:id="2116823497">
              <w:marLeft w:val="0"/>
              <w:marRight w:val="0"/>
              <w:marTop w:val="0"/>
              <w:marBottom w:val="0"/>
              <w:divBdr>
                <w:top w:val="none" w:sz="0" w:space="0" w:color="auto"/>
                <w:left w:val="none" w:sz="0" w:space="0" w:color="auto"/>
                <w:bottom w:val="none" w:sz="0" w:space="0" w:color="auto"/>
                <w:right w:val="none" w:sz="0" w:space="0" w:color="auto"/>
              </w:divBdr>
            </w:div>
            <w:div w:id="2129278299">
              <w:marLeft w:val="0"/>
              <w:marRight w:val="0"/>
              <w:marTop w:val="0"/>
              <w:marBottom w:val="0"/>
              <w:divBdr>
                <w:top w:val="none" w:sz="0" w:space="0" w:color="auto"/>
                <w:left w:val="none" w:sz="0" w:space="0" w:color="auto"/>
                <w:bottom w:val="none" w:sz="0" w:space="0" w:color="auto"/>
                <w:right w:val="none" w:sz="0" w:space="0" w:color="auto"/>
              </w:divBdr>
            </w:div>
            <w:div w:id="2131775201">
              <w:marLeft w:val="0"/>
              <w:marRight w:val="0"/>
              <w:marTop w:val="0"/>
              <w:marBottom w:val="0"/>
              <w:divBdr>
                <w:top w:val="none" w:sz="0" w:space="0" w:color="auto"/>
                <w:left w:val="none" w:sz="0" w:space="0" w:color="auto"/>
                <w:bottom w:val="none" w:sz="0" w:space="0" w:color="auto"/>
                <w:right w:val="none" w:sz="0" w:space="0" w:color="auto"/>
              </w:divBdr>
            </w:div>
            <w:div w:id="21460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61839">
      <w:bodyDiv w:val="1"/>
      <w:marLeft w:val="0"/>
      <w:marRight w:val="0"/>
      <w:marTop w:val="0"/>
      <w:marBottom w:val="0"/>
      <w:divBdr>
        <w:top w:val="none" w:sz="0" w:space="0" w:color="auto"/>
        <w:left w:val="none" w:sz="0" w:space="0" w:color="auto"/>
        <w:bottom w:val="none" w:sz="0" w:space="0" w:color="auto"/>
        <w:right w:val="none" w:sz="0" w:space="0" w:color="auto"/>
      </w:divBdr>
      <w:divsChild>
        <w:div w:id="834807085">
          <w:marLeft w:val="0"/>
          <w:marRight w:val="0"/>
          <w:marTop w:val="0"/>
          <w:marBottom w:val="0"/>
          <w:divBdr>
            <w:top w:val="none" w:sz="0" w:space="0" w:color="auto"/>
            <w:left w:val="none" w:sz="0" w:space="0" w:color="auto"/>
            <w:bottom w:val="none" w:sz="0" w:space="0" w:color="auto"/>
            <w:right w:val="none" w:sz="0" w:space="0" w:color="auto"/>
          </w:divBdr>
          <w:divsChild>
            <w:div w:id="12113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39383">
      <w:bodyDiv w:val="1"/>
      <w:marLeft w:val="0"/>
      <w:marRight w:val="0"/>
      <w:marTop w:val="0"/>
      <w:marBottom w:val="0"/>
      <w:divBdr>
        <w:top w:val="none" w:sz="0" w:space="0" w:color="auto"/>
        <w:left w:val="none" w:sz="0" w:space="0" w:color="auto"/>
        <w:bottom w:val="none" w:sz="0" w:space="0" w:color="auto"/>
        <w:right w:val="none" w:sz="0" w:space="0" w:color="auto"/>
      </w:divBdr>
    </w:div>
    <w:div w:id="1208879485">
      <w:bodyDiv w:val="1"/>
      <w:marLeft w:val="0"/>
      <w:marRight w:val="0"/>
      <w:marTop w:val="0"/>
      <w:marBottom w:val="0"/>
      <w:divBdr>
        <w:top w:val="none" w:sz="0" w:space="0" w:color="auto"/>
        <w:left w:val="none" w:sz="0" w:space="0" w:color="auto"/>
        <w:bottom w:val="none" w:sz="0" w:space="0" w:color="auto"/>
        <w:right w:val="none" w:sz="0" w:space="0" w:color="auto"/>
      </w:divBdr>
    </w:div>
    <w:div w:id="1226602934">
      <w:bodyDiv w:val="1"/>
      <w:marLeft w:val="0"/>
      <w:marRight w:val="0"/>
      <w:marTop w:val="0"/>
      <w:marBottom w:val="0"/>
      <w:divBdr>
        <w:top w:val="none" w:sz="0" w:space="0" w:color="auto"/>
        <w:left w:val="none" w:sz="0" w:space="0" w:color="auto"/>
        <w:bottom w:val="none" w:sz="0" w:space="0" w:color="auto"/>
        <w:right w:val="none" w:sz="0" w:space="0" w:color="auto"/>
      </w:divBdr>
    </w:div>
    <w:div w:id="1243374219">
      <w:bodyDiv w:val="1"/>
      <w:marLeft w:val="0"/>
      <w:marRight w:val="0"/>
      <w:marTop w:val="0"/>
      <w:marBottom w:val="0"/>
      <w:divBdr>
        <w:top w:val="none" w:sz="0" w:space="0" w:color="auto"/>
        <w:left w:val="none" w:sz="0" w:space="0" w:color="auto"/>
        <w:bottom w:val="none" w:sz="0" w:space="0" w:color="auto"/>
        <w:right w:val="none" w:sz="0" w:space="0" w:color="auto"/>
      </w:divBdr>
    </w:div>
    <w:div w:id="1260480186">
      <w:bodyDiv w:val="1"/>
      <w:marLeft w:val="0"/>
      <w:marRight w:val="0"/>
      <w:marTop w:val="0"/>
      <w:marBottom w:val="0"/>
      <w:divBdr>
        <w:top w:val="none" w:sz="0" w:space="0" w:color="auto"/>
        <w:left w:val="none" w:sz="0" w:space="0" w:color="auto"/>
        <w:bottom w:val="none" w:sz="0" w:space="0" w:color="auto"/>
        <w:right w:val="none" w:sz="0" w:space="0" w:color="auto"/>
      </w:divBdr>
    </w:div>
    <w:div w:id="1262493112">
      <w:bodyDiv w:val="1"/>
      <w:marLeft w:val="0"/>
      <w:marRight w:val="0"/>
      <w:marTop w:val="0"/>
      <w:marBottom w:val="0"/>
      <w:divBdr>
        <w:top w:val="none" w:sz="0" w:space="0" w:color="auto"/>
        <w:left w:val="none" w:sz="0" w:space="0" w:color="auto"/>
        <w:bottom w:val="none" w:sz="0" w:space="0" w:color="auto"/>
        <w:right w:val="none" w:sz="0" w:space="0" w:color="auto"/>
      </w:divBdr>
    </w:div>
    <w:div w:id="1264604559">
      <w:bodyDiv w:val="1"/>
      <w:marLeft w:val="0"/>
      <w:marRight w:val="0"/>
      <w:marTop w:val="0"/>
      <w:marBottom w:val="0"/>
      <w:divBdr>
        <w:top w:val="none" w:sz="0" w:space="0" w:color="auto"/>
        <w:left w:val="none" w:sz="0" w:space="0" w:color="auto"/>
        <w:bottom w:val="none" w:sz="0" w:space="0" w:color="auto"/>
        <w:right w:val="none" w:sz="0" w:space="0" w:color="auto"/>
      </w:divBdr>
      <w:divsChild>
        <w:div w:id="424113535">
          <w:marLeft w:val="0"/>
          <w:marRight w:val="0"/>
          <w:marTop w:val="0"/>
          <w:marBottom w:val="0"/>
          <w:divBdr>
            <w:top w:val="none" w:sz="0" w:space="0" w:color="auto"/>
            <w:left w:val="none" w:sz="0" w:space="0" w:color="auto"/>
            <w:bottom w:val="none" w:sz="0" w:space="0" w:color="auto"/>
            <w:right w:val="none" w:sz="0" w:space="0" w:color="auto"/>
          </w:divBdr>
        </w:div>
        <w:div w:id="729496162">
          <w:marLeft w:val="0"/>
          <w:marRight w:val="0"/>
          <w:marTop w:val="0"/>
          <w:marBottom w:val="0"/>
          <w:divBdr>
            <w:top w:val="none" w:sz="0" w:space="0" w:color="auto"/>
            <w:left w:val="none" w:sz="0" w:space="0" w:color="auto"/>
            <w:bottom w:val="none" w:sz="0" w:space="0" w:color="auto"/>
            <w:right w:val="none" w:sz="0" w:space="0" w:color="auto"/>
          </w:divBdr>
        </w:div>
        <w:div w:id="826088752">
          <w:marLeft w:val="0"/>
          <w:marRight w:val="0"/>
          <w:marTop w:val="0"/>
          <w:marBottom w:val="0"/>
          <w:divBdr>
            <w:top w:val="none" w:sz="0" w:space="0" w:color="auto"/>
            <w:left w:val="none" w:sz="0" w:space="0" w:color="auto"/>
            <w:bottom w:val="none" w:sz="0" w:space="0" w:color="auto"/>
            <w:right w:val="none" w:sz="0" w:space="0" w:color="auto"/>
          </w:divBdr>
        </w:div>
        <w:div w:id="1641811109">
          <w:marLeft w:val="0"/>
          <w:marRight w:val="0"/>
          <w:marTop w:val="0"/>
          <w:marBottom w:val="0"/>
          <w:divBdr>
            <w:top w:val="none" w:sz="0" w:space="0" w:color="auto"/>
            <w:left w:val="none" w:sz="0" w:space="0" w:color="auto"/>
            <w:bottom w:val="none" w:sz="0" w:space="0" w:color="auto"/>
            <w:right w:val="none" w:sz="0" w:space="0" w:color="auto"/>
          </w:divBdr>
        </w:div>
        <w:div w:id="1795440688">
          <w:marLeft w:val="0"/>
          <w:marRight w:val="0"/>
          <w:marTop w:val="0"/>
          <w:marBottom w:val="0"/>
          <w:divBdr>
            <w:top w:val="none" w:sz="0" w:space="0" w:color="auto"/>
            <w:left w:val="none" w:sz="0" w:space="0" w:color="auto"/>
            <w:bottom w:val="none" w:sz="0" w:space="0" w:color="auto"/>
            <w:right w:val="none" w:sz="0" w:space="0" w:color="auto"/>
          </w:divBdr>
        </w:div>
      </w:divsChild>
    </w:div>
    <w:div w:id="1272589781">
      <w:bodyDiv w:val="1"/>
      <w:marLeft w:val="0"/>
      <w:marRight w:val="0"/>
      <w:marTop w:val="0"/>
      <w:marBottom w:val="0"/>
      <w:divBdr>
        <w:top w:val="none" w:sz="0" w:space="0" w:color="auto"/>
        <w:left w:val="none" w:sz="0" w:space="0" w:color="auto"/>
        <w:bottom w:val="none" w:sz="0" w:space="0" w:color="auto"/>
        <w:right w:val="none" w:sz="0" w:space="0" w:color="auto"/>
      </w:divBdr>
    </w:div>
    <w:div w:id="1274678275">
      <w:bodyDiv w:val="1"/>
      <w:marLeft w:val="0"/>
      <w:marRight w:val="0"/>
      <w:marTop w:val="0"/>
      <w:marBottom w:val="0"/>
      <w:divBdr>
        <w:top w:val="none" w:sz="0" w:space="0" w:color="auto"/>
        <w:left w:val="none" w:sz="0" w:space="0" w:color="auto"/>
        <w:bottom w:val="none" w:sz="0" w:space="0" w:color="auto"/>
        <w:right w:val="none" w:sz="0" w:space="0" w:color="auto"/>
      </w:divBdr>
    </w:div>
    <w:div w:id="1383360281">
      <w:bodyDiv w:val="1"/>
      <w:marLeft w:val="0"/>
      <w:marRight w:val="0"/>
      <w:marTop w:val="0"/>
      <w:marBottom w:val="0"/>
      <w:divBdr>
        <w:top w:val="none" w:sz="0" w:space="0" w:color="auto"/>
        <w:left w:val="none" w:sz="0" w:space="0" w:color="auto"/>
        <w:bottom w:val="none" w:sz="0" w:space="0" w:color="auto"/>
        <w:right w:val="none" w:sz="0" w:space="0" w:color="auto"/>
      </w:divBdr>
    </w:div>
    <w:div w:id="1442529997">
      <w:bodyDiv w:val="1"/>
      <w:marLeft w:val="0"/>
      <w:marRight w:val="0"/>
      <w:marTop w:val="0"/>
      <w:marBottom w:val="0"/>
      <w:divBdr>
        <w:top w:val="none" w:sz="0" w:space="0" w:color="auto"/>
        <w:left w:val="none" w:sz="0" w:space="0" w:color="auto"/>
        <w:bottom w:val="none" w:sz="0" w:space="0" w:color="auto"/>
        <w:right w:val="none" w:sz="0" w:space="0" w:color="auto"/>
      </w:divBdr>
    </w:div>
    <w:div w:id="1452672446">
      <w:bodyDiv w:val="1"/>
      <w:marLeft w:val="0"/>
      <w:marRight w:val="0"/>
      <w:marTop w:val="0"/>
      <w:marBottom w:val="0"/>
      <w:divBdr>
        <w:top w:val="none" w:sz="0" w:space="0" w:color="auto"/>
        <w:left w:val="none" w:sz="0" w:space="0" w:color="auto"/>
        <w:bottom w:val="none" w:sz="0" w:space="0" w:color="auto"/>
        <w:right w:val="none" w:sz="0" w:space="0" w:color="auto"/>
      </w:divBdr>
    </w:div>
    <w:div w:id="1458645689">
      <w:bodyDiv w:val="1"/>
      <w:marLeft w:val="0"/>
      <w:marRight w:val="0"/>
      <w:marTop w:val="0"/>
      <w:marBottom w:val="0"/>
      <w:divBdr>
        <w:top w:val="none" w:sz="0" w:space="0" w:color="auto"/>
        <w:left w:val="none" w:sz="0" w:space="0" w:color="auto"/>
        <w:bottom w:val="none" w:sz="0" w:space="0" w:color="auto"/>
        <w:right w:val="none" w:sz="0" w:space="0" w:color="auto"/>
      </w:divBdr>
      <w:divsChild>
        <w:div w:id="1424574695">
          <w:marLeft w:val="0"/>
          <w:marRight w:val="0"/>
          <w:marTop w:val="0"/>
          <w:marBottom w:val="0"/>
          <w:divBdr>
            <w:top w:val="none" w:sz="0" w:space="0" w:color="auto"/>
            <w:left w:val="none" w:sz="0" w:space="0" w:color="auto"/>
            <w:bottom w:val="none" w:sz="0" w:space="0" w:color="auto"/>
            <w:right w:val="none" w:sz="0" w:space="0" w:color="auto"/>
          </w:divBdr>
        </w:div>
        <w:div w:id="1874230172">
          <w:marLeft w:val="0"/>
          <w:marRight w:val="0"/>
          <w:marTop w:val="0"/>
          <w:marBottom w:val="0"/>
          <w:divBdr>
            <w:top w:val="none" w:sz="0" w:space="0" w:color="auto"/>
            <w:left w:val="none" w:sz="0" w:space="0" w:color="auto"/>
            <w:bottom w:val="none" w:sz="0" w:space="0" w:color="auto"/>
            <w:right w:val="none" w:sz="0" w:space="0" w:color="auto"/>
          </w:divBdr>
        </w:div>
      </w:divsChild>
    </w:div>
    <w:div w:id="1470975550">
      <w:bodyDiv w:val="1"/>
      <w:marLeft w:val="0"/>
      <w:marRight w:val="0"/>
      <w:marTop w:val="0"/>
      <w:marBottom w:val="0"/>
      <w:divBdr>
        <w:top w:val="none" w:sz="0" w:space="0" w:color="auto"/>
        <w:left w:val="none" w:sz="0" w:space="0" w:color="auto"/>
        <w:bottom w:val="none" w:sz="0" w:space="0" w:color="auto"/>
        <w:right w:val="none" w:sz="0" w:space="0" w:color="auto"/>
      </w:divBdr>
      <w:divsChild>
        <w:div w:id="1735082354">
          <w:marLeft w:val="0"/>
          <w:marRight w:val="0"/>
          <w:marTop w:val="0"/>
          <w:marBottom w:val="0"/>
          <w:divBdr>
            <w:top w:val="none" w:sz="0" w:space="0" w:color="auto"/>
            <w:left w:val="none" w:sz="0" w:space="0" w:color="auto"/>
            <w:bottom w:val="none" w:sz="0" w:space="0" w:color="auto"/>
            <w:right w:val="none" w:sz="0" w:space="0" w:color="auto"/>
          </w:divBdr>
          <w:divsChild>
            <w:div w:id="1594583243">
              <w:marLeft w:val="0"/>
              <w:marRight w:val="0"/>
              <w:marTop w:val="0"/>
              <w:marBottom w:val="0"/>
              <w:divBdr>
                <w:top w:val="none" w:sz="0" w:space="0" w:color="auto"/>
                <w:left w:val="none" w:sz="0" w:space="0" w:color="auto"/>
                <w:bottom w:val="none" w:sz="0" w:space="0" w:color="auto"/>
                <w:right w:val="none" w:sz="0" w:space="0" w:color="auto"/>
              </w:divBdr>
              <w:divsChild>
                <w:div w:id="1368602897">
                  <w:marLeft w:val="0"/>
                  <w:marRight w:val="0"/>
                  <w:marTop w:val="0"/>
                  <w:marBottom w:val="0"/>
                  <w:divBdr>
                    <w:top w:val="none" w:sz="0" w:space="0" w:color="auto"/>
                    <w:left w:val="none" w:sz="0" w:space="0" w:color="auto"/>
                    <w:bottom w:val="none" w:sz="0" w:space="0" w:color="auto"/>
                    <w:right w:val="none" w:sz="0" w:space="0" w:color="auto"/>
                  </w:divBdr>
                  <w:divsChild>
                    <w:div w:id="737090103">
                      <w:marLeft w:val="0"/>
                      <w:marRight w:val="0"/>
                      <w:marTop w:val="0"/>
                      <w:marBottom w:val="0"/>
                      <w:divBdr>
                        <w:top w:val="none" w:sz="0" w:space="0" w:color="auto"/>
                        <w:left w:val="none" w:sz="0" w:space="0" w:color="auto"/>
                        <w:bottom w:val="none" w:sz="0" w:space="0" w:color="auto"/>
                        <w:right w:val="none" w:sz="0" w:space="0" w:color="auto"/>
                      </w:divBdr>
                      <w:divsChild>
                        <w:div w:id="1568229012">
                          <w:marLeft w:val="0"/>
                          <w:marRight w:val="0"/>
                          <w:marTop w:val="0"/>
                          <w:marBottom w:val="0"/>
                          <w:divBdr>
                            <w:top w:val="none" w:sz="0" w:space="0" w:color="auto"/>
                            <w:left w:val="none" w:sz="0" w:space="0" w:color="auto"/>
                            <w:bottom w:val="none" w:sz="0" w:space="0" w:color="auto"/>
                            <w:right w:val="none" w:sz="0" w:space="0" w:color="auto"/>
                          </w:divBdr>
                          <w:divsChild>
                            <w:div w:id="809446729">
                              <w:marLeft w:val="0"/>
                              <w:marRight w:val="0"/>
                              <w:marTop w:val="0"/>
                              <w:marBottom w:val="0"/>
                              <w:divBdr>
                                <w:top w:val="none" w:sz="0" w:space="0" w:color="auto"/>
                                <w:left w:val="none" w:sz="0" w:space="0" w:color="auto"/>
                                <w:bottom w:val="none" w:sz="0" w:space="0" w:color="auto"/>
                                <w:right w:val="none" w:sz="0" w:space="0" w:color="auto"/>
                              </w:divBdr>
                              <w:divsChild>
                                <w:div w:id="6299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378606">
      <w:bodyDiv w:val="1"/>
      <w:marLeft w:val="0"/>
      <w:marRight w:val="0"/>
      <w:marTop w:val="0"/>
      <w:marBottom w:val="0"/>
      <w:divBdr>
        <w:top w:val="none" w:sz="0" w:space="0" w:color="auto"/>
        <w:left w:val="none" w:sz="0" w:space="0" w:color="auto"/>
        <w:bottom w:val="none" w:sz="0" w:space="0" w:color="auto"/>
        <w:right w:val="none" w:sz="0" w:space="0" w:color="auto"/>
      </w:divBdr>
    </w:div>
    <w:div w:id="1496383715">
      <w:bodyDiv w:val="1"/>
      <w:marLeft w:val="0"/>
      <w:marRight w:val="0"/>
      <w:marTop w:val="0"/>
      <w:marBottom w:val="0"/>
      <w:divBdr>
        <w:top w:val="none" w:sz="0" w:space="0" w:color="auto"/>
        <w:left w:val="none" w:sz="0" w:space="0" w:color="auto"/>
        <w:bottom w:val="none" w:sz="0" w:space="0" w:color="auto"/>
        <w:right w:val="none" w:sz="0" w:space="0" w:color="auto"/>
      </w:divBdr>
    </w:div>
    <w:div w:id="1516963338">
      <w:bodyDiv w:val="1"/>
      <w:marLeft w:val="0"/>
      <w:marRight w:val="0"/>
      <w:marTop w:val="0"/>
      <w:marBottom w:val="0"/>
      <w:divBdr>
        <w:top w:val="none" w:sz="0" w:space="0" w:color="auto"/>
        <w:left w:val="none" w:sz="0" w:space="0" w:color="auto"/>
        <w:bottom w:val="none" w:sz="0" w:space="0" w:color="auto"/>
        <w:right w:val="none" w:sz="0" w:space="0" w:color="auto"/>
      </w:divBdr>
    </w:div>
    <w:div w:id="1523974859">
      <w:bodyDiv w:val="1"/>
      <w:marLeft w:val="0"/>
      <w:marRight w:val="0"/>
      <w:marTop w:val="0"/>
      <w:marBottom w:val="0"/>
      <w:divBdr>
        <w:top w:val="none" w:sz="0" w:space="0" w:color="auto"/>
        <w:left w:val="none" w:sz="0" w:space="0" w:color="auto"/>
        <w:bottom w:val="none" w:sz="0" w:space="0" w:color="auto"/>
        <w:right w:val="none" w:sz="0" w:space="0" w:color="auto"/>
      </w:divBdr>
      <w:divsChild>
        <w:div w:id="60754827">
          <w:marLeft w:val="0"/>
          <w:marRight w:val="0"/>
          <w:marTop w:val="0"/>
          <w:marBottom w:val="0"/>
          <w:divBdr>
            <w:top w:val="none" w:sz="0" w:space="0" w:color="auto"/>
            <w:left w:val="none" w:sz="0" w:space="0" w:color="auto"/>
            <w:bottom w:val="none" w:sz="0" w:space="0" w:color="auto"/>
            <w:right w:val="none" w:sz="0" w:space="0" w:color="auto"/>
          </w:divBdr>
        </w:div>
        <w:div w:id="92239603">
          <w:marLeft w:val="0"/>
          <w:marRight w:val="0"/>
          <w:marTop w:val="0"/>
          <w:marBottom w:val="0"/>
          <w:divBdr>
            <w:top w:val="none" w:sz="0" w:space="0" w:color="auto"/>
            <w:left w:val="none" w:sz="0" w:space="0" w:color="auto"/>
            <w:bottom w:val="none" w:sz="0" w:space="0" w:color="auto"/>
            <w:right w:val="none" w:sz="0" w:space="0" w:color="auto"/>
          </w:divBdr>
        </w:div>
        <w:div w:id="233777579">
          <w:marLeft w:val="0"/>
          <w:marRight w:val="0"/>
          <w:marTop w:val="0"/>
          <w:marBottom w:val="0"/>
          <w:divBdr>
            <w:top w:val="none" w:sz="0" w:space="0" w:color="auto"/>
            <w:left w:val="none" w:sz="0" w:space="0" w:color="auto"/>
            <w:bottom w:val="none" w:sz="0" w:space="0" w:color="auto"/>
            <w:right w:val="none" w:sz="0" w:space="0" w:color="auto"/>
          </w:divBdr>
        </w:div>
        <w:div w:id="237373910">
          <w:marLeft w:val="0"/>
          <w:marRight w:val="0"/>
          <w:marTop w:val="0"/>
          <w:marBottom w:val="0"/>
          <w:divBdr>
            <w:top w:val="none" w:sz="0" w:space="0" w:color="auto"/>
            <w:left w:val="none" w:sz="0" w:space="0" w:color="auto"/>
            <w:bottom w:val="none" w:sz="0" w:space="0" w:color="auto"/>
            <w:right w:val="none" w:sz="0" w:space="0" w:color="auto"/>
          </w:divBdr>
        </w:div>
        <w:div w:id="263734306">
          <w:marLeft w:val="0"/>
          <w:marRight w:val="0"/>
          <w:marTop w:val="0"/>
          <w:marBottom w:val="0"/>
          <w:divBdr>
            <w:top w:val="none" w:sz="0" w:space="0" w:color="auto"/>
            <w:left w:val="none" w:sz="0" w:space="0" w:color="auto"/>
            <w:bottom w:val="none" w:sz="0" w:space="0" w:color="auto"/>
            <w:right w:val="none" w:sz="0" w:space="0" w:color="auto"/>
          </w:divBdr>
        </w:div>
        <w:div w:id="276840433">
          <w:marLeft w:val="0"/>
          <w:marRight w:val="0"/>
          <w:marTop w:val="0"/>
          <w:marBottom w:val="0"/>
          <w:divBdr>
            <w:top w:val="none" w:sz="0" w:space="0" w:color="auto"/>
            <w:left w:val="none" w:sz="0" w:space="0" w:color="auto"/>
            <w:bottom w:val="none" w:sz="0" w:space="0" w:color="auto"/>
            <w:right w:val="none" w:sz="0" w:space="0" w:color="auto"/>
          </w:divBdr>
        </w:div>
        <w:div w:id="343826381">
          <w:marLeft w:val="0"/>
          <w:marRight w:val="0"/>
          <w:marTop w:val="0"/>
          <w:marBottom w:val="0"/>
          <w:divBdr>
            <w:top w:val="none" w:sz="0" w:space="0" w:color="auto"/>
            <w:left w:val="none" w:sz="0" w:space="0" w:color="auto"/>
            <w:bottom w:val="none" w:sz="0" w:space="0" w:color="auto"/>
            <w:right w:val="none" w:sz="0" w:space="0" w:color="auto"/>
          </w:divBdr>
        </w:div>
        <w:div w:id="362485320">
          <w:marLeft w:val="0"/>
          <w:marRight w:val="0"/>
          <w:marTop w:val="0"/>
          <w:marBottom w:val="0"/>
          <w:divBdr>
            <w:top w:val="none" w:sz="0" w:space="0" w:color="auto"/>
            <w:left w:val="none" w:sz="0" w:space="0" w:color="auto"/>
            <w:bottom w:val="none" w:sz="0" w:space="0" w:color="auto"/>
            <w:right w:val="none" w:sz="0" w:space="0" w:color="auto"/>
          </w:divBdr>
        </w:div>
        <w:div w:id="408888513">
          <w:marLeft w:val="0"/>
          <w:marRight w:val="0"/>
          <w:marTop w:val="0"/>
          <w:marBottom w:val="0"/>
          <w:divBdr>
            <w:top w:val="none" w:sz="0" w:space="0" w:color="auto"/>
            <w:left w:val="none" w:sz="0" w:space="0" w:color="auto"/>
            <w:bottom w:val="none" w:sz="0" w:space="0" w:color="auto"/>
            <w:right w:val="none" w:sz="0" w:space="0" w:color="auto"/>
          </w:divBdr>
        </w:div>
        <w:div w:id="451903085">
          <w:marLeft w:val="0"/>
          <w:marRight w:val="0"/>
          <w:marTop w:val="0"/>
          <w:marBottom w:val="0"/>
          <w:divBdr>
            <w:top w:val="none" w:sz="0" w:space="0" w:color="auto"/>
            <w:left w:val="none" w:sz="0" w:space="0" w:color="auto"/>
            <w:bottom w:val="none" w:sz="0" w:space="0" w:color="auto"/>
            <w:right w:val="none" w:sz="0" w:space="0" w:color="auto"/>
          </w:divBdr>
        </w:div>
        <w:div w:id="477235618">
          <w:marLeft w:val="0"/>
          <w:marRight w:val="0"/>
          <w:marTop w:val="0"/>
          <w:marBottom w:val="0"/>
          <w:divBdr>
            <w:top w:val="none" w:sz="0" w:space="0" w:color="auto"/>
            <w:left w:val="none" w:sz="0" w:space="0" w:color="auto"/>
            <w:bottom w:val="none" w:sz="0" w:space="0" w:color="auto"/>
            <w:right w:val="none" w:sz="0" w:space="0" w:color="auto"/>
          </w:divBdr>
        </w:div>
        <w:div w:id="486751781">
          <w:marLeft w:val="0"/>
          <w:marRight w:val="0"/>
          <w:marTop w:val="0"/>
          <w:marBottom w:val="0"/>
          <w:divBdr>
            <w:top w:val="none" w:sz="0" w:space="0" w:color="auto"/>
            <w:left w:val="none" w:sz="0" w:space="0" w:color="auto"/>
            <w:bottom w:val="none" w:sz="0" w:space="0" w:color="auto"/>
            <w:right w:val="none" w:sz="0" w:space="0" w:color="auto"/>
          </w:divBdr>
        </w:div>
        <w:div w:id="512577020">
          <w:marLeft w:val="0"/>
          <w:marRight w:val="0"/>
          <w:marTop w:val="0"/>
          <w:marBottom w:val="0"/>
          <w:divBdr>
            <w:top w:val="none" w:sz="0" w:space="0" w:color="auto"/>
            <w:left w:val="none" w:sz="0" w:space="0" w:color="auto"/>
            <w:bottom w:val="none" w:sz="0" w:space="0" w:color="auto"/>
            <w:right w:val="none" w:sz="0" w:space="0" w:color="auto"/>
          </w:divBdr>
        </w:div>
        <w:div w:id="627901253">
          <w:marLeft w:val="0"/>
          <w:marRight w:val="0"/>
          <w:marTop w:val="0"/>
          <w:marBottom w:val="0"/>
          <w:divBdr>
            <w:top w:val="none" w:sz="0" w:space="0" w:color="auto"/>
            <w:left w:val="none" w:sz="0" w:space="0" w:color="auto"/>
            <w:bottom w:val="none" w:sz="0" w:space="0" w:color="auto"/>
            <w:right w:val="none" w:sz="0" w:space="0" w:color="auto"/>
          </w:divBdr>
        </w:div>
        <w:div w:id="637800037">
          <w:marLeft w:val="0"/>
          <w:marRight w:val="0"/>
          <w:marTop w:val="0"/>
          <w:marBottom w:val="0"/>
          <w:divBdr>
            <w:top w:val="none" w:sz="0" w:space="0" w:color="auto"/>
            <w:left w:val="none" w:sz="0" w:space="0" w:color="auto"/>
            <w:bottom w:val="none" w:sz="0" w:space="0" w:color="auto"/>
            <w:right w:val="none" w:sz="0" w:space="0" w:color="auto"/>
          </w:divBdr>
        </w:div>
        <w:div w:id="779767095">
          <w:marLeft w:val="0"/>
          <w:marRight w:val="0"/>
          <w:marTop w:val="0"/>
          <w:marBottom w:val="0"/>
          <w:divBdr>
            <w:top w:val="none" w:sz="0" w:space="0" w:color="auto"/>
            <w:left w:val="none" w:sz="0" w:space="0" w:color="auto"/>
            <w:bottom w:val="none" w:sz="0" w:space="0" w:color="auto"/>
            <w:right w:val="none" w:sz="0" w:space="0" w:color="auto"/>
          </w:divBdr>
        </w:div>
        <w:div w:id="782577199">
          <w:marLeft w:val="0"/>
          <w:marRight w:val="0"/>
          <w:marTop w:val="0"/>
          <w:marBottom w:val="0"/>
          <w:divBdr>
            <w:top w:val="none" w:sz="0" w:space="0" w:color="auto"/>
            <w:left w:val="none" w:sz="0" w:space="0" w:color="auto"/>
            <w:bottom w:val="none" w:sz="0" w:space="0" w:color="auto"/>
            <w:right w:val="none" w:sz="0" w:space="0" w:color="auto"/>
          </w:divBdr>
        </w:div>
        <w:div w:id="850146251">
          <w:marLeft w:val="0"/>
          <w:marRight w:val="0"/>
          <w:marTop w:val="0"/>
          <w:marBottom w:val="0"/>
          <w:divBdr>
            <w:top w:val="none" w:sz="0" w:space="0" w:color="auto"/>
            <w:left w:val="none" w:sz="0" w:space="0" w:color="auto"/>
            <w:bottom w:val="none" w:sz="0" w:space="0" w:color="auto"/>
            <w:right w:val="none" w:sz="0" w:space="0" w:color="auto"/>
          </w:divBdr>
        </w:div>
        <w:div w:id="885486821">
          <w:marLeft w:val="0"/>
          <w:marRight w:val="0"/>
          <w:marTop w:val="0"/>
          <w:marBottom w:val="0"/>
          <w:divBdr>
            <w:top w:val="none" w:sz="0" w:space="0" w:color="auto"/>
            <w:left w:val="none" w:sz="0" w:space="0" w:color="auto"/>
            <w:bottom w:val="none" w:sz="0" w:space="0" w:color="auto"/>
            <w:right w:val="none" w:sz="0" w:space="0" w:color="auto"/>
          </w:divBdr>
        </w:div>
        <w:div w:id="982193133">
          <w:marLeft w:val="0"/>
          <w:marRight w:val="0"/>
          <w:marTop w:val="0"/>
          <w:marBottom w:val="0"/>
          <w:divBdr>
            <w:top w:val="none" w:sz="0" w:space="0" w:color="auto"/>
            <w:left w:val="none" w:sz="0" w:space="0" w:color="auto"/>
            <w:bottom w:val="none" w:sz="0" w:space="0" w:color="auto"/>
            <w:right w:val="none" w:sz="0" w:space="0" w:color="auto"/>
          </w:divBdr>
        </w:div>
        <w:div w:id="999620909">
          <w:marLeft w:val="0"/>
          <w:marRight w:val="0"/>
          <w:marTop w:val="0"/>
          <w:marBottom w:val="0"/>
          <w:divBdr>
            <w:top w:val="none" w:sz="0" w:space="0" w:color="auto"/>
            <w:left w:val="none" w:sz="0" w:space="0" w:color="auto"/>
            <w:bottom w:val="none" w:sz="0" w:space="0" w:color="auto"/>
            <w:right w:val="none" w:sz="0" w:space="0" w:color="auto"/>
          </w:divBdr>
        </w:div>
        <w:div w:id="1146625242">
          <w:marLeft w:val="0"/>
          <w:marRight w:val="0"/>
          <w:marTop w:val="0"/>
          <w:marBottom w:val="0"/>
          <w:divBdr>
            <w:top w:val="none" w:sz="0" w:space="0" w:color="auto"/>
            <w:left w:val="none" w:sz="0" w:space="0" w:color="auto"/>
            <w:bottom w:val="none" w:sz="0" w:space="0" w:color="auto"/>
            <w:right w:val="none" w:sz="0" w:space="0" w:color="auto"/>
          </w:divBdr>
        </w:div>
        <w:div w:id="1209413370">
          <w:marLeft w:val="0"/>
          <w:marRight w:val="0"/>
          <w:marTop w:val="0"/>
          <w:marBottom w:val="0"/>
          <w:divBdr>
            <w:top w:val="none" w:sz="0" w:space="0" w:color="auto"/>
            <w:left w:val="none" w:sz="0" w:space="0" w:color="auto"/>
            <w:bottom w:val="none" w:sz="0" w:space="0" w:color="auto"/>
            <w:right w:val="none" w:sz="0" w:space="0" w:color="auto"/>
          </w:divBdr>
        </w:div>
        <w:div w:id="1251041870">
          <w:marLeft w:val="0"/>
          <w:marRight w:val="0"/>
          <w:marTop w:val="0"/>
          <w:marBottom w:val="0"/>
          <w:divBdr>
            <w:top w:val="none" w:sz="0" w:space="0" w:color="auto"/>
            <w:left w:val="none" w:sz="0" w:space="0" w:color="auto"/>
            <w:bottom w:val="none" w:sz="0" w:space="0" w:color="auto"/>
            <w:right w:val="none" w:sz="0" w:space="0" w:color="auto"/>
          </w:divBdr>
        </w:div>
        <w:div w:id="1266307943">
          <w:marLeft w:val="0"/>
          <w:marRight w:val="0"/>
          <w:marTop w:val="0"/>
          <w:marBottom w:val="0"/>
          <w:divBdr>
            <w:top w:val="none" w:sz="0" w:space="0" w:color="auto"/>
            <w:left w:val="none" w:sz="0" w:space="0" w:color="auto"/>
            <w:bottom w:val="none" w:sz="0" w:space="0" w:color="auto"/>
            <w:right w:val="none" w:sz="0" w:space="0" w:color="auto"/>
          </w:divBdr>
        </w:div>
        <w:div w:id="1337609614">
          <w:marLeft w:val="0"/>
          <w:marRight w:val="0"/>
          <w:marTop w:val="0"/>
          <w:marBottom w:val="0"/>
          <w:divBdr>
            <w:top w:val="none" w:sz="0" w:space="0" w:color="auto"/>
            <w:left w:val="none" w:sz="0" w:space="0" w:color="auto"/>
            <w:bottom w:val="none" w:sz="0" w:space="0" w:color="auto"/>
            <w:right w:val="none" w:sz="0" w:space="0" w:color="auto"/>
          </w:divBdr>
        </w:div>
        <w:div w:id="1340935480">
          <w:marLeft w:val="0"/>
          <w:marRight w:val="0"/>
          <w:marTop w:val="0"/>
          <w:marBottom w:val="0"/>
          <w:divBdr>
            <w:top w:val="none" w:sz="0" w:space="0" w:color="auto"/>
            <w:left w:val="none" w:sz="0" w:space="0" w:color="auto"/>
            <w:bottom w:val="none" w:sz="0" w:space="0" w:color="auto"/>
            <w:right w:val="none" w:sz="0" w:space="0" w:color="auto"/>
          </w:divBdr>
        </w:div>
        <w:div w:id="1346903463">
          <w:marLeft w:val="0"/>
          <w:marRight w:val="0"/>
          <w:marTop w:val="0"/>
          <w:marBottom w:val="0"/>
          <w:divBdr>
            <w:top w:val="none" w:sz="0" w:space="0" w:color="auto"/>
            <w:left w:val="none" w:sz="0" w:space="0" w:color="auto"/>
            <w:bottom w:val="none" w:sz="0" w:space="0" w:color="auto"/>
            <w:right w:val="none" w:sz="0" w:space="0" w:color="auto"/>
          </w:divBdr>
        </w:div>
        <w:div w:id="1376076694">
          <w:marLeft w:val="0"/>
          <w:marRight w:val="0"/>
          <w:marTop w:val="0"/>
          <w:marBottom w:val="0"/>
          <w:divBdr>
            <w:top w:val="none" w:sz="0" w:space="0" w:color="auto"/>
            <w:left w:val="none" w:sz="0" w:space="0" w:color="auto"/>
            <w:bottom w:val="none" w:sz="0" w:space="0" w:color="auto"/>
            <w:right w:val="none" w:sz="0" w:space="0" w:color="auto"/>
          </w:divBdr>
        </w:div>
        <w:div w:id="1396321107">
          <w:marLeft w:val="0"/>
          <w:marRight w:val="0"/>
          <w:marTop w:val="0"/>
          <w:marBottom w:val="0"/>
          <w:divBdr>
            <w:top w:val="none" w:sz="0" w:space="0" w:color="auto"/>
            <w:left w:val="none" w:sz="0" w:space="0" w:color="auto"/>
            <w:bottom w:val="none" w:sz="0" w:space="0" w:color="auto"/>
            <w:right w:val="none" w:sz="0" w:space="0" w:color="auto"/>
          </w:divBdr>
        </w:div>
        <w:div w:id="1430199250">
          <w:marLeft w:val="0"/>
          <w:marRight w:val="0"/>
          <w:marTop w:val="0"/>
          <w:marBottom w:val="0"/>
          <w:divBdr>
            <w:top w:val="none" w:sz="0" w:space="0" w:color="auto"/>
            <w:left w:val="none" w:sz="0" w:space="0" w:color="auto"/>
            <w:bottom w:val="none" w:sz="0" w:space="0" w:color="auto"/>
            <w:right w:val="none" w:sz="0" w:space="0" w:color="auto"/>
          </w:divBdr>
        </w:div>
        <w:div w:id="1431585921">
          <w:marLeft w:val="0"/>
          <w:marRight w:val="0"/>
          <w:marTop w:val="0"/>
          <w:marBottom w:val="0"/>
          <w:divBdr>
            <w:top w:val="none" w:sz="0" w:space="0" w:color="auto"/>
            <w:left w:val="none" w:sz="0" w:space="0" w:color="auto"/>
            <w:bottom w:val="none" w:sz="0" w:space="0" w:color="auto"/>
            <w:right w:val="none" w:sz="0" w:space="0" w:color="auto"/>
          </w:divBdr>
        </w:div>
        <w:div w:id="1435712985">
          <w:marLeft w:val="0"/>
          <w:marRight w:val="0"/>
          <w:marTop w:val="0"/>
          <w:marBottom w:val="0"/>
          <w:divBdr>
            <w:top w:val="none" w:sz="0" w:space="0" w:color="auto"/>
            <w:left w:val="none" w:sz="0" w:space="0" w:color="auto"/>
            <w:bottom w:val="none" w:sz="0" w:space="0" w:color="auto"/>
            <w:right w:val="none" w:sz="0" w:space="0" w:color="auto"/>
          </w:divBdr>
        </w:div>
        <w:div w:id="1458178174">
          <w:marLeft w:val="0"/>
          <w:marRight w:val="0"/>
          <w:marTop w:val="0"/>
          <w:marBottom w:val="0"/>
          <w:divBdr>
            <w:top w:val="none" w:sz="0" w:space="0" w:color="auto"/>
            <w:left w:val="none" w:sz="0" w:space="0" w:color="auto"/>
            <w:bottom w:val="none" w:sz="0" w:space="0" w:color="auto"/>
            <w:right w:val="none" w:sz="0" w:space="0" w:color="auto"/>
          </w:divBdr>
        </w:div>
        <w:div w:id="1572888198">
          <w:marLeft w:val="0"/>
          <w:marRight w:val="0"/>
          <w:marTop w:val="0"/>
          <w:marBottom w:val="0"/>
          <w:divBdr>
            <w:top w:val="none" w:sz="0" w:space="0" w:color="auto"/>
            <w:left w:val="none" w:sz="0" w:space="0" w:color="auto"/>
            <w:bottom w:val="none" w:sz="0" w:space="0" w:color="auto"/>
            <w:right w:val="none" w:sz="0" w:space="0" w:color="auto"/>
          </w:divBdr>
        </w:div>
        <w:div w:id="1579442113">
          <w:marLeft w:val="0"/>
          <w:marRight w:val="0"/>
          <w:marTop w:val="0"/>
          <w:marBottom w:val="0"/>
          <w:divBdr>
            <w:top w:val="none" w:sz="0" w:space="0" w:color="auto"/>
            <w:left w:val="none" w:sz="0" w:space="0" w:color="auto"/>
            <w:bottom w:val="none" w:sz="0" w:space="0" w:color="auto"/>
            <w:right w:val="none" w:sz="0" w:space="0" w:color="auto"/>
          </w:divBdr>
        </w:div>
        <w:div w:id="1585607085">
          <w:marLeft w:val="0"/>
          <w:marRight w:val="0"/>
          <w:marTop w:val="0"/>
          <w:marBottom w:val="0"/>
          <w:divBdr>
            <w:top w:val="none" w:sz="0" w:space="0" w:color="auto"/>
            <w:left w:val="none" w:sz="0" w:space="0" w:color="auto"/>
            <w:bottom w:val="none" w:sz="0" w:space="0" w:color="auto"/>
            <w:right w:val="none" w:sz="0" w:space="0" w:color="auto"/>
          </w:divBdr>
        </w:div>
        <w:div w:id="1590892886">
          <w:marLeft w:val="0"/>
          <w:marRight w:val="0"/>
          <w:marTop w:val="0"/>
          <w:marBottom w:val="0"/>
          <w:divBdr>
            <w:top w:val="none" w:sz="0" w:space="0" w:color="auto"/>
            <w:left w:val="none" w:sz="0" w:space="0" w:color="auto"/>
            <w:bottom w:val="none" w:sz="0" w:space="0" w:color="auto"/>
            <w:right w:val="none" w:sz="0" w:space="0" w:color="auto"/>
          </w:divBdr>
        </w:div>
        <w:div w:id="1627616221">
          <w:marLeft w:val="0"/>
          <w:marRight w:val="0"/>
          <w:marTop w:val="0"/>
          <w:marBottom w:val="0"/>
          <w:divBdr>
            <w:top w:val="none" w:sz="0" w:space="0" w:color="auto"/>
            <w:left w:val="none" w:sz="0" w:space="0" w:color="auto"/>
            <w:bottom w:val="none" w:sz="0" w:space="0" w:color="auto"/>
            <w:right w:val="none" w:sz="0" w:space="0" w:color="auto"/>
          </w:divBdr>
        </w:div>
        <w:div w:id="1642273733">
          <w:marLeft w:val="0"/>
          <w:marRight w:val="0"/>
          <w:marTop w:val="0"/>
          <w:marBottom w:val="0"/>
          <w:divBdr>
            <w:top w:val="none" w:sz="0" w:space="0" w:color="auto"/>
            <w:left w:val="none" w:sz="0" w:space="0" w:color="auto"/>
            <w:bottom w:val="none" w:sz="0" w:space="0" w:color="auto"/>
            <w:right w:val="none" w:sz="0" w:space="0" w:color="auto"/>
          </w:divBdr>
        </w:div>
        <w:div w:id="1710766146">
          <w:marLeft w:val="0"/>
          <w:marRight w:val="0"/>
          <w:marTop w:val="0"/>
          <w:marBottom w:val="0"/>
          <w:divBdr>
            <w:top w:val="none" w:sz="0" w:space="0" w:color="auto"/>
            <w:left w:val="none" w:sz="0" w:space="0" w:color="auto"/>
            <w:bottom w:val="none" w:sz="0" w:space="0" w:color="auto"/>
            <w:right w:val="none" w:sz="0" w:space="0" w:color="auto"/>
          </w:divBdr>
        </w:div>
        <w:div w:id="1713112637">
          <w:marLeft w:val="0"/>
          <w:marRight w:val="0"/>
          <w:marTop w:val="0"/>
          <w:marBottom w:val="0"/>
          <w:divBdr>
            <w:top w:val="none" w:sz="0" w:space="0" w:color="auto"/>
            <w:left w:val="none" w:sz="0" w:space="0" w:color="auto"/>
            <w:bottom w:val="none" w:sz="0" w:space="0" w:color="auto"/>
            <w:right w:val="none" w:sz="0" w:space="0" w:color="auto"/>
          </w:divBdr>
        </w:div>
        <w:div w:id="1750541119">
          <w:marLeft w:val="0"/>
          <w:marRight w:val="0"/>
          <w:marTop w:val="0"/>
          <w:marBottom w:val="0"/>
          <w:divBdr>
            <w:top w:val="none" w:sz="0" w:space="0" w:color="auto"/>
            <w:left w:val="none" w:sz="0" w:space="0" w:color="auto"/>
            <w:bottom w:val="none" w:sz="0" w:space="0" w:color="auto"/>
            <w:right w:val="none" w:sz="0" w:space="0" w:color="auto"/>
          </w:divBdr>
        </w:div>
        <w:div w:id="1755055183">
          <w:marLeft w:val="0"/>
          <w:marRight w:val="0"/>
          <w:marTop w:val="0"/>
          <w:marBottom w:val="0"/>
          <w:divBdr>
            <w:top w:val="none" w:sz="0" w:space="0" w:color="auto"/>
            <w:left w:val="none" w:sz="0" w:space="0" w:color="auto"/>
            <w:bottom w:val="none" w:sz="0" w:space="0" w:color="auto"/>
            <w:right w:val="none" w:sz="0" w:space="0" w:color="auto"/>
          </w:divBdr>
        </w:div>
        <w:div w:id="1767193681">
          <w:marLeft w:val="0"/>
          <w:marRight w:val="0"/>
          <w:marTop w:val="0"/>
          <w:marBottom w:val="0"/>
          <w:divBdr>
            <w:top w:val="none" w:sz="0" w:space="0" w:color="auto"/>
            <w:left w:val="none" w:sz="0" w:space="0" w:color="auto"/>
            <w:bottom w:val="none" w:sz="0" w:space="0" w:color="auto"/>
            <w:right w:val="none" w:sz="0" w:space="0" w:color="auto"/>
          </w:divBdr>
        </w:div>
        <w:div w:id="1795977938">
          <w:marLeft w:val="0"/>
          <w:marRight w:val="0"/>
          <w:marTop w:val="0"/>
          <w:marBottom w:val="0"/>
          <w:divBdr>
            <w:top w:val="none" w:sz="0" w:space="0" w:color="auto"/>
            <w:left w:val="none" w:sz="0" w:space="0" w:color="auto"/>
            <w:bottom w:val="none" w:sz="0" w:space="0" w:color="auto"/>
            <w:right w:val="none" w:sz="0" w:space="0" w:color="auto"/>
          </w:divBdr>
        </w:div>
        <w:div w:id="1804039005">
          <w:marLeft w:val="0"/>
          <w:marRight w:val="0"/>
          <w:marTop w:val="0"/>
          <w:marBottom w:val="0"/>
          <w:divBdr>
            <w:top w:val="none" w:sz="0" w:space="0" w:color="auto"/>
            <w:left w:val="none" w:sz="0" w:space="0" w:color="auto"/>
            <w:bottom w:val="none" w:sz="0" w:space="0" w:color="auto"/>
            <w:right w:val="none" w:sz="0" w:space="0" w:color="auto"/>
          </w:divBdr>
        </w:div>
        <w:div w:id="1952781604">
          <w:marLeft w:val="0"/>
          <w:marRight w:val="0"/>
          <w:marTop w:val="0"/>
          <w:marBottom w:val="0"/>
          <w:divBdr>
            <w:top w:val="none" w:sz="0" w:space="0" w:color="auto"/>
            <w:left w:val="none" w:sz="0" w:space="0" w:color="auto"/>
            <w:bottom w:val="none" w:sz="0" w:space="0" w:color="auto"/>
            <w:right w:val="none" w:sz="0" w:space="0" w:color="auto"/>
          </w:divBdr>
        </w:div>
        <w:div w:id="2068675853">
          <w:marLeft w:val="0"/>
          <w:marRight w:val="0"/>
          <w:marTop w:val="0"/>
          <w:marBottom w:val="0"/>
          <w:divBdr>
            <w:top w:val="none" w:sz="0" w:space="0" w:color="auto"/>
            <w:left w:val="none" w:sz="0" w:space="0" w:color="auto"/>
            <w:bottom w:val="none" w:sz="0" w:space="0" w:color="auto"/>
            <w:right w:val="none" w:sz="0" w:space="0" w:color="auto"/>
          </w:divBdr>
        </w:div>
        <w:div w:id="2073117612">
          <w:marLeft w:val="0"/>
          <w:marRight w:val="0"/>
          <w:marTop w:val="0"/>
          <w:marBottom w:val="0"/>
          <w:divBdr>
            <w:top w:val="none" w:sz="0" w:space="0" w:color="auto"/>
            <w:left w:val="none" w:sz="0" w:space="0" w:color="auto"/>
            <w:bottom w:val="none" w:sz="0" w:space="0" w:color="auto"/>
            <w:right w:val="none" w:sz="0" w:space="0" w:color="auto"/>
          </w:divBdr>
        </w:div>
        <w:div w:id="2075473189">
          <w:marLeft w:val="0"/>
          <w:marRight w:val="0"/>
          <w:marTop w:val="0"/>
          <w:marBottom w:val="0"/>
          <w:divBdr>
            <w:top w:val="none" w:sz="0" w:space="0" w:color="auto"/>
            <w:left w:val="none" w:sz="0" w:space="0" w:color="auto"/>
            <w:bottom w:val="none" w:sz="0" w:space="0" w:color="auto"/>
            <w:right w:val="none" w:sz="0" w:space="0" w:color="auto"/>
          </w:divBdr>
        </w:div>
      </w:divsChild>
    </w:div>
    <w:div w:id="1527478877">
      <w:bodyDiv w:val="1"/>
      <w:marLeft w:val="0"/>
      <w:marRight w:val="0"/>
      <w:marTop w:val="0"/>
      <w:marBottom w:val="0"/>
      <w:divBdr>
        <w:top w:val="none" w:sz="0" w:space="0" w:color="auto"/>
        <w:left w:val="none" w:sz="0" w:space="0" w:color="auto"/>
        <w:bottom w:val="none" w:sz="0" w:space="0" w:color="auto"/>
        <w:right w:val="none" w:sz="0" w:space="0" w:color="auto"/>
      </w:divBdr>
    </w:div>
    <w:div w:id="1531068514">
      <w:bodyDiv w:val="1"/>
      <w:marLeft w:val="0"/>
      <w:marRight w:val="0"/>
      <w:marTop w:val="0"/>
      <w:marBottom w:val="0"/>
      <w:divBdr>
        <w:top w:val="none" w:sz="0" w:space="0" w:color="auto"/>
        <w:left w:val="none" w:sz="0" w:space="0" w:color="auto"/>
        <w:bottom w:val="none" w:sz="0" w:space="0" w:color="auto"/>
        <w:right w:val="none" w:sz="0" w:space="0" w:color="auto"/>
      </w:divBdr>
    </w:div>
    <w:div w:id="1558585953">
      <w:bodyDiv w:val="1"/>
      <w:marLeft w:val="0"/>
      <w:marRight w:val="0"/>
      <w:marTop w:val="0"/>
      <w:marBottom w:val="0"/>
      <w:divBdr>
        <w:top w:val="none" w:sz="0" w:space="0" w:color="auto"/>
        <w:left w:val="none" w:sz="0" w:space="0" w:color="auto"/>
        <w:bottom w:val="none" w:sz="0" w:space="0" w:color="auto"/>
        <w:right w:val="none" w:sz="0" w:space="0" w:color="auto"/>
      </w:divBdr>
    </w:div>
    <w:div w:id="1563518233">
      <w:bodyDiv w:val="1"/>
      <w:marLeft w:val="0"/>
      <w:marRight w:val="0"/>
      <w:marTop w:val="0"/>
      <w:marBottom w:val="0"/>
      <w:divBdr>
        <w:top w:val="none" w:sz="0" w:space="0" w:color="auto"/>
        <w:left w:val="none" w:sz="0" w:space="0" w:color="auto"/>
        <w:bottom w:val="none" w:sz="0" w:space="0" w:color="auto"/>
        <w:right w:val="none" w:sz="0" w:space="0" w:color="auto"/>
      </w:divBdr>
    </w:div>
    <w:div w:id="1569995565">
      <w:bodyDiv w:val="1"/>
      <w:marLeft w:val="0"/>
      <w:marRight w:val="0"/>
      <w:marTop w:val="0"/>
      <w:marBottom w:val="0"/>
      <w:divBdr>
        <w:top w:val="none" w:sz="0" w:space="0" w:color="auto"/>
        <w:left w:val="none" w:sz="0" w:space="0" w:color="auto"/>
        <w:bottom w:val="none" w:sz="0" w:space="0" w:color="auto"/>
        <w:right w:val="none" w:sz="0" w:space="0" w:color="auto"/>
      </w:divBdr>
    </w:div>
    <w:div w:id="1574855631">
      <w:bodyDiv w:val="1"/>
      <w:marLeft w:val="0"/>
      <w:marRight w:val="0"/>
      <w:marTop w:val="0"/>
      <w:marBottom w:val="0"/>
      <w:divBdr>
        <w:top w:val="none" w:sz="0" w:space="0" w:color="auto"/>
        <w:left w:val="none" w:sz="0" w:space="0" w:color="auto"/>
        <w:bottom w:val="none" w:sz="0" w:space="0" w:color="auto"/>
        <w:right w:val="none" w:sz="0" w:space="0" w:color="auto"/>
      </w:divBdr>
    </w:div>
    <w:div w:id="1576285704">
      <w:bodyDiv w:val="1"/>
      <w:marLeft w:val="0"/>
      <w:marRight w:val="0"/>
      <w:marTop w:val="0"/>
      <w:marBottom w:val="0"/>
      <w:divBdr>
        <w:top w:val="none" w:sz="0" w:space="0" w:color="auto"/>
        <w:left w:val="none" w:sz="0" w:space="0" w:color="auto"/>
        <w:bottom w:val="none" w:sz="0" w:space="0" w:color="auto"/>
        <w:right w:val="none" w:sz="0" w:space="0" w:color="auto"/>
      </w:divBdr>
    </w:div>
    <w:div w:id="1606304786">
      <w:bodyDiv w:val="1"/>
      <w:marLeft w:val="0"/>
      <w:marRight w:val="0"/>
      <w:marTop w:val="0"/>
      <w:marBottom w:val="0"/>
      <w:divBdr>
        <w:top w:val="none" w:sz="0" w:space="0" w:color="auto"/>
        <w:left w:val="none" w:sz="0" w:space="0" w:color="auto"/>
        <w:bottom w:val="none" w:sz="0" w:space="0" w:color="auto"/>
        <w:right w:val="none" w:sz="0" w:space="0" w:color="auto"/>
      </w:divBdr>
    </w:div>
    <w:div w:id="1617130304">
      <w:bodyDiv w:val="1"/>
      <w:marLeft w:val="0"/>
      <w:marRight w:val="0"/>
      <w:marTop w:val="0"/>
      <w:marBottom w:val="0"/>
      <w:divBdr>
        <w:top w:val="none" w:sz="0" w:space="0" w:color="auto"/>
        <w:left w:val="none" w:sz="0" w:space="0" w:color="auto"/>
        <w:bottom w:val="none" w:sz="0" w:space="0" w:color="auto"/>
        <w:right w:val="none" w:sz="0" w:space="0" w:color="auto"/>
      </w:divBdr>
      <w:divsChild>
        <w:div w:id="83652541">
          <w:marLeft w:val="0"/>
          <w:marRight w:val="0"/>
          <w:marTop w:val="0"/>
          <w:marBottom w:val="0"/>
          <w:divBdr>
            <w:top w:val="none" w:sz="0" w:space="0" w:color="auto"/>
            <w:left w:val="none" w:sz="0" w:space="0" w:color="auto"/>
            <w:bottom w:val="none" w:sz="0" w:space="0" w:color="auto"/>
            <w:right w:val="none" w:sz="0" w:space="0" w:color="auto"/>
          </w:divBdr>
        </w:div>
        <w:div w:id="168175832">
          <w:marLeft w:val="0"/>
          <w:marRight w:val="0"/>
          <w:marTop w:val="0"/>
          <w:marBottom w:val="0"/>
          <w:divBdr>
            <w:top w:val="none" w:sz="0" w:space="0" w:color="auto"/>
            <w:left w:val="none" w:sz="0" w:space="0" w:color="auto"/>
            <w:bottom w:val="none" w:sz="0" w:space="0" w:color="auto"/>
            <w:right w:val="none" w:sz="0" w:space="0" w:color="auto"/>
          </w:divBdr>
        </w:div>
        <w:div w:id="218635096">
          <w:marLeft w:val="0"/>
          <w:marRight w:val="0"/>
          <w:marTop w:val="0"/>
          <w:marBottom w:val="0"/>
          <w:divBdr>
            <w:top w:val="none" w:sz="0" w:space="0" w:color="auto"/>
            <w:left w:val="none" w:sz="0" w:space="0" w:color="auto"/>
            <w:bottom w:val="none" w:sz="0" w:space="0" w:color="auto"/>
            <w:right w:val="none" w:sz="0" w:space="0" w:color="auto"/>
          </w:divBdr>
        </w:div>
        <w:div w:id="234322593">
          <w:marLeft w:val="0"/>
          <w:marRight w:val="0"/>
          <w:marTop w:val="0"/>
          <w:marBottom w:val="0"/>
          <w:divBdr>
            <w:top w:val="none" w:sz="0" w:space="0" w:color="auto"/>
            <w:left w:val="none" w:sz="0" w:space="0" w:color="auto"/>
            <w:bottom w:val="none" w:sz="0" w:space="0" w:color="auto"/>
            <w:right w:val="none" w:sz="0" w:space="0" w:color="auto"/>
          </w:divBdr>
        </w:div>
        <w:div w:id="274868973">
          <w:marLeft w:val="0"/>
          <w:marRight w:val="0"/>
          <w:marTop w:val="0"/>
          <w:marBottom w:val="0"/>
          <w:divBdr>
            <w:top w:val="none" w:sz="0" w:space="0" w:color="auto"/>
            <w:left w:val="none" w:sz="0" w:space="0" w:color="auto"/>
            <w:bottom w:val="none" w:sz="0" w:space="0" w:color="auto"/>
            <w:right w:val="none" w:sz="0" w:space="0" w:color="auto"/>
          </w:divBdr>
        </w:div>
        <w:div w:id="524833582">
          <w:marLeft w:val="0"/>
          <w:marRight w:val="0"/>
          <w:marTop w:val="0"/>
          <w:marBottom w:val="0"/>
          <w:divBdr>
            <w:top w:val="none" w:sz="0" w:space="0" w:color="auto"/>
            <w:left w:val="none" w:sz="0" w:space="0" w:color="auto"/>
            <w:bottom w:val="none" w:sz="0" w:space="0" w:color="auto"/>
            <w:right w:val="none" w:sz="0" w:space="0" w:color="auto"/>
          </w:divBdr>
        </w:div>
        <w:div w:id="538980761">
          <w:marLeft w:val="0"/>
          <w:marRight w:val="0"/>
          <w:marTop w:val="0"/>
          <w:marBottom w:val="0"/>
          <w:divBdr>
            <w:top w:val="none" w:sz="0" w:space="0" w:color="auto"/>
            <w:left w:val="none" w:sz="0" w:space="0" w:color="auto"/>
            <w:bottom w:val="none" w:sz="0" w:space="0" w:color="auto"/>
            <w:right w:val="none" w:sz="0" w:space="0" w:color="auto"/>
          </w:divBdr>
        </w:div>
        <w:div w:id="565261153">
          <w:marLeft w:val="0"/>
          <w:marRight w:val="0"/>
          <w:marTop w:val="0"/>
          <w:marBottom w:val="0"/>
          <w:divBdr>
            <w:top w:val="none" w:sz="0" w:space="0" w:color="auto"/>
            <w:left w:val="none" w:sz="0" w:space="0" w:color="auto"/>
            <w:bottom w:val="none" w:sz="0" w:space="0" w:color="auto"/>
            <w:right w:val="none" w:sz="0" w:space="0" w:color="auto"/>
          </w:divBdr>
        </w:div>
        <w:div w:id="579219833">
          <w:marLeft w:val="0"/>
          <w:marRight w:val="0"/>
          <w:marTop w:val="0"/>
          <w:marBottom w:val="0"/>
          <w:divBdr>
            <w:top w:val="none" w:sz="0" w:space="0" w:color="auto"/>
            <w:left w:val="none" w:sz="0" w:space="0" w:color="auto"/>
            <w:bottom w:val="none" w:sz="0" w:space="0" w:color="auto"/>
            <w:right w:val="none" w:sz="0" w:space="0" w:color="auto"/>
          </w:divBdr>
        </w:div>
        <w:div w:id="659384703">
          <w:marLeft w:val="0"/>
          <w:marRight w:val="0"/>
          <w:marTop w:val="0"/>
          <w:marBottom w:val="0"/>
          <w:divBdr>
            <w:top w:val="none" w:sz="0" w:space="0" w:color="auto"/>
            <w:left w:val="none" w:sz="0" w:space="0" w:color="auto"/>
            <w:bottom w:val="none" w:sz="0" w:space="0" w:color="auto"/>
            <w:right w:val="none" w:sz="0" w:space="0" w:color="auto"/>
          </w:divBdr>
        </w:div>
        <w:div w:id="1109548172">
          <w:marLeft w:val="0"/>
          <w:marRight w:val="0"/>
          <w:marTop w:val="0"/>
          <w:marBottom w:val="0"/>
          <w:divBdr>
            <w:top w:val="none" w:sz="0" w:space="0" w:color="auto"/>
            <w:left w:val="none" w:sz="0" w:space="0" w:color="auto"/>
            <w:bottom w:val="none" w:sz="0" w:space="0" w:color="auto"/>
            <w:right w:val="none" w:sz="0" w:space="0" w:color="auto"/>
          </w:divBdr>
        </w:div>
        <w:div w:id="1168255122">
          <w:marLeft w:val="0"/>
          <w:marRight w:val="0"/>
          <w:marTop w:val="0"/>
          <w:marBottom w:val="0"/>
          <w:divBdr>
            <w:top w:val="none" w:sz="0" w:space="0" w:color="auto"/>
            <w:left w:val="none" w:sz="0" w:space="0" w:color="auto"/>
            <w:bottom w:val="none" w:sz="0" w:space="0" w:color="auto"/>
            <w:right w:val="none" w:sz="0" w:space="0" w:color="auto"/>
          </w:divBdr>
        </w:div>
        <w:div w:id="1217663269">
          <w:marLeft w:val="0"/>
          <w:marRight w:val="0"/>
          <w:marTop w:val="0"/>
          <w:marBottom w:val="0"/>
          <w:divBdr>
            <w:top w:val="none" w:sz="0" w:space="0" w:color="auto"/>
            <w:left w:val="none" w:sz="0" w:space="0" w:color="auto"/>
            <w:bottom w:val="none" w:sz="0" w:space="0" w:color="auto"/>
            <w:right w:val="none" w:sz="0" w:space="0" w:color="auto"/>
          </w:divBdr>
        </w:div>
        <w:div w:id="1324314333">
          <w:marLeft w:val="0"/>
          <w:marRight w:val="0"/>
          <w:marTop w:val="0"/>
          <w:marBottom w:val="0"/>
          <w:divBdr>
            <w:top w:val="none" w:sz="0" w:space="0" w:color="auto"/>
            <w:left w:val="none" w:sz="0" w:space="0" w:color="auto"/>
            <w:bottom w:val="none" w:sz="0" w:space="0" w:color="auto"/>
            <w:right w:val="none" w:sz="0" w:space="0" w:color="auto"/>
          </w:divBdr>
        </w:div>
        <w:div w:id="1442067516">
          <w:marLeft w:val="0"/>
          <w:marRight w:val="0"/>
          <w:marTop w:val="0"/>
          <w:marBottom w:val="0"/>
          <w:divBdr>
            <w:top w:val="none" w:sz="0" w:space="0" w:color="auto"/>
            <w:left w:val="none" w:sz="0" w:space="0" w:color="auto"/>
            <w:bottom w:val="none" w:sz="0" w:space="0" w:color="auto"/>
            <w:right w:val="none" w:sz="0" w:space="0" w:color="auto"/>
          </w:divBdr>
        </w:div>
        <w:div w:id="1632242790">
          <w:marLeft w:val="0"/>
          <w:marRight w:val="0"/>
          <w:marTop w:val="0"/>
          <w:marBottom w:val="0"/>
          <w:divBdr>
            <w:top w:val="none" w:sz="0" w:space="0" w:color="auto"/>
            <w:left w:val="none" w:sz="0" w:space="0" w:color="auto"/>
            <w:bottom w:val="none" w:sz="0" w:space="0" w:color="auto"/>
            <w:right w:val="none" w:sz="0" w:space="0" w:color="auto"/>
          </w:divBdr>
        </w:div>
        <w:div w:id="1754082281">
          <w:marLeft w:val="0"/>
          <w:marRight w:val="0"/>
          <w:marTop w:val="0"/>
          <w:marBottom w:val="0"/>
          <w:divBdr>
            <w:top w:val="none" w:sz="0" w:space="0" w:color="auto"/>
            <w:left w:val="none" w:sz="0" w:space="0" w:color="auto"/>
            <w:bottom w:val="none" w:sz="0" w:space="0" w:color="auto"/>
            <w:right w:val="none" w:sz="0" w:space="0" w:color="auto"/>
          </w:divBdr>
        </w:div>
        <w:div w:id="1817989813">
          <w:marLeft w:val="0"/>
          <w:marRight w:val="0"/>
          <w:marTop w:val="0"/>
          <w:marBottom w:val="0"/>
          <w:divBdr>
            <w:top w:val="none" w:sz="0" w:space="0" w:color="auto"/>
            <w:left w:val="none" w:sz="0" w:space="0" w:color="auto"/>
            <w:bottom w:val="none" w:sz="0" w:space="0" w:color="auto"/>
            <w:right w:val="none" w:sz="0" w:space="0" w:color="auto"/>
          </w:divBdr>
        </w:div>
        <w:div w:id="1906183859">
          <w:marLeft w:val="0"/>
          <w:marRight w:val="0"/>
          <w:marTop w:val="0"/>
          <w:marBottom w:val="0"/>
          <w:divBdr>
            <w:top w:val="none" w:sz="0" w:space="0" w:color="auto"/>
            <w:left w:val="none" w:sz="0" w:space="0" w:color="auto"/>
            <w:bottom w:val="none" w:sz="0" w:space="0" w:color="auto"/>
            <w:right w:val="none" w:sz="0" w:space="0" w:color="auto"/>
          </w:divBdr>
        </w:div>
        <w:div w:id="2031373399">
          <w:marLeft w:val="0"/>
          <w:marRight w:val="0"/>
          <w:marTop w:val="0"/>
          <w:marBottom w:val="0"/>
          <w:divBdr>
            <w:top w:val="none" w:sz="0" w:space="0" w:color="auto"/>
            <w:left w:val="none" w:sz="0" w:space="0" w:color="auto"/>
            <w:bottom w:val="none" w:sz="0" w:space="0" w:color="auto"/>
            <w:right w:val="none" w:sz="0" w:space="0" w:color="auto"/>
          </w:divBdr>
        </w:div>
      </w:divsChild>
    </w:div>
    <w:div w:id="1647467126">
      <w:bodyDiv w:val="1"/>
      <w:marLeft w:val="0"/>
      <w:marRight w:val="0"/>
      <w:marTop w:val="0"/>
      <w:marBottom w:val="0"/>
      <w:divBdr>
        <w:top w:val="none" w:sz="0" w:space="0" w:color="auto"/>
        <w:left w:val="none" w:sz="0" w:space="0" w:color="auto"/>
        <w:bottom w:val="none" w:sz="0" w:space="0" w:color="auto"/>
        <w:right w:val="none" w:sz="0" w:space="0" w:color="auto"/>
      </w:divBdr>
      <w:divsChild>
        <w:div w:id="90131009">
          <w:marLeft w:val="0"/>
          <w:marRight w:val="0"/>
          <w:marTop w:val="0"/>
          <w:marBottom w:val="0"/>
          <w:divBdr>
            <w:top w:val="none" w:sz="0" w:space="0" w:color="auto"/>
            <w:left w:val="none" w:sz="0" w:space="0" w:color="auto"/>
            <w:bottom w:val="none" w:sz="0" w:space="0" w:color="auto"/>
            <w:right w:val="none" w:sz="0" w:space="0" w:color="auto"/>
          </w:divBdr>
        </w:div>
        <w:div w:id="223688620">
          <w:marLeft w:val="0"/>
          <w:marRight w:val="0"/>
          <w:marTop w:val="0"/>
          <w:marBottom w:val="0"/>
          <w:divBdr>
            <w:top w:val="none" w:sz="0" w:space="0" w:color="auto"/>
            <w:left w:val="none" w:sz="0" w:space="0" w:color="auto"/>
            <w:bottom w:val="none" w:sz="0" w:space="0" w:color="auto"/>
            <w:right w:val="none" w:sz="0" w:space="0" w:color="auto"/>
          </w:divBdr>
        </w:div>
        <w:div w:id="233585671">
          <w:marLeft w:val="0"/>
          <w:marRight w:val="0"/>
          <w:marTop w:val="0"/>
          <w:marBottom w:val="0"/>
          <w:divBdr>
            <w:top w:val="none" w:sz="0" w:space="0" w:color="auto"/>
            <w:left w:val="none" w:sz="0" w:space="0" w:color="auto"/>
            <w:bottom w:val="none" w:sz="0" w:space="0" w:color="auto"/>
            <w:right w:val="none" w:sz="0" w:space="0" w:color="auto"/>
          </w:divBdr>
        </w:div>
        <w:div w:id="300497101">
          <w:marLeft w:val="0"/>
          <w:marRight w:val="0"/>
          <w:marTop w:val="0"/>
          <w:marBottom w:val="0"/>
          <w:divBdr>
            <w:top w:val="none" w:sz="0" w:space="0" w:color="auto"/>
            <w:left w:val="none" w:sz="0" w:space="0" w:color="auto"/>
            <w:bottom w:val="none" w:sz="0" w:space="0" w:color="auto"/>
            <w:right w:val="none" w:sz="0" w:space="0" w:color="auto"/>
          </w:divBdr>
        </w:div>
        <w:div w:id="437212973">
          <w:marLeft w:val="0"/>
          <w:marRight w:val="0"/>
          <w:marTop w:val="0"/>
          <w:marBottom w:val="0"/>
          <w:divBdr>
            <w:top w:val="none" w:sz="0" w:space="0" w:color="auto"/>
            <w:left w:val="none" w:sz="0" w:space="0" w:color="auto"/>
            <w:bottom w:val="none" w:sz="0" w:space="0" w:color="auto"/>
            <w:right w:val="none" w:sz="0" w:space="0" w:color="auto"/>
          </w:divBdr>
        </w:div>
        <w:div w:id="533351511">
          <w:marLeft w:val="0"/>
          <w:marRight w:val="0"/>
          <w:marTop w:val="0"/>
          <w:marBottom w:val="0"/>
          <w:divBdr>
            <w:top w:val="none" w:sz="0" w:space="0" w:color="auto"/>
            <w:left w:val="none" w:sz="0" w:space="0" w:color="auto"/>
            <w:bottom w:val="none" w:sz="0" w:space="0" w:color="auto"/>
            <w:right w:val="none" w:sz="0" w:space="0" w:color="auto"/>
          </w:divBdr>
        </w:div>
        <w:div w:id="640035895">
          <w:marLeft w:val="0"/>
          <w:marRight w:val="0"/>
          <w:marTop w:val="0"/>
          <w:marBottom w:val="0"/>
          <w:divBdr>
            <w:top w:val="none" w:sz="0" w:space="0" w:color="auto"/>
            <w:left w:val="none" w:sz="0" w:space="0" w:color="auto"/>
            <w:bottom w:val="none" w:sz="0" w:space="0" w:color="auto"/>
            <w:right w:val="none" w:sz="0" w:space="0" w:color="auto"/>
          </w:divBdr>
        </w:div>
        <w:div w:id="660885837">
          <w:marLeft w:val="0"/>
          <w:marRight w:val="0"/>
          <w:marTop w:val="0"/>
          <w:marBottom w:val="0"/>
          <w:divBdr>
            <w:top w:val="none" w:sz="0" w:space="0" w:color="auto"/>
            <w:left w:val="none" w:sz="0" w:space="0" w:color="auto"/>
            <w:bottom w:val="none" w:sz="0" w:space="0" w:color="auto"/>
            <w:right w:val="none" w:sz="0" w:space="0" w:color="auto"/>
          </w:divBdr>
        </w:div>
        <w:div w:id="776604072">
          <w:marLeft w:val="0"/>
          <w:marRight w:val="0"/>
          <w:marTop w:val="0"/>
          <w:marBottom w:val="0"/>
          <w:divBdr>
            <w:top w:val="none" w:sz="0" w:space="0" w:color="auto"/>
            <w:left w:val="none" w:sz="0" w:space="0" w:color="auto"/>
            <w:bottom w:val="none" w:sz="0" w:space="0" w:color="auto"/>
            <w:right w:val="none" w:sz="0" w:space="0" w:color="auto"/>
          </w:divBdr>
        </w:div>
        <w:div w:id="872157585">
          <w:marLeft w:val="0"/>
          <w:marRight w:val="0"/>
          <w:marTop w:val="0"/>
          <w:marBottom w:val="0"/>
          <w:divBdr>
            <w:top w:val="none" w:sz="0" w:space="0" w:color="auto"/>
            <w:left w:val="none" w:sz="0" w:space="0" w:color="auto"/>
            <w:bottom w:val="none" w:sz="0" w:space="0" w:color="auto"/>
            <w:right w:val="none" w:sz="0" w:space="0" w:color="auto"/>
          </w:divBdr>
        </w:div>
        <w:div w:id="882601238">
          <w:marLeft w:val="0"/>
          <w:marRight w:val="0"/>
          <w:marTop w:val="0"/>
          <w:marBottom w:val="0"/>
          <w:divBdr>
            <w:top w:val="none" w:sz="0" w:space="0" w:color="auto"/>
            <w:left w:val="none" w:sz="0" w:space="0" w:color="auto"/>
            <w:bottom w:val="none" w:sz="0" w:space="0" w:color="auto"/>
            <w:right w:val="none" w:sz="0" w:space="0" w:color="auto"/>
          </w:divBdr>
        </w:div>
        <w:div w:id="882786703">
          <w:marLeft w:val="0"/>
          <w:marRight w:val="0"/>
          <w:marTop w:val="0"/>
          <w:marBottom w:val="0"/>
          <w:divBdr>
            <w:top w:val="none" w:sz="0" w:space="0" w:color="auto"/>
            <w:left w:val="none" w:sz="0" w:space="0" w:color="auto"/>
            <w:bottom w:val="none" w:sz="0" w:space="0" w:color="auto"/>
            <w:right w:val="none" w:sz="0" w:space="0" w:color="auto"/>
          </w:divBdr>
        </w:div>
        <w:div w:id="997810104">
          <w:marLeft w:val="0"/>
          <w:marRight w:val="0"/>
          <w:marTop w:val="0"/>
          <w:marBottom w:val="0"/>
          <w:divBdr>
            <w:top w:val="none" w:sz="0" w:space="0" w:color="auto"/>
            <w:left w:val="none" w:sz="0" w:space="0" w:color="auto"/>
            <w:bottom w:val="none" w:sz="0" w:space="0" w:color="auto"/>
            <w:right w:val="none" w:sz="0" w:space="0" w:color="auto"/>
          </w:divBdr>
        </w:div>
        <w:div w:id="1100952480">
          <w:marLeft w:val="0"/>
          <w:marRight w:val="0"/>
          <w:marTop w:val="0"/>
          <w:marBottom w:val="0"/>
          <w:divBdr>
            <w:top w:val="none" w:sz="0" w:space="0" w:color="auto"/>
            <w:left w:val="none" w:sz="0" w:space="0" w:color="auto"/>
            <w:bottom w:val="none" w:sz="0" w:space="0" w:color="auto"/>
            <w:right w:val="none" w:sz="0" w:space="0" w:color="auto"/>
          </w:divBdr>
        </w:div>
        <w:div w:id="1413502343">
          <w:marLeft w:val="0"/>
          <w:marRight w:val="0"/>
          <w:marTop w:val="0"/>
          <w:marBottom w:val="0"/>
          <w:divBdr>
            <w:top w:val="none" w:sz="0" w:space="0" w:color="auto"/>
            <w:left w:val="none" w:sz="0" w:space="0" w:color="auto"/>
            <w:bottom w:val="none" w:sz="0" w:space="0" w:color="auto"/>
            <w:right w:val="none" w:sz="0" w:space="0" w:color="auto"/>
          </w:divBdr>
        </w:div>
        <w:div w:id="1673291940">
          <w:marLeft w:val="0"/>
          <w:marRight w:val="0"/>
          <w:marTop w:val="0"/>
          <w:marBottom w:val="0"/>
          <w:divBdr>
            <w:top w:val="none" w:sz="0" w:space="0" w:color="auto"/>
            <w:left w:val="none" w:sz="0" w:space="0" w:color="auto"/>
            <w:bottom w:val="none" w:sz="0" w:space="0" w:color="auto"/>
            <w:right w:val="none" w:sz="0" w:space="0" w:color="auto"/>
          </w:divBdr>
        </w:div>
        <w:div w:id="1696300555">
          <w:marLeft w:val="0"/>
          <w:marRight w:val="0"/>
          <w:marTop w:val="0"/>
          <w:marBottom w:val="0"/>
          <w:divBdr>
            <w:top w:val="none" w:sz="0" w:space="0" w:color="auto"/>
            <w:left w:val="none" w:sz="0" w:space="0" w:color="auto"/>
            <w:bottom w:val="none" w:sz="0" w:space="0" w:color="auto"/>
            <w:right w:val="none" w:sz="0" w:space="0" w:color="auto"/>
          </w:divBdr>
        </w:div>
        <w:div w:id="1872495532">
          <w:marLeft w:val="0"/>
          <w:marRight w:val="0"/>
          <w:marTop w:val="0"/>
          <w:marBottom w:val="0"/>
          <w:divBdr>
            <w:top w:val="none" w:sz="0" w:space="0" w:color="auto"/>
            <w:left w:val="none" w:sz="0" w:space="0" w:color="auto"/>
            <w:bottom w:val="none" w:sz="0" w:space="0" w:color="auto"/>
            <w:right w:val="none" w:sz="0" w:space="0" w:color="auto"/>
          </w:divBdr>
        </w:div>
        <w:div w:id="1929384748">
          <w:marLeft w:val="0"/>
          <w:marRight w:val="0"/>
          <w:marTop w:val="0"/>
          <w:marBottom w:val="0"/>
          <w:divBdr>
            <w:top w:val="none" w:sz="0" w:space="0" w:color="auto"/>
            <w:left w:val="none" w:sz="0" w:space="0" w:color="auto"/>
            <w:bottom w:val="none" w:sz="0" w:space="0" w:color="auto"/>
            <w:right w:val="none" w:sz="0" w:space="0" w:color="auto"/>
          </w:divBdr>
        </w:div>
        <w:div w:id="1938639606">
          <w:marLeft w:val="0"/>
          <w:marRight w:val="0"/>
          <w:marTop w:val="0"/>
          <w:marBottom w:val="0"/>
          <w:divBdr>
            <w:top w:val="none" w:sz="0" w:space="0" w:color="auto"/>
            <w:left w:val="none" w:sz="0" w:space="0" w:color="auto"/>
            <w:bottom w:val="none" w:sz="0" w:space="0" w:color="auto"/>
            <w:right w:val="none" w:sz="0" w:space="0" w:color="auto"/>
          </w:divBdr>
        </w:div>
      </w:divsChild>
    </w:div>
    <w:div w:id="1654916129">
      <w:bodyDiv w:val="1"/>
      <w:marLeft w:val="0"/>
      <w:marRight w:val="0"/>
      <w:marTop w:val="0"/>
      <w:marBottom w:val="0"/>
      <w:divBdr>
        <w:top w:val="none" w:sz="0" w:space="0" w:color="auto"/>
        <w:left w:val="none" w:sz="0" w:space="0" w:color="auto"/>
        <w:bottom w:val="none" w:sz="0" w:space="0" w:color="auto"/>
        <w:right w:val="none" w:sz="0" w:space="0" w:color="auto"/>
      </w:divBdr>
    </w:div>
    <w:div w:id="1668245949">
      <w:bodyDiv w:val="1"/>
      <w:marLeft w:val="0"/>
      <w:marRight w:val="0"/>
      <w:marTop w:val="0"/>
      <w:marBottom w:val="0"/>
      <w:divBdr>
        <w:top w:val="none" w:sz="0" w:space="0" w:color="auto"/>
        <w:left w:val="none" w:sz="0" w:space="0" w:color="auto"/>
        <w:bottom w:val="none" w:sz="0" w:space="0" w:color="auto"/>
        <w:right w:val="none" w:sz="0" w:space="0" w:color="auto"/>
      </w:divBdr>
      <w:divsChild>
        <w:div w:id="36011341">
          <w:marLeft w:val="0"/>
          <w:marRight w:val="0"/>
          <w:marTop w:val="0"/>
          <w:marBottom w:val="0"/>
          <w:divBdr>
            <w:top w:val="none" w:sz="0" w:space="0" w:color="auto"/>
            <w:left w:val="none" w:sz="0" w:space="0" w:color="auto"/>
            <w:bottom w:val="none" w:sz="0" w:space="0" w:color="auto"/>
            <w:right w:val="none" w:sz="0" w:space="0" w:color="auto"/>
          </w:divBdr>
        </w:div>
        <w:div w:id="97220983">
          <w:marLeft w:val="0"/>
          <w:marRight w:val="0"/>
          <w:marTop w:val="0"/>
          <w:marBottom w:val="0"/>
          <w:divBdr>
            <w:top w:val="none" w:sz="0" w:space="0" w:color="auto"/>
            <w:left w:val="none" w:sz="0" w:space="0" w:color="auto"/>
            <w:bottom w:val="none" w:sz="0" w:space="0" w:color="auto"/>
            <w:right w:val="none" w:sz="0" w:space="0" w:color="auto"/>
          </w:divBdr>
        </w:div>
        <w:div w:id="130707089">
          <w:marLeft w:val="0"/>
          <w:marRight w:val="0"/>
          <w:marTop w:val="0"/>
          <w:marBottom w:val="0"/>
          <w:divBdr>
            <w:top w:val="none" w:sz="0" w:space="0" w:color="auto"/>
            <w:left w:val="none" w:sz="0" w:space="0" w:color="auto"/>
            <w:bottom w:val="none" w:sz="0" w:space="0" w:color="auto"/>
            <w:right w:val="none" w:sz="0" w:space="0" w:color="auto"/>
          </w:divBdr>
        </w:div>
        <w:div w:id="564031689">
          <w:marLeft w:val="0"/>
          <w:marRight w:val="0"/>
          <w:marTop w:val="0"/>
          <w:marBottom w:val="0"/>
          <w:divBdr>
            <w:top w:val="none" w:sz="0" w:space="0" w:color="auto"/>
            <w:left w:val="none" w:sz="0" w:space="0" w:color="auto"/>
            <w:bottom w:val="none" w:sz="0" w:space="0" w:color="auto"/>
            <w:right w:val="none" w:sz="0" w:space="0" w:color="auto"/>
          </w:divBdr>
        </w:div>
        <w:div w:id="608972256">
          <w:marLeft w:val="0"/>
          <w:marRight w:val="0"/>
          <w:marTop w:val="0"/>
          <w:marBottom w:val="0"/>
          <w:divBdr>
            <w:top w:val="none" w:sz="0" w:space="0" w:color="auto"/>
            <w:left w:val="none" w:sz="0" w:space="0" w:color="auto"/>
            <w:bottom w:val="none" w:sz="0" w:space="0" w:color="auto"/>
            <w:right w:val="none" w:sz="0" w:space="0" w:color="auto"/>
          </w:divBdr>
        </w:div>
        <w:div w:id="735783551">
          <w:marLeft w:val="0"/>
          <w:marRight w:val="0"/>
          <w:marTop w:val="0"/>
          <w:marBottom w:val="0"/>
          <w:divBdr>
            <w:top w:val="none" w:sz="0" w:space="0" w:color="auto"/>
            <w:left w:val="none" w:sz="0" w:space="0" w:color="auto"/>
            <w:bottom w:val="none" w:sz="0" w:space="0" w:color="auto"/>
            <w:right w:val="none" w:sz="0" w:space="0" w:color="auto"/>
          </w:divBdr>
        </w:div>
        <w:div w:id="890993066">
          <w:marLeft w:val="0"/>
          <w:marRight w:val="0"/>
          <w:marTop w:val="0"/>
          <w:marBottom w:val="0"/>
          <w:divBdr>
            <w:top w:val="none" w:sz="0" w:space="0" w:color="auto"/>
            <w:left w:val="none" w:sz="0" w:space="0" w:color="auto"/>
            <w:bottom w:val="none" w:sz="0" w:space="0" w:color="auto"/>
            <w:right w:val="none" w:sz="0" w:space="0" w:color="auto"/>
          </w:divBdr>
        </w:div>
        <w:div w:id="1611205626">
          <w:marLeft w:val="0"/>
          <w:marRight w:val="0"/>
          <w:marTop w:val="0"/>
          <w:marBottom w:val="0"/>
          <w:divBdr>
            <w:top w:val="none" w:sz="0" w:space="0" w:color="auto"/>
            <w:left w:val="none" w:sz="0" w:space="0" w:color="auto"/>
            <w:bottom w:val="none" w:sz="0" w:space="0" w:color="auto"/>
            <w:right w:val="none" w:sz="0" w:space="0" w:color="auto"/>
          </w:divBdr>
        </w:div>
        <w:div w:id="1865971576">
          <w:marLeft w:val="0"/>
          <w:marRight w:val="0"/>
          <w:marTop w:val="0"/>
          <w:marBottom w:val="0"/>
          <w:divBdr>
            <w:top w:val="none" w:sz="0" w:space="0" w:color="auto"/>
            <w:left w:val="none" w:sz="0" w:space="0" w:color="auto"/>
            <w:bottom w:val="none" w:sz="0" w:space="0" w:color="auto"/>
            <w:right w:val="none" w:sz="0" w:space="0" w:color="auto"/>
          </w:divBdr>
        </w:div>
        <w:div w:id="1969821241">
          <w:marLeft w:val="0"/>
          <w:marRight w:val="0"/>
          <w:marTop w:val="0"/>
          <w:marBottom w:val="0"/>
          <w:divBdr>
            <w:top w:val="none" w:sz="0" w:space="0" w:color="auto"/>
            <w:left w:val="none" w:sz="0" w:space="0" w:color="auto"/>
            <w:bottom w:val="none" w:sz="0" w:space="0" w:color="auto"/>
            <w:right w:val="none" w:sz="0" w:space="0" w:color="auto"/>
          </w:divBdr>
        </w:div>
        <w:div w:id="2106800197">
          <w:marLeft w:val="0"/>
          <w:marRight w:val="0"/>
          <w:marTop w:val="0"/>
          <w:marBottom w:val="0"/>
          <w:divBdr>
            <w:top w:val="none" w:sz="0" w:space="0" w:color="auto"/>
            <w:left w:val="none" w:sz="0" w:space="0" w:color="auto"/>
            <w:bottom w:val="none" w:sz="0" w:space="0" w:color="auto"/>
            <w:right w:val="none" w:sz="0" w:space="0" w:color="auto"/>
          </w:divBdr>
        </w:div>
      </w:divsChild>
    </w:div>
    <w:div w:id="1671175258">
      <w:bodyDiv w:val="1"/>
      <w:marLeft w:val="0"/>
      <w:marRight w:val="0"/>
      <w:marTop w:val="0"/>
      <w:marBottom w:val="0"/>
      <w:divBdr>
        <w:top w:val="none" w:sz="0" w:space="0" w:color="auto"/>
        <w:left w:val="none" w:sz="0" w:space="0" w:color="auto"/>
        <w:bottom w:val="none" w:sz="0" w:space="0" w:color="auto"/>
        <w:right w:val="none" w:sz="0" w:space="0" w:color="auto"/>
      </w:divBdr>
      <w:divsChild>
        <w:div w:id="63719410">
          <w:marLeft w:val="0"/>
          <w:marRight w:val="0"/>
          <w:marTop w:val="0"/>
          <w:marBottom w:val="0"/>
          <w:divBdr>
            <w:top w:val="none" w:sz="0" w:space="0" w:color="auto"/>
            <w:left w:val="none" w:sz="0" w:space="0" w:color="auto"/>
            <w:bottom w:val="none" w:sz="0" w:space="0" w:color="auto"/>
            <w:right w:val="none" w:sz="0" w:space="0" w:color="auto"/>
          </w:divBdr>
        </w:div>
        <w:div w:id="100952435">
          <w:marLeft w:val="0"/>
          <w:marRight w:val="0"/>
          <w:marTop w:val="0"/>
          <w:marBottom w:val="0"/>
          <w:divBdr>
            <w:top w:val="none" w:sz="0" w:space="0" w:color="auto"/>
            <w:left w:val="none" w:sz="0" w:space="0" w:color="auto"/>
            <w:bottom w:val="none" w:sz="0" w:space="0" w:color="auto"/>
            <w:right w:val="none" w:sz="0" w:space="0" w:color="auto"/>
          </w:divBdr>
        </w:div>
        <w:div w:id="244801432">
          <w:marLeft w:val="0"/>
          <w:marRight w:val="0"/>
          <w:marTop w:val="0"/>
          <w:marBottom w:val="0"/>
          <w:divBdr>
            <w:top w:val="none" w:sz="0" w:space="0" w:color="auto"/>
            <w:left w:val="none" w:sz="0" w:space="0" w:color="auto"/>
            <w:bottom w:val="none" w:sz="0" w:space="0" w:color="auto"/>
            <w:right w:val="none" w:sz="0" w:space="0" w:color="auto"/>
          </w:divBdr>
        </w:div>
        <w:div w:id="368989658">
          <w:marLeft w:val="0"/>
          <w:marRight w:val="0"/>
          <w:marTop w:val="0"/>
          <w:marBottom w:val="0"/>
          <w:divBdr>
            <w:top w:val="none" w:sz="0" w:space="0" w:color="auto"/>
            <w:left w:val="none" w:sz="0" w:space="0" w:color="auto"/>
            <w:bottom w:val="none" w:sz="0" w:space="0" w:color="auto"/>
            <w:right w:val="none" w:sz="0" w:space="0" w:color="auto"/>
          </w:divBdr>
        </w:div>
        <w:div w:id="383261028">
          <w:marLeft w:val="0"/>
          <w:marRight w:val="0"/>
          <w:marTop w:val="0"/>
          <w:marBottom w:val="0"/>
          <w:divBdr>
            <w:top w:val="none" w:sz="0" w:space="0" w:color="auto"/>
            <w:left w:val="none" w:sz="0" w:space="0" w:color="auto"/>
            <w:bottom w:val="none" w:sz="0" w:space="0" w:color="auto"/>
            <w:right w:val="none" w:sz="0" w:space="0" w:color="auto"/>
          </w:divBdr>
        </w:div>
        <w:div w:id="422607182">
          <w:marLeft w:val="0"/>
          <w:marRight w:val="0"/>
          <w:marTop w:val="0"/>
          <w:marBottom w:val="0"/>
          <w:divBdr>
            <w:top w:val="none" w:sz="0" w:space="0" w:color="auto"/>
            <w:left w:val="none" w:sz="0" w:space="0" w:color="auto"/>
            <w:bottom w:val="none" w:sz="0" w:space="0" w:color="auto"/>
            <w:right w:val="none" w:sz="0" w:space="0" w:color="auto"/>
          </w:divBdr>
        </w:div>
        <w:div w:id="444814413">
          <w:marLeft w:val="0"/>
          <w:marRight w:val="0"/>
          <w:marTop w:val="0"/>
          <w:marBottom w:val="0"/>
          <w:divBdr>
            <w:top w:val="none" w:sz="0" w:space="0" w:color="auto"/>
            <w:left w:val="none" w:sz="0" w:space="0" w:color="auto"/>
            <w:bottom w:val="none" w:sz="0" w:space="0" w:color="auto"/>
            <w:right w:val="none" w:sz="0" w:space="0" w:color="auto"/>
          </w:divBdr>
        </w:div>
        <w:div w:id="487984262">
          <w:marLeft w:val="0"/>
          <w:marRight w:val="0"/>
          <w:marTop w:val="0"/>
          <w:marBottom w:val="0"/>
          <w:divBdr>
            <w:top w:val="none" w:sz="0" w:space="0" w:color="auto"/>
            <w:left w:val="none" w:sz="0" w:space="0" w:color="auto"/>
            <w:bottom w:val="none" w:sz="0" w:space="0" w:color="auto"/>
            <w:right w:val="none" w:sz="0" w:space="0" w:color="auto"/>
          </w:divBdr>
        </w:div>
        <w:div w:id="525215833">
          <w:marLeft w:val="0"/>
          <w:marRight w:val="0"/>
          <w:marTop w:val="0"/>
          <w:marBottom w:val="0"/>
          <w:divBdr>
            <w:top w:val="none" w:sz="0" w:space="0" w:color="auto"/>
            <w:left w:val="none" w:sz="0" w:space="0" w:color="auto"/>
            <w:bottom w:val="none" w:sz="0" w:space="0" w:color="auto"/>
            <w:right w:val="none" w:sz="0" w:space="0" w:color="auto"/>
          </w:divBdr>
        </w:div>
        <w:div w:id="545527719">
          <w:marLeft w:val="0"/>
          <w:marRight w:val="0"/>
          <w:marTop w:val="0"/>
          <w:marBottom w:val="0"/>
          <w:divBdr>
            <w:top w:val="none" w:sz="0" w:space="0" w:color="auto"/>
            <w:left w:val="none" w:sz="0" w:space="0" w:color="auto"/>
            <w:bottom w:val="none" w:sz="0" w:space="0" w:color="auto"/>
            <w:right w:val="none" w:sz="0" w:space="0" w:color="auto"/>
          </w:divBdr>
        </w:div>
        <w:div w:id="561604627">
          <w:marLeft w:val="0"/>
          <w:marRight w:val="0"/>
          <w:marTop w:val="0"/>
          <w:marBottom w:val="0"/>
          <w:divBdr>
            <w:top w:val="none" w:sz="0" w:space="0" w:color="auto"/>
            <w:left w:val="none" w:sz="0" w:space="0" w:color="auto"/>
            <w:bottom w:val="none" w:sz="0" w:space="0" w:color="auto"/>
            <w:right w:val="none" w:sz="0" w:space="0" w:color="auto"/>
          </w:divBdr>
        </w:div>
        <w:div w:id="582639547">
          <w:marLeft w:val="0"/>
          <w:marRight w:val="0"/>
          <w:marTop w:val="0"/>
          <w:marBottom w:val="0"/>
          <w:divBdr>
            <w:top w:val="none" w:sz="0" w:space="0" w:color="auto"/>
            <w:left w:val="none" w:sz="0" w:space="0" w:color="auto"/>
            <w:bottom w:val="none" w:sz="0" w:space="0" w:color="auto"/>
            <w:right w:val="none" w:sz="0" w:space="0" w:color="auto"/>
          </w:divBdr>
        </w:div>
        <w:div w:id="611547412">
          <w:marLeft w:val="0"/>
          <w:marRight w:val="0"/>
          <w:marTop w:val="0"/>
          <w:marBottom w:val="0"/>
          <w:divBdr>
            <w:top w:val="none" w:sz="0" w:space="0" w:color="auto"/>
            <w:left w:val="none" w:sz="0" w:space="0" w:color="auto"/>
            <w:bottom w:val="none" w:sz="0" w:space="0" w:color="auto"/>
            <w:right w:val="none" w:sz="0" w:space="0" w:color="auto"/>
          </w:divBdr>
        </w:div>
        <w:div w:id="656299403">
          <w:marLeft w:val="0"/>
          <w:marRight w:val="0"/>
          <w:marTop w:val="0"/>
          <w:marBottom w:val="0"/>
          <w:divBdr>
            <w:top w:val="none" w:sz="0" w:space="0" w:color="auto"/>
            <w:left w:val="none" w:sz="0" w:space="0" w:color="auto"/>
            <w:bottom w:val="none" w:sz="0" w:space="0" w:color="auto"/>
            <w:right w:val="none" w:sz="0" w:space="0" w:color="auto"/>
          </w:divBdr>
        </w:div>
        <w:div w:id="684408659">
          <w:marLeft w:val="0"/>
          <w:marRight w:val="0"/>
          <w:marTop w:val="0"/>
          <w:marBottom w:val="0"/>
          <w:divBdr>
            <w:top w:val="none" w:sz="0" w:space="0" w:color="auto"/>
            <w:left w:val="none" w:sz="0" w:space="0" w:color="auto"/>
            <w:bottom w:val="none" w:sz="0" w:space="0" w:color="auto"/>
            <w:right w:val="none" w:sz="0" w:space="0" w:color="auto"/>
          </w:divBdr>
        </w:div>
        <w:div w:id="708798865">
          <w:marLeft w:val="0"/>
          <w:marRight w:val="0"/>
          <w:marTop w:val="0"/>
          <w:marBottom w:val="0"/>
          <w:divBdr>
            <w:top w:val="none" w:sz="0" w:space="0" w:color="auto"/>
            <w:left w:val="none" w:sz="0" w:space="0" w:color="auto"/>
            <w:bottom w:val="none" w:sz="0" w:space="0" w:color="auto"/>
            <w:right w:val="none" w:sz="0" w:space="0" w:color="auto"/>
          </w:divBdr>
        </w:div>
        <w:div w:id="778837992">
          <w:marLeft w:val="0"/>
          <w:marRight w:val="0"/>
          <w:marTop w:val="0"/>
          <w:marBottom w:val="0"/>
          <w:divBdr>
            <w:top w:val="none" w:sz="0" w:space="0" w:color="auto"/>
            <w:left w:val="none" w:sz="0" w:space="0" w:color="auto"/>
            <w:bottom w:val="none" w:sz="0" w:space="0" w:color="auto"/>
            <w:right w:val="none" w:sz="0" w:space="0" w:color="auto"/>
          </w:divBdr>
        </w:div>
        <w:div w:id="791166755">
          <w:marLeft w:val="0"/>
          <w:marRight w:val="0"/>
          <w:marTop w:val="0"/>
          <w:marBottom w:val="0"/>
          <w:divBdr>
            <w:top w:val="none" w:sz="0" w:space="0" w:color="auto"/>
            <w:left w:val="none" w:sz="0" w:space="0" w:color="auto"/>
            <w:bottom w:val="none" w:sz="0" w:space="0" w:color="auto"/>
            <w:right w:val="none" w:sz="0" w:space="0" w:color="auto"/>
          </w:divBdr>
        </w:div>
        <w:div w:id="840438116">
          <w:marLeft w:val="0"/>
          <w:marRight w:val="0"/>
          <w:marTop w:val="0"/>
          <w:marBottom w:val="0"/>
          <w:divBdr>
            <w:top w:val="none" w:sz="0" w:space="0" w:color="auto"/>
            <w:left w:val="none" w:sz="0" w:space="0" w:color="auto"/>
            <w:bottom w:val="none" w:sz="0" w:space="0" w:color="auto"/>
            <w:right w:val="none" w:sz="0" w:space="0" w:color="auto"/>
          </w:divBdr>
        </w:div>
        <w:div w:id="887762018">
          <w:marLeft w:val="0"/>
          <w:marRight w:val="0"/>
          <w:marTop w:val="0"/>
          <w:marBottom w:val="0"/>
          <w:divBdr>
            <w:top w:val="none" w:sz="0" w:space="0" w:color="auto"/>
            <w:left w:val="none" w:sz="0" w:space="0" w:color="auto"/>
            <w:bottom w:val="none" w:sz="0" w:space="0" w:color="auto"/>
            <w:right w:val="none" w:sz="0" w:space="0" w:color="auto"/>
          </w:divBdr>
        </w:div>
        <w:div w:id="895123328">
          <w:marLeft w:val="0"/>
          <w:marRight w:val="0"/>
          <w:marTop w:val="0"/>
          <w:marBottom w:val="0"/>
          <w:divBdr>
            <w:top w:val="none" w:sz="0" w:space="0" w:color="auto"/>
            <w:left w:val="none" w:sz="0" w:space="0" w:color="auto"/>
            <w:bottom w:val="none" w:sz="0" w:space="0" w:color="auto"/>
            <w:right w:val="none" w:sz="0" w:space="0" w:color="auto"/>
          </w:divBdr>
        </w:div>
        <w:div w:id="919633629">
          <w:marLeft w:val="0"/>
          <w:marRight w:val="0"/>
          <w:marTop w:val="0"/>
          <w:marBottom w:val="0"/>
          <w:divBdr>
            <w:top w:val="none" w:sz="0" w:space="0" w:color="auto"/>
            <w:left w:val="none" w:sz="0" w:space="0" w:color="auto"/>
            <w:bottom w:val="none" w:sz="0" w:space="0" w:color="auto"/>
            <w:right w:val="none" w:sz="0" w:space="0" w:color="auto"/>
          </w:divBdr>
        </w:div>
        <w:div w:id="923613721">
          <w:marLeft w:val="0"/>
          <w:marRight w:val="0"/>
          <w:marTop w:val="0"/>
          <w:marBottom w:val="0"/>
          <w:divBdr>
            <w:top w:val="none" w:sz="0" w:space="0" w:color="auto"/>
            <w:left w:val="none" w:sz="0" w:space="0" w:color="auto"/>
            <w:bottom w:val="none" w:sz="0" w:space="0" w:color="auto"/>
            <w:right w:val="none" w:sz="0" w:space="0" w:color="auto"/>
          </w:divBdr>
        </w:div>
        <w:div w:id="925311202">
          <w:marLeft w:val="0"/>
          <w:marRight w:val="0"/>
          <w:marTop w:val="0"/>
          <w:marBottom w:val="0"/>
          <w:divBdr>
            <w:top w:val="none" w:sz="0" w:space="0" w:color="auto"/>
            <w:left w:val="none" w:sz="0" w:space="0" w:color="auto"/>
            <w:bottom w:val="none" w:sz="0" w:space="0" w:color="auto"/>
            <w:right w:val="none" w:sz="0" w:space="0" w:color="auto"/>
          </w:divBdr>
        </w:div>
        <w:div w:id="962492395">
          <w:marLeft w:val="0"/>
          <w:marRight w:val="0"/>
          <w:marTop w:val="0"/>
          <w:marBottom w:val="0"/>
          <w:divBdr>
            <w:top w:val="none" w:sz="0" w:space="0" w:color="auto"/>
            <w:left w:val="none" w:sz="0" w:space="0" w:color="auto"/>
            <w:bottom w:val="none" w:sz="0" w:space="0" w:color="auto"/>
            <w:right w:val="none" w:sz="0" w:space="0" w:color="auto"/>
          </w:divBdr>
        </w:div>
        <w:div w:id="975453636">
          <w:marLeft w:val="0"/>
          <w:marRight w:val="0"/>
          <w:marTop w:val="0"/>
          <w:marBottom w:val="0"/>
          <w:divBdr>
            <w:top w:val="none" w:sz="0" w:space="0" w:color="auto"/>
            <w:left w:val="none" w:sz="0" w:space="0" w:color="auto"/>
            <w:bottom w:val="none" w:sz="0" w:space="0" w:color="auto"/>
            <w:right w:val="none" w:sz="0" w:space="0" w:color="auto"/>
          </w:divBdr>
        </w:div>
        <w:div w:id="1037001070">
          <w:marLeft w:val="0"/>
          <w:marRight w:val="0"/>
          <w:marTop w:val="0"/>
          <w:marBottom w:val="0"/>
          <w:divBdr>
            <w:top w:val="none" w:sz="0" w:space="0" w:color="auto"/>
            <w:left w:val="none" w:sz="0" w:space="0" w:color="auto"/>
            <w:bottom w:val="none" w:sz="0" w:space="0" w:color="auto"/>
            <w:right w:val="none" w:sz="0" w:space="0" w:color="auto"/>
          </w:divBdr>
        </w:div>
        <w:div w:id="1171142222">
          <w:marLeft w:val="0"/>
          <w:marRight w:val="0"/>
          <w:marTop w:val="0"/>
          <w:marBottom w:val="0"/>
          <w:divBdr>
            <w:top w:val="none" w:sz="0" w:space="0" w:color="auto"/>
            <w:left w:val="none" w:sz="0" w:space="0" w:color="auto"/>
            <w:bottom w:val="none" w:sz="0" w:space="0" w:color="auto"/>
            <w:right w:val="none" w:sz="0" w:space="0" w:color="auto"/>
          </w:divBdr>
        </w:div>
        <w:div w:id="1229071230">
          <w:marLeft w:val="0"/>
          <w:marRight w:val="0"/>
          <w:marTop w:val="0"/>
          <w:marBottom w:val="0"/>
          <w:divBdr>
            <w:top w:val="none" w:sz="0" w:space="0" w:color="auto"/>
            <w:left w:val="none" w:sz="0" w:space="0" w:color="auto"/>
            <w:bottom w:val="none" w:sz="0" w:space="0" w:color="auto"/>
            <w:right w:val="none" w:sz="0" w:space="0" w:color="auto"/>
          </w:divBdr>
        </w:div>
        <w:div w:id="1270893814">
          <w:marLeft w:val="0"/>
          <w:marRight w:val="0"/>
          <w:marTop w:val="0"/>
          <w:marBottom w:val="0"/>
          <w:divBdr>
            <w:top w:val="none" w:sz="0" w:space="0" w:color="auto"/>
            <w:left w:val="none" w:sz="0" w:space="0" w:color="auto"/>
            <w:bottom w:val="none" w:sz="0" w:space="0" w:color="auto"/>
            <w:right w:val="none" w:sz="0" w:space="0" w:color="auto"/>
          </w:divBdr>
        </w:div>
        <w:div w:id="1321541906">
          <w:marLeft w:val="0"/>
          <w:marRight w:val="0"/>
          <w:marTop w:val="0"/>
          <w:marBottom w:val="0"/>
          <w:divBdr>
            <w:top w:val="none" w:sz="0" w:space="0" w:color="auto"/>
            <w:left w:val="none" w:sz="0" w:space="0" w:color="auto"/>
            <w:bottom w:val="none" w:sz="0" w:space="0" w:color="auto"/>
            <w:right w:val="none" w:sz="0" w:space="0" w:color="auto"/>
          </w:divBdr>
        </w:div>
        <w:div w:id="1403528158">
          <w:marLeft w:val="0"/>
          <w:marRight w:val="0"/>
          <w:marTop w:val="0"/>
          <w:marBottom w:val="0"/>
          <w:divBdr>
            <w:top w:val="none" w:sz="0" w:space="0" w:color="auto"/>
            <w:left w:val="none" w:sz="0" w:space="0" w:color="auto"/>
            <w:bottom w:val="none" w:sz="0" w:space="0" w:color="auto"/>
            <w:right w:val="none" w:sz="0" w:space="0" w:color="auto"/>
          </w:divBdr>
        </w:div>
        <w:div w:id="1413627029">
          <w:marLeft w:val="0"/>
          <w:marRight w:val="0"/>
          <w:marTop w:val="0"/>
          <w:marBottom w:val="0"/>
          <w:divBdr>
            <w:top w:val="none" w:sz="0" w:space="0" w:color="auto"/>
            <w:left w:val="none" w:sz="0" w:space="0" w:color="auto"/>
            <w:bottom w:val="none" w:sz="0" w:space="0" w:color="auto"/>
            <w:right w:val="none" w:sz="0" w:space="0" w:color="auto"/>
          </w:divBdr>
        </w:div>
        <w:div w:id="1413965492">
          <w:marLeft w:val="0"/>
          <w:marRight w:val="0"/>
          <w:marTop w:val="0"/>
          <w:marBottom w:val="0"/>
          <w:divBdr>
            <w:top w:val="none" w:sz="0" w:space="0" w:color="auto"/>
            <w:left w:val="none" w:sz="0" w:space="0" w:color="auto"/>
            <w:bottom w:val="none" w:sz="0" w:space="0" w:color="auto"/>
            <w:right w:val="none" w:sz="0" w:space="0" w:color="auto"/>
          </w:divBdr>
        </w:div>
        <w:div w:id="1424956515">
          <w:marLeft w:val="0"/>
          <w:marRight w:val="0"/>
          <w:marTop w:val="0"/>
          <w:marBottom w:val="0"/>
          <w:divBdr>
            <w:top w:val="none" w:sz="0" w:space="0" w:color="auto"/>
            <w:left w:val="none" w:sz="0" w:space="0" w:color="auto"/>
            <w:bottom w:val="none" w:sz="0" w:space="0" w:color="auto"/>
            <w:right w:val="none" w:sz="0" w:space="0" w:color="auto"/>
          </w:divBdr>
        </w:div>
        <w:div w:id="1612929443">
          <w:marLeft w:val="0"/>
          <w:marRight w:val="0"/>
          <w:marTop w:val="0"/>
          <w:marBottom w:val="0"/>
          <w:divBdr>
            <w:top w:val="none" w:sz="0" w:space="0" w:color="auto"/>
            <w:left w:val="none" w:sz="0" w:space="0" w:color="auto"/>
            <w:bottom w:val="none" w:sz="0" w:space="0" w:color="auto"/>
            <w:right w:val="none" w:sz="0" w:space="0" w:color="auto"/>
          </w:divBdr>
        </w:div>
        <w:div w:id="1717926158">
          <w:marLeft w:val="0"/>
          <w:marRight w:val="0"/>
          <w:marTop w:val="0"/>
          <w:marBottom w:val="0"/>
          <w:divBdr>
            <w:top w:val="none" w:sz="0" w:space="0" w:color="auto"/>
            <w:left w:val="none" w:sz="0" w:space="0" w:color="auto"/>
            <w:bottom w:val="none" w:sz="0" w:space="0" w:color="auto"/>
            <w:right w:val="none" w:sz="0" w:space="0" w:color="auto"/>
          </w:divBdr>
        </w:div>
        <w:div w:id="1728532430">
          <w:marLeft w:val="0"/>
          <w:marRight w:val="0"/>
          <w:marTop w:val="0"/>
          <w:marBottom w:val="0"/>
          <w:divBdr>
            <w:top w:val="none" w:sz="0" w:space="0" w:color="auto"/>
            <w:left w:val="none" w:sz="0" w:space="0" w:color="auto"/>
            <w:bottom w:val="none" w:sz="0" w:space="0" w:color="auto"/>
            <w:right w:val="none" w:sz="0" w:space="0" w:color="auto"/>
          </w:divBdr>
        </w:div>
        <w:div w:id="1765953347">
          <w:marLeft w:val="0"/>
          <w:marRight w:val="0"/>
          <w:marTop w:val="0"/>
          <w:marBottom w:val="0"/>
          <w:divBdr>
            <w:top w:val="none" w:sz="0" w:space="0" w:color="auto"/>
            <w:left w:val="none" w:sz="0" w:space="0" w:color="auto"/>
            <w:bottom w:val="none" w:sz="0" w:space="0" w:color="auto"/>
            <w:right w:val="none" w:sz="0" w:space="0" w:color="auto"/>
          </w:divBdr>
        </w:div>
        <w:div w:id="1773358414">
          <w:marLeft w:val="0"/>
          <w:marRight w:val="0"/>
          <w:marTop w:val="0"/>
          <w:marBottom w:val="0"/>
          <w:divBdr>
            <w:top w:val="none" w:sz="0" w:space="0" w:color="auto"/>
            <w:left w:val="none" w:sz="0" w:space="0" w:color="auto"/>
            <w:bottom w:val="none" w:sz="0" w:space="0" w:color="auto"/>
            <w:right w:val="none" w:sz="0" w:space="0" w:color="auto"/>
          </w:divBdr>
        </w:div>
        <w:div w:id="1794246297">
          <w:marLeft w:val="0"/>
          <w:marRight w:val="0"/>
          <w:marTop w:val="0"/>
          <w:marBottom w:val="0"/>
          <w:divBdr>
            <w:top w:val="none" w:sz="0" w:space="0" w:color="auto"/>
            <w:left w:val="none" w:sz="0" w:space="0" w:color="auto"/>
            <w:bottom w:val="none" w:sz="0" w:space="0" w:color="auto"/>
            <w:right w:val="none" w:sz="0" w:space="0" w:color="auto"/>
          </w:divBdr>
        </w:div>
        <w:div w:id="1874926256">
          <w:marLeft w:val="0"/>
          <w:marRight w:val="0"/>
          <w:marTop w:val="0"/>
          <w:marBottom w:val="0"/>
          <w:divBdr>
            <w:top w:val="none" w:sz="0" w:space="0" w:color="auto"/>
            <w:left w:val="none" w:sz="0" w:space="0" w:color="auto"/>
            <w:bottom w:val="none" w:sz="0" w:space="0" w:color="auto"/>
            <w:right w:val="none" w:sz="0" w:space="0" w:color="auto"/>
          </w:divBdr>
        </w:div>
        <w:div w:id="1971781733">
          <w:marLeft w:val="0"/>
          <w:marRight w:val="0"/>
          <w:marTop w:val="0"/>
          <w:marBottom w:val="0"/>
          <w:divBdr>
            <w:top w:val="none" w:sz="0" w:space="0" w:color="auto"/>
            <w:left w:val="none" w:sz="0" w:space="0" w:color="auto"/>
            <w:bottom w:val="none" w:sz="0" w:space="0" w:color="auto"/>
            <w:right w:val="none" w:sz="0" w:space="0" w:color="auto"/>
          </w:divBdr>
        </w:div>
        <w:div w:id="2107260431">
          <w:marLeft w:val="0"/>
          <w:marRight w:val="0"/>
          <w:marTop w:val="0"/>
          <w:marBottom w:val="0"/>
          <w:divBdr>
            <w:top w:val="none" w:sz="0" w:space="0" w:color="auto"/>
            <w:left w:val="none" w:sz="0" w:space="0" w:color="auto"/>
            <w:bottom w:val="none" w:sz="0" w:space="0" w:color="auto"/>
            <w:right w:val="none" w:sz="0" w:space="0" w:color="auto"/>
          </w:divBdr>
        </w:div>
        <w:div w:id="2118255979">
          <w:marLeft w:val="0"/>
          <w:marRight w:val="0"/>
          <w:marTop w:val="0"/>
          <w:marBottom w:val="0"/>
          <w:divBdr>
            <w:top w:val="none" w:sz="0" w:space="0" w:color="auto"/>
            <w:left w:val="none" w:sz="0" w:space="0" w:color="auto"/>
            <w:bottom w:val="none" w:sz="0" w:space="0" w:color="auto"/>
            <w:right w:val="none" w:sz="0" w:space="0" w:color="auto"/>
          </w:divBdr>
        </w:div>
        <w:div w:id="2132816490">
          <w:marLeft w:val="0"/>
          <w:marRight w:val="0"/>
          <w:marTop w:val="0"/>
          <w:marBottom w:val="0"/>
          <w:divBdr>
            <w:top w:val="none" w:sz="0" w:space="0" w:color="auto"/>
            <w:left w:val="none" w:sz="0" w:space="0" w:color="auto"/>
            <w:bottom w:val="none" w:sz="0" w:space="0" w:color="auto"/>
            <w:right w:val="none" w:sz="0" w:space="0" w:color="auto"/>
          </w:divBdr>
        </w:div>
      </w:divsChild>
    </w:div>
    <w:div w:id="1705400934">
      <w:bodyDiv w:val="1"/>
      <w:marLeft w:val="0"/>
      <w:marRight w:val="0"/>
      <w:marTop w:val="0"/>
      <w:marBottom w:val="0"/>
      <w:divBdr>
        <w:top w:val="none" w:sz="0" w:space="0" w:color="auto"/>
        <w:left w:val="none" w:sz="0" w:space="0" w:color="auto"/>
        <w:bottom w:val="none" w:sz="0" w:space="0" w:color="auto"/>
        <w:right w:val="none" w:sz="0" w:space="0" w:color="auto"/>
      </w:divBdr>
    </w:div>
    <w:div w:id="1712993107">
      <w:bodyDiv w:val="1"/>
      <w:marLeft w:val="0"/>
      <w:marRight w:val="0"/>
      <w:marTop w:val="0"/>
      <w:marBottom w:val="0"/>
      <w:divBdr>
        <w:top w:val="none" w:sz="0" w:space="0" w:color="auto"/>
        <w:left w:val="none" w:sz="0" w:space="0" w:color="auto"/>
        <w:bottom w:val="none" w:sz="0" w:space="0" w:color="auto"/>
        <w:right w:val="none" w:sz="0" w:space="0" w:color="auto"/>
      </w:divBdr>
    </w:div>
    <w:div w:id="1744911990">
      <w:bodyDiv w:val="1"/>
      <w:marLeft w:val="0"/>
      <w:marRight w:val="0"/>
      <w:marTop w:val="0"/>
      <w:marBottom w:val="0"/>
      <w:divBdr>
        <w:top w:val="none" w:sz="0" w:space="0" w:color="auto"/>
        <w:left w:val="none" w:sz="0" w:space="0" w:color="auto"/>
        <w:bottom w:val="none" w:sz="0" w:space="0" w:color="auto"/>
        <w:right w:val="none" w:sz="0" w:space="0" w:color="auto"/>
      </w:divBdr>
    </w:div>
    <w:div w:id="1751122670">
      <w:bodyDiv w:val="1"/>
      <w:marLeft w:val="0"/>
      <w:marRight w:val="0"/>
      <w:marTop w:val="0"/>
      <w:marBottom w:val="0"/>
      <w:divBdr>
        <w:top w:val="none" w:sz="0" w:space="0" w:color="auto"/>
        <w:left w:val="none" w:sz="0" w:space="0" w:color="auto"/>
        <w:bottom w:val="none" w:sz="0" w:space="0" w:color="auto"/>
        <w:right w:val="none" w:sz="0" w:space="0" w:color="auto"/>
      </w:divBdr>
      <w:divsChild>
        <w:div w:id="226961568">
          <w:marLeft w:val="0"/>
          <w:marRight w:val="0"/>
          <w:marTop w:val="0"/>
          <w:marBottom w:val="0"/>
          <w:divBdr>
            <w:top w:val="none" w:sz="0" w:space="0" w:color="auto"/>
            <w:left w:val="none" w:sz="0" w:space="0" w:color="auto"/>
            <w:bottom w:val="none" w:sz="0" w:space="0" w:color="auto"/>
            <w:right w:val="none" w:sz="0" w:space="0" w:color="auto"/>
          </w:divBdr>
        </w:div>
        <w:div w:id="259221145">
          <w:marLeft w:val="0"/>
          <w:marRight w:val="0"/>
          <w:marTop w:val="0"/>
          <w:marBottom w:val="0"/>
          <w:divBdr>
            <w:top w:val="none" w:sz="0" w:space="0" w:color="auto"/>
            <w:left w:val="none" w:sz="0" w:space="0" w:color="auto"/>
            <w:bottom w:val="none" w:sz="0" w:space="0" w:color="auto"/>
            <w:right w:val="none" w:sz="0" w:space="0" w:color="auto"/>
          </w:divBdr>
        </w:div>
        <w:div w:id="518738361">
          <w:marLeft w:val="0"/>
          <w:marRight w:val="0"/>
          <w:marTop w:val="0"/>
          <w:marBottom w:val="0"/>
          <w:divBdr>
            <w:top w:val="none" w:sz="0" w:space="0" w:color="auto"/>
            <w:left w:val="none" w:sz="0" w:space="0" w:color="auto"/>
            <w:bottom w:val="none" w:sz="0" w:space="0" w:color="auto"/>
            <w:right w:val="none" w:sz="0" w:space="0" w:color="auto"/>
          </w:divBdr>
        </w:div>
        <w:div w:id="578830309">
          <w:marLeft w:val="0"/>
          <w:marRight w:val="0"/>
          <w:marTop w:val="0"/>
          <w:marBottom w:val="0"/>
          <w:divBdr>
            <w:top w:val="none" w:sz="0" w:space="0" w:color="auto"/>
            <w:left w:val="none" w:sz="0" w:space="0" w:color="auto"/>
            <w:bottom w:val="none" w:sz="0" w:space="0" w:color="auto"/>
            <w:right w:val="none" w:sz="0" w:space="0" w:color="auto"/>
          </w:divBdr>
        </w:div>
        <w:div w:id="787357616">
          <w:marLeft w:val="0"/>
          <w:marRight w:val="0"/>
          <w:marTop w:val="0"/>
          <w:marBottom w:val="0"/>
          <w:divBdr>
            <w:top w:val="none" w:sz="0" w:space="0" w:color="auto"/>
            <w:left w:val="none" w:sz="0" w:space="0" w:color="auto"/>
            <w:bottom w:val="none" w:sz="0" w:space="0" w:color="auto"/>
            <w:right w:val="none" w:sz="0" w:space="0" w:color="auto"/>
          </w:divBdr>
        </w:div>
        <w:div w:id="975061339">
          <w:marLeft w:val="0"/>
          <w:marRight w:val="0"/>
          <w:marTop w:val="0"/>
          <w:marBottom w:val="0"/>
          <w:divBdr>
            <w:top w:val="none" w:sz="0" w:space="0" w:color="auto"/>
            <w:left w:val="none" w:sz="0" w:space="0" w:color="auto"/>
            <w:bottom w:val="none" w:sz="0" w:space="0" w:color="auto"/>
            <w:right w:val="none" w:sz="0" w:space="0" w:color="auto"/>
          </w:divBdr>
        </w:div>
        <w:div w:id="1131635832">
          <w:marLeft w:val="0"/>
          <w:marRight w:val="0"/>
          <w:marTop w:val="0"/>
          <w:marBottom w:val="0"/>
          <w:divBdr>
            <w:top w:val="none" w:sz="0" w:space="0" w:color="auto"/>
            <w:left w:val="none" w:sz="0" w:space="0" w:color="auto"/>
            <w:bottom w:val="none" w:sz="0" w:space="0" w:color="auto"/>
            <w:right w:val="none" w:sz="0" w:space="0" w:color="auto"/>
          </w:divBdr>
        </w:div>
        <w:div w:id="1183937230">
          <w:marLeft w:val="0"/>
          <w:marRight w:val="0"/>
          <w:marTop w:val="0"/>
          <w:marBottom w:val="0"/>
          <w:divBdr>
            <w:top w:val="none" w:sz="0" w:space="0" w:color="auto"/>
            <w:left w:val="none" w:sz="0" w:space="0" w:color="auto"/>
            <w:bottom w:val="none" w:sz="0" w:space="0" w:color="auto"/>
            <w:right w:val="none" w:sz="0" w:space="0" w:color="auto"/>
          </w:divBdr>
        </w:div>
        <w:div w:id="1272082889">
          <w:marLeft w:val="0"/>
          <w:marRight w:val="0"/>
          <w:marTop w:val="0"/>
          <w:marBottom w:val="0"/>
          <w:divBdr>
            <w:top w:val="none" w:sz="0" w:space="0" w:color="auto"/>
            <w:left w:val="none" w:sz="0" w:space="0" w:color="auto"/>
            <w:bottom w:val="none" w:sz="0" w:space="0" w:color="auto"/>
            <w:right w:val="none" w:sz="0" w:space="0" w:color="auto"/>
          </w:divBdr>
        </w:div>
        <w:div w:id="1301761811">
          <w:marLeft w:val="0"/>
          <w:marRight w:val="0"/>
          <w:marTop w:val="0"/>
          <w:marBottom w:val="0"/>
          <w:divBdr>
            <w:top w:val="none" w:sz="0" w:space="0" w:color="auto"/>
            <w:left w:val="none" w:sz="0" w:space="0" w:color="auto"/>
            <w:bottom w:val="none" w:sz="0" w:space="0" w:color="auto"/>
            <w:right w:val="none" w:sz="0" w:space="0" w:color="auto"/>
          </w:divBdr>
        </w:div>
        <w:div w:id="1394506542">
          <w:marLeft w:val="0"/>
          <w:marRight w:val="0"/>
          <w:marTop w:val="0"/>
          <w:marBottom w:val="0"/>
          <w:divBdr>
            <w:top w:val="none" w:sz="0" w:space="0" w:color="auto"/>
            <w:left w:val="none" w:sz="0" w:space="0" w:color="auto"/>
            <w:bottom w:val="none" w:sz="0" w:space="0" w:color="auto"/>
            <w:right w:val="none" w:sz="0" w:space="0" w:color="auto"/>
          </w:divBdr>
        </w:div>
        <w:div w:id="1770470761">
          <w:marLeft w:val="0"/>
          <w:marRight w:val="0"/>
          <w:marTop w:val="0"/>
          <w:marBottom w:val="0"/>
          <w:divBdr>
            <w:top w:val="none" w:sz="0" w:space="0" w:color="auto"/>
            <w:left w:val="none" w:sz="0" w:space="0" w:color="auto"/>
            <w:bottom w:val="none" w:sz="0" w:space="0" w:color="auto"/>
            <w:right w:val="none" w:sz="0" w:space="0" w:color="auto"/>
          </w:divBdr>
        </w:div>
        <w:div w:id="1940722048">
          <w:marLeft w:val="0"/>
          <w:marRight w:val="0"/>
          <w:marTop w:val="0"/>
          <w:marBottom w:val="0"/>
          <w:divBdr>
            <w:top w:val="none" w:sz="0" w:space="0" w:color="auto"/>
            <w:left w:val="none" w:sz="0" w:space="0" w:color="auto"/>
            <w:bottom w:val="none" w:sz="0" w:space="0" w:color="auto"/>
            <w:right w:val="none" w:sz="0" w:space="0" w:color="auto"/>
          </w:divBdr>
        </w:div>
        <w:div w:id="2006736709">
          <w:marLeft w:val="0"/>
          <w:marRight w:val="0"/>
          <w:marTop w:val="0"/>
          <w:marBottom w:val="0"/>
          <w:divBdr>
            <w:top w:val="none" w:sz="0" w:space="0" w:color="auto"/>
            <w:left w:val="none" w:sz="0" w:space="0" w:color="auto"/>
            <w:bottom w:val="none" w:sz="0" w:space="0" w:color="auto"/>
            <w:right w:val="none" w:sz="0" w:space="0" w:color="auto"/>
          </w:divBdr>
        </w:div>
        <w:div w:id="2019654401">
          <w:marLeft w:val="0"/>
          <w:marRight w:val="0"/>
          <w:marTop w:val="0"/>
          <w:marBottom w:val="0"/>
          <w:divBdr>
            <w:top w:val="none" w:sz="0" w:space="0" w:color="auto"/>
            <w:left w:val="none" w:sz="0" w:space="0" w:color="auto"/>
            <w:bottom w:val="none" w:sz="0" w:space="0" w:color="auto"/>
            <w:right w:val="none" w:sz="0" w:space="0" w:color="auto"/>
          </w:divBdr>
        </w:div>
      </w:divsChild>
    </w:div>
    <w:div w:id="1758945444">
      <w:bodyDiv w:val="1"/>
      <w:marLeft w:val="0"/>
      <w:marRight w:val="0"/>
      <w:marTop w:val="0"/>
      <w:marBottom w:val="0"/>
      <w:divBdr>
        <w:top w:val="none" w:sz="0" w:space="0" w:color="auto"/>
        <w:left w:val="none" w:sz="0" w:space="0" w:color="auto"/>
        <w:bottom w:val="none" w:sz="0" w:space="0" w:color="auto"/>
        <w:right w:val="none" w:sz="0" w:space="0" w:color="auto"/>
      </w:divBdr>
      <w:divsChild>
        <w:div w:id="341322512">
          <w:marLeft w:val="0"/>
          <w:marRight w:val="0"/>
          <w:marTop w:val="0"/>
          <w:marBottom w:val="0"/>
          <w:divBdr>
            <w:top w:val="none" w:sz="0" w:space="0" w:color="auto"/>
            <w:left w:val="none" w:sz="0" w:space="0" w:color="auto"/>
            <w:bottom w:val="none" w:sz="0" w:space="0" w:color="auto"/>
            <w:right w:val="none" w:sz="0" w:space="0" w:color="auto"/>
          </w:divBdr>
        </w:div>
        <w:div w:id="355808944">
          <w:marLeft w:val="0"/>
          <w:marRight w:val="0"/>
          <w:marTop w:val="0"/>
          <w:marBottom w:val="0"/>
          <w:divBdr>
            <w:top w:val="none" w:sz="0" w:space="0" w:color="auto"/>
            <w:left w:val="none" w:sz="0" w:space="0" w:color="auto"/>
            <w:bottom w:val="none" w:sz="0" w:space="0" w:color="auto"/>
            <w:right w:val="none" w:sz="0" w:space="0" w:color="auto"/>
          </w:divBdr>
        </w:div>
        <w:div w:id="473914292">
          <w:marLeft w:val="0"/>
          <w:marRight w:val="0"/>
          <w:marTop w:val="0"/>
          <w:marBottom w:val="0"/>
          <w:divBdr>
            <w:top w:val="none" w:sz="0" w:space="0" w:color="auto"/>
            <w:left w:val="none" w:sz="0" w:space="0" w:color="auto"/>
            <w:bottom w:val="none" w:sz="0" w:space="0" w:color="auto"/>
            <w:right w:val="none" w:sz="0" w:space="0" w:color="auto"/>
          </w:divBdr>
        </w:div>
        <w:div w:id="492524242">
          <w:marLeft w:val="0"/>
          <w:marRight w:val="0"/>
          <w:marTop w:val="0"/>
          <w:marBottom w:val="0"/>
          <w:divBdr>
            <w:top w:val="none" w:sz="0" w:space="0" w:color="auto"/>
            <w:left w:val="none" w:sz="0" w:space="0" w:color="auto"/>
            <w:bottom w:val="none" w:sz="0" w:space="0" w:color="auto"/>
            <w:right w:val="none" w:sz="0" w:space="0" w:color="auto"/>
          </w:divBdr>
        </w:div>
        <w:div w:id="510267342">
          <w:marLeft w:val="0"/>
          <w:marRight w:val="0"/>
          <w:marTop w:val="0"/>
          <w:marBottom w:val="0"/>
          <w:divBdr>
            <w:top w:val="none" w:sz="0" w:space="0" w:color="auto"/>
            <w:left w:val="none" w:sz="0" w:space="0" w:color="auto"/>
            <w:bottom w:val="none" w:sz="0" w:space="0" w:color="auto"/>
            <w:right w:val="none" w:sz="0" w:space="0" w:color="auto"/>
          </w:divBdr>
        </w:div>
        <w:div w:id="524056108">
          <w:marLeft w:val="0"/>
          <w:marRight w:val="0"/>
          <w:marTop w:val="0"/>
          <w:marBottom w:val="0"/>
          <w:divBdr>
            <w:top w:val="none" w:sz="0" w:space="0" w:color="auto"/>
            <w:left w:val="none" w:sz="0" w:space="0" w:color="auto"/>
            <w:bottom w:val="none" w:sz="0" w:space="0" w:color="auto"/>
            <w:right w:val="none" w:sz="0" w:space="0" w:color="auto"/>
          </w:divBdr>
        </w:div>
        <w:div w:id="877939185">
          <w:marLeft w:val="0"/>
          <w:marRight w:val="0"/>
          <w:marTop w:val="0"/>
          <w:marBottom w:val="0"/>
          <w:divBdr>
            <w:top w:val="none" w:sz="0" w:space="0" w:color="auto"/>
            <w:left w:val="none" w:sz="0" w:space="0" w:color="auto"/>
            <w:bottom w:val="none" w:sz="0" w:space="0" w:color="auto"/>
            <w:right w:val="none" w:sz="0" w:space="0" w:color="auto"/>
          </w:divBdr>
        </w:div>
        <w:div w:id="947005515">
          <w:marLeft w:val="0"/>
          <w:marRight w:val="0"/>
          <w:marTop w:val="0"/>
          <w:marBottom w:val="0"/>
          <w:divBdr>
            <w:top w:val="none" w:sz="0" w:space="0" w:color="auto"/>
            <w:left w:val="none" w:sz="0" w:space="0" w:color="auto"/>
            <w:bottom w:val="none" w:sz="0" w:space="0" w:color="auto"/>
            <w:right w:val="none" w:sz="0" w:space="0" w:color="auto"/>
          </w:divBdr>
        </w:div>
        <w:div w:id="958144694">
          <w:marLeft w:val="0"/>
          <w:marRight w:val="0"/>
          <w:marTop w:val="0"/>
          <w:marBottom w:val="0"/>
          <w:divBdr>
            <w:top w:val="none" w:sz="0" w:space="0" w:color="auto"/>
            <w:left w:val="none" w:sz="0" w:space="0" w:color="auto"/>
            <w:bottom w:val="none" w:sz="0" w:space="0" w:color="auto"/>
            <w:right w:val="none" w:sz="0" w:space="0" w:color="auto"/>
          </w:divBdr>
        </w:div>
        <w:div w:id="1618176385">
          <w:marLeft w:val="0"/>
          <w:marRight w:val="0"/>
          <w:marTop w:val="0"/>
          <w:marBottom w:val="0"/>
          <w:divBdr>
            <w:top w:val="none" w:sz="0" w:space="0" w:color="auto"/>
            <w:left w:val="none" w:sz="0" w:space="0" w:color="auto"/>
            <w:bottom w:val="none" w:sz="0" w:space="0" w:color="auto"/>
            <w:right w:val="none" w:sz="0" w:space="0" w:color="auto"/>
          </w:divBdr>
        </w:div>
        <w:div w:id="1722830273">
          <w:marLeft w:val="0"/>
          <w:marRight w:val="0"/>
          <w:marTop w:val="0"/>
          <w:marBottom w:val="0"/>
          <w:divBdr>
            <w:top w:val="none" w:sz="0" w:space="0" w:color="auto"/>
            <w:left w:val="none" w:sz="0" w:space="0" w:color="auto"/>
            <w:bottom w:val="none" w:sz="0" w:space="0" w:color="auto"/>
            <w:right w:val="none" w:sz="0" w:space="0" w:color="auto"/>
          </w:divBdr>
        </w:div>
        <w:div w:id="1771775653">
          <w:marLeft w:val="0"/>
          <w:marRight w:val="0"/>
          <w:marTop w:val="0"/>
          <w:marBottom w:val="0"/>
          <w:divBdr>
            <w:top w:val="none" w:sz="0" w:space="0" w:color="auto"/>
            <w:left w:val="none" w:sz="0" w:space="0" w:color="auto"/>
            <w:bottom w:val="none" w:sz="0" w:space="0" w:color="auto"/>
            <w:right w:val="none" w:sz="0" w:space="0" w:color="auto"/>
          </w:divBdr>
        </w:div>
      </w:divsChild>
    </w:div>
    <w:div w:id="1767774359">
      <w:bodyDiv w:val="1"/>
      <w:marLeft w:val="0"/>
      <w:marRight w:val="0"/>
      <w:marTop w:val="0"/>
      <w:marBottom w:val="0"/>
      <w:divBdr>
        <w:top w:val="none" w:sz="0" w:space="0" w:color="auto"/>
        <w:left w:val="none" w:sz="0" w:space="0" w:color="auto"/>
        <w:bottom w:val="none" w:sz="0" w:space="0" w:color="auto"/>
        <w:right w:val="none" w:sz="0" w:space="0" w:color="auto"/>
      </w:divBdr>
    </w:div>
    <w:div w:id="1772049945">
      <w:bodyDiv w:val="1"/>
      <w:marLeft w:val="0"/>
      <w:marRight w:val="0"/>
      <w:marTop w:val="0"/>
      <w:marBottom w:val="0"/>
      <w:divBdr>
        <w:top w:val="none" w:sz="0" w:space="0" w:color="auto"/>
        <w:left w:val="none" w:sz="0" w:space="0" w:color="auto"/>
        <w:bottom w:val="none" w:sz="0" w:space="0" w:color="auto"/>
        <w:right w:val="none" w:sz="0" w:space="0" w:color="auto"/>
      </w:divBdr>
    </w:div>
    <w:div w:id="1781140465">
      <w:bodyDiv w:val="1"/>
      <w:marLeft w:val="0"/>
      <w:marRight w:val="0"/>
      <w:marTop w:val="0"/>
      <w:marBottom w:val="0"/>
      <w:divBdr>
        <w:top w:val="none" w:sz="0" w:space="0" w:color="auto"/>
        <w:left w:val="none" w:sz="0" w:space="0" w:color="auto"/>
        <w:bottom w:val="none" w:sz="0" w:space="0" w:color="auto"/>
        <w:right w:val="none" w:sz="0" w:space="0" w:color="auto"/>
      </w:divBdr>
    </w:div>
    <w:div w:id="1801804365">
      <w:bodyDiv w:val="1"/>
      <w:marLeft w:val="0"/>
      <w:marRight w:val="0"/>
      <w:marTop w:val="0"/>
      <w:marBottom w:val="0"/>
      <w:divBdr>
        <w:top w:val="none" w:sz="0" w:space="0" w:color="auto"/>
        <w:left w:val="none" w:sz="0" w:space="0" w:color="auto"/>
        <w:bottom w:val="none" w:sz="0" w:space="0" w:color="auto"/>
        <w:right w:val="none" w:sz="0" w:space="0" w:color="auto"/>
      </w:divBdr>
    </w:div>
    <w:div w:id="1806118620">
      <w:bodyDiv w:val="1"/>
      <w:marLeft w:val="0"/>
      <w:marRight w:val="0"/>
      <w:marTop w:val="0"/>
      <w:marBottom w:val="0"/>
      <w:divBdr>
        <w:top w:val="none" w:sz="0" w:space="0" w:color="auto"/>
        <w:left w:val="none" w:sz="0" w:space="0" w:color="auto"/>
        <w:bottom w:val="none" w:sz="0" w:space="0" w:color="auto"/>
        <w:right w:val="none" w:sz="0" w:space="0" w:color="auto"/>
      </w:divBdr>
    </w:div>
    <w:div w:id="1825537619">
      <w:bodyDiv w:val="1"/>
      <w:marLeft w:val="0"/>
      <w:marRight w:val="0"/>
      <w:marTop w:val="0"/>
      <w:marBottom w:val="0"/>
      <w:divBdr>
        <w:top w:val="none" w:sz="0" w:space="0" w:color="auto"/>
        <w:left w:val="none" w:sz="0" w:space="0" w:color="auto"/>
        <w:bottom w:val="none" w:sz="0" w:space="0" w:color="auto"/>
        <w:right w:val="none" w:sz="0" w:space="0" w:color="auto"/>
      </w:divBdr>
    </w:div>
    <w:div w:id="1844199298">
      <w:bodyDiv w:val="1"/>
      <w:marLeft w:val="0"/>
      <w:marRight w:val="0"/>
      <w:marTop w:val="0"/>
      <w:marBottom w:val="0"/>
      <w:divBdr>
        <w:top w:val="none" w:sz="0" w:space="0" w:color="auto"/>
        <w:left w:val="none" w:sz="0" w:space="0" w:color="auto"/>
        <w:bottom w:val="none" w:sz="0" w:space="0" w:color="auto"/>
        <w:right w:val="none" w:sz="0" w:space="0" w:color="auto"/>
      </w:divBdr>
    </w:div>
    <w:div w:id="1861242258">
      <w:bodyDiv w:val="1"/>
      <w:marLeft w:val="0"/>
      <w:marRight w:val="0"/>
      <w:marTop w:val="0"/>
      <w:marBottom w:val="0"/>
      <w:divBdr>
        <w:top w:val="none" w:sz="0" w:space="0" w:color="auto"/>
        <w:left w:val="none" w:sz="0" w:space="0" w:color="auto"/>
        <w:bottom w:val="none" w:sz="0" w:space="0" w:color="auto"/>
        <w:right w:val="none" w:sz="0" w:space="0" w:color="auto"/>
      </w:divBdr>
      <w:divsChild>
        <w:div w:id="834151249">
          <w:marLeft w:val="0"/>
          <w:marRight w:val="0"/>
          <w:marTop w:val="0"/>
          <w:marBottom w:val="0"/>
          <w:divBdr>
            <w:top w:val="none" w:sz="0" w:space="0" w:color="auto"/>
            <w:left w:val="none" w:sz="0" w:space="0" w:color="auto"/>
            <w:bottom w:val="none" w:sz="0" w:space="0" w:color="auto"/>
            <w:right w:val="none" w:sz="0" w:space="0" w:color="auto"/>
          </w:divBdr>
          <w:divsChild>
            <w:div w:id="1377004526">
              <w:marLeft w:val="0"/>
              <w:marRight w:val="0"/>
              <w:marTop w:val="0"/>
              <w:marBottom w:val="0"/>
              <w:divBdr>
                <w:top w:val="none" w:sz="0" w:space="0" w:color="auto"/>
                <w:left w:val="none" w:sz="0" w:space="0" w:color="auto"/>
                <w:bottom w:val="none" w:sz="0" w:space="0" w:color="auto"/>
                <w:right w:val="none" w:sz="0" w:space="0" w:color="auto"/>
              </w:divBdr>
              <w:divsChild>
                <w:div w:id="1356693121">
                  <w:marLeft w:val="0"/>
                  <w:marRight w:val="0"/>
                  <w:marTop w:val="0"/>
                  <w:marBottom w:val="0"/>
                  <w:divBdr>
                    <w:top w:val="none" w:sz="0" w:space="0" w:color="auto"/>
                    <w:left w:val="none" w:sz="0" w:space="0" w:color="auto"/>
                    <w:bottom w:val="none" w:sz="0" w:space="0" w:color="auto"/>
                    <w:right w:val="none" w:sz="0" w:space="0" w:color="auto"/>
                  </w:divBdr>
                  <w:divsChild>
                    <w:div w:id="1887719655">
                      <w:marLeft w:val="0"/>
                      <w:marRight w:val="0"/>
                      <w:marTop w:val="0"/>
                      <w:marBottom w:val="0"/>
                      <w:divBdr>
                        <w:top w:val="none" w:sz="0" w:space="0" w:color="auto"/>
                        <w:left w:val="none" w:sz="0" w:space="0" w:color="auto"/>
                        <w:bottom w:val="none" w:sz="0" w:space="0" w:color="auto"/>
                        <w:right w:val="none" w:sz="0" w:space="0" w:color="auto"/>
                      </w:divBdr>
                      <w:divsChild>
                        <w:div w:id="978455676">
                          <w:marLeft w:val="0"/>
                          <w:marRight w:val="0"/>
                          <w:marTop w:val="45"/>
                          <w:marBottom w:val="0"/>
                          <w:divBdr>
                            <w:top w:val="none" w:sz="0" w:space="0" w:color="auto"/>
                            <w:left w:val="none" w:sz="0" w:space="0" w:color="auto"/>
                            <w:bottom w:val="none" w:sz="0" w:space="0" w:color="auto"/>
                            <w:right w:val="none" w:sz="0" w:space="0" w:color="auto"/>
                          </w:divBdr>
                          <w:divsChild>
                            <w:div w:id="1722289101">
                              <w:marLeft w:val="0"/>
                              <w:marRight w:val="0"/>
                              <w:marTop w:val="0"/>
                              <w:marBottom w:val="0"/>
                              <w:divBdr>
                                <w:top w:val="none" w:sz="0" w:space="0" w:color="auto"/>
                                <w:left w:val="none" w:sz="0" w:space="0" w:color="auto"/>
                                <w:bottom w:val="none" w:sz="0" w:space="0" w:color="auto"/>
                                <w:right w:val="none" w:sz="0" w:space="0" w:color="auto"/>
                              </w:divBdr>
                              <w:divsChild>
                                <w:div w:id="1971091400">
                                  <w:marLeft w:val="2070"/>
                                  <w:marRight w:val="3810"/>
                                  <w:marTop w:val="0"/>
                                  <w:marBottom w:val="0"/>
                                  <w:divBdr>
                                    <w:top w:val="none" w:sz="0" w:space="0" w:color="auto"/>
                                    <w:left w:val="none" w:sz="0" w:space="0" w:color="auto"/>
                                    <w:bottom w:val="none" w:sz="0" w:space="0" w:color="auto"/>
                                    <w:right w:val="none" w:sz="0" w:space="0" w:color="auto"/>
                                  </w:divBdr>
                                  <w:divsChild>
                                    <w:div w:id="185215749">
                                      <w:marLeft w:val="0"/>
                                      <w:marRight w:val="0"/>
                                      <w:marTop w:val="0"/>
                                      <w:marBottom w:val="0"/>
                                      <w:divBdr>
                                        <w:top w:val="none" w:sz="0" w:space="0" w:color="auto"/>
                                        <w:left w:val="none" w:sz="0" w:space="0" w:color="auto"/>
                                        <w:bottom w:val="none" w:sz="0" w:space="0" w:color="auto"/>
                                        <w:right w:val="none" w:sz="0" w:space="0" w:color="auto"/>
                                      </w:divBdr>
                                      <w:divsChild>
                                        <w:div w:id="555431313">
                                          <w:marLeft w:val="0"/>
                                          <w:marRight w:val="0"/>
                                          <w:marTop w:val="0"/>
                                          <w:marBottom w:val="0"/>
                                          <w:divBdr>
                                            <w:top w:val="none" w:sz="0" w:space="0" w:color="auto"/>
                                            <w:left w:val="none" w:sz="0" w:space="0" w:color="auto"/>
                                            <w:bottom w:val="none" w:sz="0" w:space="0" w:color="auto"/>
                                            <w:right w:val="none" w:sz="0" w:space="0" w:color="auto"/>
                                          </w:divBdr>
                                          <w:divsChild>
                                            <w:div w:id="1520046202">
                                              <w:marLeft w:val="0"/>
                                              <w:marRight w:val="0"/>
                                              <w:marTop w:val="0"/>
                                              <w:marBottom w:val="0"/>
                                              <w:divBdr>
                                                <w:top w:val="none" w:sz="0" w:space="0" w:color="auto"/>
                                                <w:left w:val="none" w:sz="0" w:space="0" w:color="auto"/>
                                                <w:bottom w:val="none" w:sz="0" w:space="0" w:color="auto"/>
                                                <w:right w:val="none" w:sz="0" w:space="0" w:color="auto"/>
                                              </w:divBdr>
                                              <w:divsChild>
                                                <w:div w:id="938637376">
                                                  <w:marLeft w:val="0"/>
                                                  <w:marRight w:val="0"/>
                                                  <w:marTop w:val="0"/>
                                                  <w:marBottom w:val="0"/>
                                                  <w:divBdr>
                                                    <w:top w:val="none" w:sz="0" w:space="0" w:color="auto"/>
                                                    <w:left w:val="none" w:sz="0" w:space="0" w:color="auto"/>
                                                    <w:bottom w:val="none" w:sz="0" w:space="0" w:color="auto"/>
                                                    <w:right w:val="none" w:sz="0" w:space="0" w:color="auto"/>
                                                  </w:divBdr>
                                                  <w:divsChild>
                                                    <w:div w:id="1524857436">
                                                      <w:marLeft w:val="0"/>
                                                      <w:marRight w:val="0"/>
                                                      <w:marTop w:val="0"/>
                                                      <w:marBottom w:val="0"/>
                                                      <w:divBdr>
                                                        <w:top w:val="none" w:sz="0" w:space="0" w:color="auto"/>
                                                        <w:left w:val="none" w:sz="0" w:space="0" w:color="auto"/>
                                                        <w:bottom w:val="none" w:sz="0" w:space="0" w:color="auto"/>
                                                        <w:right w:val="none" w:sz="0" w:space="0" w:color="auto"/>
                                                      </w:divBdr>
                                                      <w:divsChild>
                                                        <w:div w:id="235826212">
                                                          <w:marLeft w:val="0"/>
                                                          <w:marRight w:val="0"/>
                                                          <w:marTop w:val="0"/>
                                                          <w:marBottom w:val="0"/>
                                                          <w:divBdr>
                                                            <w:top w:val="none" w:sz="0" w:space="0" w:color="auto"/>
                                                            <w:left w:val="none" w:sz="0" w:space="0" w:color="auto"/>
                                                            <w:bottom w:val="none" w:sz="0" w:space="0" w:color="auto"/>
                                                            <w:right w:val="none" w:sz="0" w:space="0" w:color="auto"/>
                                                          </w:divBdr>
                                                          <w:divsChild>
                                                            <w:div w:id="2053922199">
                                                              <w:marLeft w:val="0"/>
                                                              <w:marRight w:val="0"/>
                                                              <w:marTop w:val="0"/>
                                                              <w:marBottom w:val="0"/>
                                                              <w:divBdr>
                                                                <w:top w:val="none" w:sz="0" w:space="0" w:color="auto"/>
                                                                <w:left w:val="none" w:sz="0" w:space="0" w:color="auto"/>
                                                                <w:bottom w:val="none" w:sz="0" w:space="0" w:color="auto"/>
                                                                <w:right w:val="none" w:sz="0" w:space="0" w:color="auto"/>
                                                              </w:divBdr>
                                                              <w:divsChild>
                                                                <w:div w:id="686299454">
                                                                  <w:marLeft w:val="0"/>
                                                                  <w:marRight w:val="0"/>
                                                                  <w:marTop w:val="0"/>
                                                                  <w:marBottom w:val="0"/>
                                                                  <w:divBdr>
                                                                    <w:top w:val="none" w:sz="0" w:space="0" w:color="auto"/>
                                                                    <w:left w:val="none" w:sz="0" w:space="0" w:color="auto"/>
                                                                    <w:bottom w:val="none" w:sz="0" w:space="0" w:color="auto"/>
                                                                    <w:right w:val="none" w:sz="0" w:space="0" w:color="auto"/>
                                                                  </w:divBdr>
                                                                  <w:divsChild>
                                                                    <w:div w:id="100802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79661598">
      <w:bodyDiv w:val="1"/>
      <w:marLeft w:val="0"/>
      <w:marRight w:val="0"/>
      <w:marTop w:val="0"/>
      <w:marBottom w:val="0"/>
      <w:divBdr>
        <w:top w:val="none" w:sz="0" w:space="0" w:color="auto"/>
        <w:left w:val="none" w:sz="0" w:space="0" w:color="auto"/>
        <w:bottom w:val="none" w:sz="0" w:space="0" w:color="auto"/>
        <w:right w:val="none" w:sz="0" w:space="0" w:color="auto"/>
      </w:divBdr>
    </w:div>
    <w:div w:id="1887371353">
      <w:bodyDiv w:val="1"/>
      <w:marLeft w:val="0"/>
      <w:marRight w:val="0"/>
      <w:marTop w:val="0"/>
      <w:marBottom w:val="0"/>
      <w:divBdr>
        <w:top w:val="none" w:sz="0" w:space="0" w:color="auto"/>
        <w:left w:val="none" w:sz="0" w:space="0" w:color="auto"/>
        <w:bottom w:val="none" w:sz="0" w:space="0" w:color="auto"/>
        <w:right w:val="none" w:sz="0" w:space="0" w:color="auto"/>
      </w:divBdr>
    </w:div>
    <w:div w:id="1888687648">
      <w:bodyDiv w:val="1"/>
      <w:marLeft w:val="0"/>
      <w:marRight w:val="0"/>
      <w:marTop w:val="0"/>
      <w:marBottom w:val="0"/>
      <w:divBdr>
        <w:top w:val="none" w:sz="0" w:space="0" w:color="auto"/>
        <w:left w:val="none" w:sz="0" w:space="0" w:color="auto"/>
        <w:bottom w:val="none" w:sz="0" w:space="0" w:color="auto"/>
        <w:right w:val="none" w:sz="0" w:space="0" w:color="auto"/>
      </w:divBdr>
      <w:divsChild>
        <w:div w:id="325211494">
          <w:marLeft w:val="0"/>
          <w:marRight w:val="0"/>
          <w:marTop w:val="0"/>
          <w:marBottom w:val="0"/>
          <w:divBdr>
            <w:top w:val="none" w:sz="0" w:space="0" w:color="auto"/>
            <w:left w:val="none" w:sz="0" w:space="0" w:color="auto"/>
            <w:bottom w:val="none" w:sz="0" w:space="0" w:color="auto"/>
            <w:right w:val="none" w:sz="0" w:space="0" w:color="auto"/>
          </w:divBdr>
        </w:div>
        <w:div w:id="374356758">
          <w:marLeft w:val="0"/>
          <w:marRight w:val="0"/>
          <w:marTop w:val="0"/>
          <w:marBottom w:val="0"/>
          <w:divBdr>
            <w:top w:val="none" w:sz="0" w:space="0" w:color="auto"/>
            <w:left w:val="none" w:sz="0" w:space="0" w:color="auto"/>
            <w:bottom w:val="none" w:sz="0" w:space="0" w:color="auto"/>
            <w:right w:val="none" w:sz="0" w:space="0" w:color="auto"/>
          </w:divBdr>
        </w:div>
        <w:div w:id="843592931">
          <w:marLeft w:val="0"/>
          <w:marRight w:val="0"/>
          <w:marTop w:val="0"/>
          <w:marBottom w:val="0"/>
          <w:divBdr>
            <w:top w:val="none" w:sz="0" w:space="0" w:color="auto"/>
            <w:left w:val="none" w:sz="0" w:space="0" w:color="auto"/>
            <w:bottom w:val="none" w:sz="0" w:space="0" w:color="auto"/>
            <w:right w:val="none" w:sz="0" w:space="0" w:color="auto"/>
          </w:divBdr>
        </w:div>
        <w:div w:id="930428858">
          <w:marLeft w:val="0"/>
          <w:marRight w:val="0"/>
          <w:marTop w:val="0"/>
          <w:marBottom w:val="0"/>
          <w:divBdr>
            <w:top w:val="none" w:sz="0" w:space="0" w:color="auto"/>
            <w:left w:val="none" w:sz="0" w:space="0" w:color="auto"/>
            <w:bottom w:val="none" w:sz="0" w:space="0" w:color="auto"/>
            <w:right w:val="none" w:sz="0" w:space="0" w:color="auto"/>
          </w:divBdr>
        </w:div>
        <w:div w:id="1142382124">
          <w:marLeft w:val="0"/>
          <w:marRight w:val="0"/>
          <w:marTop w:val="0"/>
          <w:marBottom w:val="0"/>
          <w:divBdr>
            <w:top w:val="none" w:sz="0" w:space="0" w:color="auto"/>
            <w:left w:val="none" w:sz="0" w:space="0" w:color="auto"/>
            <w:bottom w:val="none" w:sz="0" w:space="0" w:color="auto"/>
            <w:right w:val="none" w:sz="0" w:space="0" w:color="auto"/>
          </w:divBdr>
        </w:div>
        <w:div w:id="1237671178">
          <w:marLeft w:val="0"/>
          <w:marRight w:val="0"/>
          <w:marTop w:val="0"/>
          <w:marBottom w:val="0"/>
          <w:divBdr>
            <w:top w:val="none" w:sz="0" w:space="0" w:color="auto"/>
            <w:left w:val="none" w:sz="0" w:space="0" w:color="auto"/>
            <w:bottom w:val="none" w:sz="0" w:space="0" w:color="auto"/>
            <w:right w:val="none" w:sz="0" w:space="0" w:color="auto"/>
          </w:divBdr>
        </w:div>
        <w:div w:id="1489321921">
          <w:marLeft w:val="0"/>
          <w:marRight w:val="0"/>
          <w:marTop w:val="0"/>
          <w:marBottom w:val="0"/>
          <w:divBdr>
            <w:top w:val="none" w:sz="0" w:space="0" w:color="auto"/>
            <w:left w:val="none" w:sz="0" w:space="0" w:color="auto"/>
            <w:bottom w:val="none" w:sz="0" w:space="0" w:color="auto"/>
            <w:right w:val="none" w:sz="0" w:space="0" w:color="auto"/>
          </w:divBdr>
        </w:div>
        <w:div w:id="1680082691">
          <w:marLeft w:val="0"/>
          <w:marRight w:val="0"/>
          <w:marTop w:val="0"/>
          <w:marBottom w:val="0"/>
          <w:divBdr>
            <w:top w:val="none" w:sz="0" w:space="0" w:color="auto"/>
            <w:left w:val="none" w:sz="0" w:space="0" w:color="auto"/>
            <w:bottom w:val="none" w:sz="0" w:space="0" w:color="auto"/>
            <w:right w:val="none" w:sz="0" w:space="0" w:color="auto"/>
          </w:divBdr>
        </w:div>
        <w:div w:id="1692298684">
          <w:marLeft w:val="0"/>
          <w:marRight w:val="0"/>
          <w:marTop w:val="0"/>
          <w:marBottom w:val="0"/>
          <w:divBdr>
            <w:top w:val="none" w:sz="0" w:space="0" w:color="auto"/>
            <w:left w:val="none" w:sz="0" w:space="0" w:color="auto"/>
            <w:bottom w:val="none" w:sz="0" w:space="0" w:color="auto"/>
            <w:right w:val="none" w:sz="0" w:space="0" w:color="auto"/>
          </w:divBdr>
        </w:div>
        <w:div w:id="1761636775">
          <w:marLeft w:val="0"/>
          <w:marRight w:val="0"/>
          <w:marTop w:val="0"/>
          <w:marBottom w:val="0"/>
          <w:divBdr>
            <w:top w:val="none" w:sz="0" w:space="0" w:color="auto"/>
            <w:left w:val="none" w:sz="0" w:space="0" w:color="auto"/>
            <w:bottom w:val="none" w:sz="0" w:space="0" w:color="auto"/>
            <w:right w:val="none" w:sz="0" w:space="0" w:color="auto"/>
          </w:divBdr>
        </w:div>
        <w:div w:id="1766806588">
          <w:marLeft w:val="0"/>
          <w:marRight w:val="0"/>
          <w:marTop w:val="0"/>
          <w:marBottom w:val="0"/>
          <w:divBdr>
            <w:top w:val="none" w:sz="0" w:space="0" w:color="auto"/>
            <w:left w:val="none" w:sz="0" w:space="0" w:color="auto"/>
            <w:bottom w:val="none" w:sz="0" w:space="0" w:color="auto"/>
            <w:right w:val="none" w:sz="0" w:space="0" w:color="auto"/>
          </w:divBdr>
        </w:div>
        <w:div w:id="1954364521">
          <w:marLeft w:val="0"/>
          <w:marRight w:val="0"/>
          <w:marTop w:val="0"/>
          <w:marBottom w:val="0"/>
          <w:divBdr>
            <w:top w:val="none" w:sz="0" w:space="0" w:color="auto"/>
            <w:left w:val="none" w:sz="0" w:space="0" w:color="auto"/>
            <w:bottom w:val="none" w:sz="0" w:space="0" w:color="auto"/>
            <w:right w:val="none" w:sz="0" w:space="0" w:color="auto"/>
          </w:divBdr>
        </w:div>
      </w:divsChild>
    </w:div>
    <w:div w:id="1889141410">
      <w:bodyDiv w:val="1"/>
      <w:marLeft w:val="0"/>
      <w:marRight w:val="0"/>
      <w:marTop w:val="0"/>
      <w:marBottom w:val="0"/>
      <w:divBdr>
        <w:top w:val="none" w:sz="0" w:space="0" w:color="auto"/>
        <w:left w:val="none" w:sz="0" w:space="0" w:color="auto"/>
        <w:bottom w:val="none" w:sz="0" w:space="0" w:color="auto"/>
        <w:right w:val="none" w:sz="0" w:space="0" w:color="auto"/>
      </w:divBdr>
    </w:div>
    <w:div w:id="1890146722">
      <w:bodyDiv w:val="1"/>
      <w:marLeft w:val="0"/>
      <w:marRight w:val="0"/>
      <w:marTop w:val="0"/>
      <w:marBottom w:val="0"/>
      <w:divBdr>
        <w:top w:val="none" w:sz="0" w:space="0" w:color="auto"/>
        <w:left w:val="none" w:sz="0" w:space="0" w:color="auto"/>
        <w:bottom w:val="none" w:sz="0" w:space="0" w:color="auto"/>
        <w:right w:val="none" w:sz="0" w:space="0" w:color="auto"/>
      </w:divBdr>
    </w:div>
    <w:div w:id="1891921025">
      <w:bodyDiv w:val="1"/>
      <w:marLeft w:val="0"/>
      <w:marRight w:val="0"/>
      <w:marTop w:val="0"/>
      <w:marBottom w:val="0"/>
      <w:divBdr>
        <w:top w:val="none" w:sz="0" w:space="0" w:color="auto"/>
        <w:left w:val="none" w:sz="0" w:space="0" w:color="auto"/>
        <w:bottom w:val="none" w:sz="0" w:space="0" w:color="auto"/>
        <w:right w:val="none" w:sz="0" w:space="0" w:color="auto"/>
      </w:divBdr>
      <w:divsChild>
        <w:div w:id="330987079">
          <w:marLeft w:val="0"/>
          <w:marRight w:val="0"/>
          <w:marTop w:val="0"/>
          <w:marBottom w:val="0"/>
          <w:divBdr>
            <w:top w:val="none" w:sz="0" w:space="0" w:color="auto"/>
            <w:left w:val="none" w:sz="0" w:space="0" w:color="auto"/>
            <w:bottom w:val="none" w:sz="0" w:space="0" w:color="auto"/>
            <w:right w:val="none" w:sz="0" w:space="0" w:color="auto"/>
          </w:divBdr>
        </w:div>
        <w:div w:id="555824255">
          <w:marLeft w:val="0"/>
          <w:marRight w:val="0"/>
          <w:marTop w:val="0"/>
          <w:marBottom w:val="0"/>
          <w:divBdr>
            <w:top w:val="none" w:sz="0" w:space="0" w:color="auto"/>
            <w:left w:val="none" w:sz="0" w:space="0" w:color="auto"/>
            <w:bottom w:val="none" w:sz="0" w:space="0" w:color="auto"/>
            <w:right w:val="none" w:sz="0" w:space="0" w:color="auto"/>
          </w:divBdr>
        </w:div>
        <w:div w:id="1458329186">
          <w:marLeft w:val="0"/>
          <w:marRight w:val="0"/>
          <w:marTop w:val="0"/>
          <w:marBottom w:val="0"/>
          <w:divBdr>
            <w:top w:val="none" w:sz="0" w:space="0" w:color="auto"/>
            <w:left w:val="none" w:sz="0" w:space="0" w:color="auto"/>
            <w:bottom w:val="none" w:sz="0" w:space="0" w:color="auto"/>
            <w:right w:val="none" w:sz="0" w:space="0" w:color="auto"/>
          </w:divBdr>
        </w:div>
        <w:div w:id="1483159935">
          <w:marLeft w:val="0"/>
          <w:marRight w:val="0"/>
          <w:marTop w:val="0"/>
          <w:marBottom w:val="0"/>
          <w:divBdr>
            <w:top w:val="none" w:sz="0" w:space="0" w:color="auto"/>
            <w:left w:val="none" w:sz="0" w:space="0" w:color="auto"/>
            <w:bottom w:val="none" w:sz="0" w:space="0" w:color="auto"/>
            <w:right w:val="none" w:sz="0" w:space="0" w:color="auto"/>
          </w:divBdr>
        </w:div>
        <w:div w:id="1754425564">
          <w:marLeft w:val="0"/>
          <w:marRight w:val="0"/>
          <w:marTop w:val="0"/>
          <w:marBottom w:val="0"/>
          <w:divBdr>
            <w:top w:val="none" w:sz="0" w:space="0" w:color="auto"/>
            <w:left w:val="none" w:sz="0" w:space="0" w:color="auto"/>
            <w:bottom w:val="none" w:sz="0" w:space="0" w:color="auto"/>
            <w:right w:val="none" w:sz="0" w:space="0" w:color="auto"/>
          </w:divBdr>
        </w:div>
        <w:div w:id="2049723443">
          <w:marLeft w:val="0"/>
          <w:marRight w:val="0"/>
          <w:marTop w:val="0"/>
          <w:marBottom w:val="0"/>
          <w:divBdr>
            <w:top w:val="none" w:sz="0" w:space="0" w:color="auto"/>
            <w:left w:val="none" w:sz="0" w:space="0" w:color="auto"/>
            <w:bottom w:val="none" w:sz="0" w:space="0" w:color="auto"/>
            <w:right w:val="none" w:sz="0" w:space="0" w:color="auto"/>
          </w:divBdr>
        </w:div>
      </w:divsChild>
    </w:div>
    <w:div w:id="1897400304">
      <w:bodyDiv w:val="1"/>
      <w:marLeft w:val="0"/>
      <w:marRight w:val="0"/>
      <w:marTop w:val="0"/>
      <w:marBottom w:val="0"/>
      <w:divBdr>
        <w:top w:val="none" w:sz="0" w:space="0" w:color="auto"/>
        <w:left w:val="none" w:sz="0" w:space="0" w:color="auto"/>
        <w:bottom w:val="none" w:sz="0" w:space="0" w:color="auto"/>
        <w:right w:val="none" w:sz="0" w:space="0" w:color="auto"/>
      </w:divBdr>
    </w:div>
    <w:div w:id="1915318009">
      <w:bodyDiv w:val="1"/>
      <w:marLeft w:val="0"/>
      <w:marRight w:val="0"/>
      <w:marTop w:val="0"/>
      <w:marBottom w:val="0"/>
      <w:divBdr>
        <w:top w:val="none" w:sz="0" w:space="0" w:color="auto"/>
        <w:left w:val="none" w:sz="0" w:space="0" w:color="auto"/>
        <w:bottom w:val="none" w:sz="0" w:space="0" w:color="auto"/>
        <w:right w:val="none" w:sz="0" w:space="0" w:color="auto"/>
      </w:divBdr>
      <w:divsChild>
        <w:div w:id="13701608">
          <w:marLeft w:val="0"/>
          <w:marRight w:val="0"/>
          <w:marTop w:val="0"/>
          <w:marBottom w:val="0"/>
          <w:divBdr>
            <w:top w:val="none" w:sz="0" w:space="0" w:color="auto"/>
            <w:left w:val="none" w:sz="0" w:space="0" w:color="auto"/>
            <w:bottom w:val="none" w:sz="0" w:space="0" w:color="auto"/>
            <w:right w:val="none" w:sz="0" w:space="0" w:color="auto"/>
          </w:divBdr>
        </w:div>
        <w:div w:id="102577546">
          <w:marLeft w:val="0"/>
          <w:marRight w:val="0"/>
          <w:marTop w:val="0"/>
          <w:marBottom w:val="0"/>
          <w:divBdr>
            <w:top w:val="none" w:sz="0" w:space="0" w:color="auto"/>
            <w:left w:val="none" w:sz="0" w:space="0" w:color="auto"/>
            <w:bottom w:val="none" w:sz="0" w:space="0" w:color="auto"/>
            <w:right w:val="none" w:sz="0" w:space="0" w:color="auto"/>
          </w:divBdr>
        </w:div>
        <w:div w:id="558830785">
          <w:marLeft w:val="0"/>
          <w:marRight w:val="0"/>
          <w:marTop w:val="0"/>
          <w:marBottom w:val="0"/>
          <w:divBdr>
            <w:top w:val="none" w:sz="0" w:space="0" w:color="auto"/>
            <w:left w:val="none" w:sz="0" w:space="0" w:color="auto"/>
            <w:bottom w:val="none" w:sz="0" w:space="0" w:color="auto"/>
            <w:right w:val="none" w:sz="0" w:space="0" w:color="auto"/>
          </w:divBdr>
        </w:div>
        <w:div w:id="896819269">
          <w:marLeft w:val="0"/>
          <w:marRight w:val="0"/>
          <w:marTop w:val="0"/>
          <w:marBottom w:val="0"/>
          <w:divBdr>
            <w:top w:val="none" w:sz="0" w:space="0" w:color="auto"/>
            <w:left w:val="none" w:sz="0" w:space="0" w:color="auto"/>
            <w:bottom w:val="none" w:sz="0" w:space="0" w:color="auto"/>
            <w:right w:val="none" w:sz="0" w:space="0" w:color="auto"/>
          </w:divBdr>
        </w:div>
        <w:div w:id="979771993">
          <w:marLeft w:val="0"/>
          <w:marRight w:val="0"/>
          <w:marTop w:val="0"/>
          <w:marBottom w:val="0"/>
          <w:divBdr>
            <w:top w:val="none" w:sz="0" w:space="0" w:color="auto"/>
            <w:left w:val="none" w:sz="0" w:space="0" w:color="auto"/>
            <w:bottom w:val="none" w:sz="0" w:space="0" w:color="auto"/>
            <w:right w:val="none" w:sz="0" w:space="0" w:color="auto"/>
          </w:divBdr>
        </w:div>
        <w:div w:id="1083262150">
          <w:marLeft w:val="0"/>
          <w:marRight w:val="0"/>
          <w:marTop w:val="0"/>
          <w:marBottom w:val="0"/>
          <w:divBdr>
            <w:top w:val="none" w:sz="0" w:space="0" w:color="auto"/>
            <w:left w:val="none" w:sz="0" w:space="0" w:color="auto"/>
            <w:bottom w:val="none" w:sz="0" w:space="0" w:color="auto"/>
            <w:right w:val="none" w:sz="0" w:space="0" w:color="auto"/>
          </w:divBdr>
        </w:div>
        <w:div w:id="1307206193">
          <w:marLeft w:val="0"/>
          <w:marRight w:val="0"/>
          <w:marTop w:val="0"/>
          <w:marBottom w:val="0"/>
          <w:divBdr>
            <w:top w:val="none" w:sz="0" w:space="0" w:color="auto"/>
            <w:left w:val="none" w:sz="0" w:space="0" w:color="auto"/>
            <w:bottom w:val="none" w:sz="0" w:space="0" w:color="auto"/>
            <w:right w:val="none" w:sz="0" w:space="0" w:color="auto"/>
          </w:divBdr>
        </w:div>
        <w:div w:id="1335377587">
          <w:marLeft w:val="0"/>
          <w:marRight w:val="0"/>
          <w:marTop w:val="0"/>
          <w:marBottom w:val="0"/>
          <w:divBdr>
            <w:top w:val="none" w:sz="0" w:space="0" w:color="auto"/>
            <w:left w:val="none" w:sz="0" w:space="0" w:color="auto"/>
            <w:bottom w:val="none" w:sz="0" w:space="0" w:color="auto"/>
            <w:right w:val="none" w:sz="0" w:space="0" w:color="auto"/>
          </w:divBdr>
        </w:div>
        <w:div w:id="1622347643">
          <w:marLeft w:val="0"/>
          <w:marRight w:val="0"/>
          <w:marTop w:val="0"/>
          <w:marBottom w:val="0"/>
          <w:divBdr>
            <w:top w:val="none" w:sz="0" w:space="0" w:color="auto"/>
            <w:left w:val="none" w:sz="0" w:space="0" w:color="auto"/>
            <w:bottom w:val="none" w:sz="0" w:space="0" w:color="auto"/>
            <w:right w:val="none" w:sz="0" w:space="0" w:color="auto"/>
          </w:divBdr>
        </w:div>
        <w:div w:id="1929849700">
          <w:marLeft w:val="0"/>
          <w:marRight w:val="0"/>
          <w:marTop w:val="0"/>
          <w:marBottom w:val="0"/>
          <w:divBdr>
            <w:top w:val="none" w:sz="0" w:space="0" w:color="auto"/>
            <w:left w:val="none" w:sz="0" w:space="0" w:color="auto"/>
            <w:bottom w:val="none" w:sz="0" w:space="0" w:color="auto"/>
            <w:right w:val="none" w:sz="0" w:space="0" w:color="auto"/>
          </w:divBdr>
        </w:div>
        <w:div w:id="1993558131">
          <w:marLeft w:val="0"/>
          <w:marRight w:val="0"/>
          <w:marTop w:val="0"/>
          <w:marBottom w:val="0"/>
          <w:divBdr>
            <w:top w:val="none" w:sz="0" w:space="0" w:color="auto"/>
            <w:left w:val="none" w:sz="0" w:space="0" w:color="auto"/>
            <w:bottom w:val="none" w:sz="0" w:space="0" w:color="auto"/>
            <w:right w:val="none" w:sz="0" w:space="0" w:color="auto"/>
          </w:divBdr>
        </w:div>
        <w:div w:id="2025356081">
          <w:marLeft w:val="0"/>
          <w:marRight w:val="0"/>
          <w:marTop w:val="0"/>
          <w:marBottom w:val="0"/>
          <w:divBdr>
            <w:top w:val="none" w:sz="0" w:space="0" w:color="auto"/>
            <w:left w:val="none" w:sz="0" w:space="0" w:color="auto"/>
            <w:bottom w:val="none" w:sz="0" w:space="0" w:color="auto"/>
            <w:right w:val="none" w:sz="0" w:space="0" w:color="auto"/>
          </w:divBdr>
        </w:div>
      </w:divsChild>
    </w:div>
    <w:div w:id="1918393182">
      <w:bodyDiv w:val="1"/>
      <w:marLeft w:val="0"/>
      <w:marRight w:val="0"/>
      <w:marTop w:val="0"/>
      <w:marBottom w:val="0"/>
      <w:divBdr>
        <w:top w:val="none" w:sz="0" w:space="0" w:color="auto"/>
        <w:left w:val="none" w:sz="0" w:space="0" w:color="auto"/>
        <w:bottom w:val="none" w:sz="0" w:space="0" w:color="auto"/>
        <w:right w:val="none" w:sz="0" w:space="0" w:color="auto"/>
      </w:divBdr>
    </w:div>
    <w:div w:id="1925265399">
      <w:bodyDiv w:val="1"/>
      <w:marLeft w:val="0"/>
      <w:marRight w:val="0"/>
      <w:marTop w:val="0"/>
      <w:marBottom w:val="0"/>
      <w:divBdr>
        <w:top w:val="none" w:sz="0" w:space="0" w:color="auto"/>
        <w:left w:val="none" w:sz="0" w:space="0" w:color="auto"/>
        <w:bottom w:val="none" w:sz="0" w:space="0" w:color="auto"/>
        <w:right w:val="none" w:sz="0" w:space="0" w:color="auto"/>
      </w:divBdr>
    </w:div>
    <w:div w:id="1926302818">
      <w:bodyDiv w:val="1"/>
      <w:marLeft w:val="0"/>
      <w:marRight w:val="0"/>
      <w:marTop w:val="0"/>
      <w:marBottom w:val="0"/>
      <w:divBdr>
        <w:top w:val="none" w:sz="0" w:space="0" w:color="auto"/>
        <w:left w:val="none" w:sz="0" w:space="0" w:color="auto"/>
        <w:bottom w:val="none" w:sz="0" w:space="0" w:color="auto"/>
        <w:right w:val="none" w:sz="0" w:space="0" w:color="auto"/>
      </w:divBdr>
      <w:divsChild>
        <w:div w:id="2976535">
          <w:marLeft w:val="0"/>
          <w:marRight w:val="0"/>
          <w:marTop w:val="0"/>
          <w:marBottom w:val="0"/>
          <w:divBdr>
            <w:top w:val="none" w:sz="0" w:space="0" w:color="auto"/>
            <w:left w:val="none" w:sz="0" w:space="0" w:color="auto"/>
            <w:bottom w:val="none" w:sz="0" w:space="0" w:color="auto"/>
            <w:right w:val="none" w:sz="0" w:space="0" w:color="auto"/>
          </w:divBdr>
        </w:div>
        <w:div w:id="10491628">
          <w:marLeft w:val="0"/>
          <w:marRight w:val="0"/>
          <w:marTop w:val="0"/>
          <w:marBottom w:val="0"/>
          <w:divBdr>
            <w:top w:val="none" w:sz="0" w:space="0" w:color="auto"/>
            <w:left w:val="none" w:sz="0" w:space="0" w:color="auto"/>
            <w:bottom w:val="none" w:sz="0" w:space="0" w:color="auto"/>
            <w:right w:val="none" w:sz="0" w:space="0" w:color="auto"/>
          </w:divBdr>
        </w:div>
        <w:div w:id="177156909">
          <w:marLeft w:val="0"/>
          <w:marRight w:val="0"/>
          <w:marTop w:val="0"/>
          <w:marBottom w:val="0"/>
          <w:divBdr>
            <w:top w:val="none" w:sz="0" w:space="0" w:color="auto"/>
            <w:left w:val="none" w:sz="0" w:space="0" w:color="auto"/>
            <w:bottom w:val="none" w:sz="0" w:space="0" w:color="auto"/>
            <w:right w:val="none" w:sz="0" w:space="0" w:color="auto"/>
          </w:divBdr>
        </w:div>
        <w:div w:id="181283216">
          <w:marLeft w:val="0"/>
          <w:marRight w:val="0"/>
          <w:marTop w:val="0"/>
          <w:marBottom w:val="0"/>
          <w:divBdr>
            <w:top w:val="none" w:sz="0" w:space="0" w:color="auto"/>
            <w:left w:val="none" w:sz="0" w:space="0" w:color="auto"/>
            <w:bottom w:val="none" w:sz="0" w:space="0" w:color="auto"/>
            <w:right w:val="none" w:sz="0" w:space="0" w:color="auto"/>
          </w:divBdr>
        </w:div>
        <w:div w:id="354040538">
          <w:marLeft w:val="0"/>
          <w:marRight w:val="0"/>
          <w:marTop w:val="0"/>
          <w:marBottom w:val="0"/>
          <w:divBdr>
            <w:top w:val="none" w:sz="0" w:space="0" w:color="auto"/>
            <w:left w:val="none" w:sz="0" w:space="0" w:color="auto"/>
            <w:bottom w:val="none" w:sz="0" w:space="0" w:color="auto"/>
            <w:right w:val="none" w:sz="0" w:space="0" w:color="auto"/>
          </w:divBdr>
        </w:div>
        <w:div w:id="398408230">
          <w:marLeft w:val="0"/>
          <w:marRight w:val="0"/>
          <w:marTop w:val="0"/>
          <w:marBottom w:val="0"/>
          <w:divBdr>
            <w:top w:val="none" w:sz="0" w:space="0" w:color="auto"/>
            <w:left w:val="none" w:sz="0" w:space="0" w:color="auto"/>
            <w:bottom w:val="none" w:sz="0" w:space="0" w:color="auto"/>
            <w:right w:val="none" w:sz="0" w:space="0" w:color="auto"/>
          </w:divBdr>
        </w:div>
        <w:div w:id="404425000">
          <w:marLeft w:val="0"/>
          <w:marRight w:val="0"/>
          <w:marTop w:val="0"/>
          <w:marBottom w:val="0"/>
          <w:divBdr>
            <w:top w:val="none" w:sz="0" w:space="0" w:color="auto"/>
            <w:left w:val="none" w:sz="0" w:space="0" w:color="auto"/>
            <w:bottom w:val="none" w:sz="0" w:space="0" w:color="auto"/>
            <w:right w:val="none" w:sz="0" w:space="0" w:color="auto"/>
          </w:divBdr>
        </w:div>
        <w:div w:id="411315767">
          <w:marLeft w:val="0"/>
          <w:marRight w:val="0"/>
          <w:marTop w:val="0"/>
          <w:marBottom w:val="0"/>
          <w:divBdr>
            <w:top w:val="none" w:sz="0" w:space="0" w:color="auto"/>
            <w:left w:val="none" w:sz="0" w:space="0" w:color="auto"/>
            <w:bottom w:val="none" w:sz="0" w:space="0" w:color="auto"/>
            <w:right w:val="none" w:sz="0" w:space="0" w:color="auto"/>
          </w:divBdr>
        </w:div>
        <w:div w:id="427383216">
          <w:marLeft w:val="0"/>
          <w:marRight w:val="0"/>
          <w:marTop w:val="0"/>
          <w:marBottom w:val="0"/>
          <w:divBdr>
            <w:top w:val="none" w:sz="0" w:space="0" w:color="auto"/>
            <w:left w:val="none" w:sz="0" w:space="0" w:color="auto"/>
            <w:bottom w:val="none" w:sz="0" w:space="0" w:color="auto"/>
            <w:right w:val="none" w:sz="0" w:space="0" w:color="auto"/>
          </w:divBdr>
        </w:div>
        <w:div w:id="442267761">
          <w:marLeft w:val="0"/>
          <w:marRight w:val="0"/>
          <w:marTop w:val="0"/>
          <w:marBottom w:val="0"/>
          <w:divBdr>
            <w:top w:val="none" w:sz="0" w:space="0" w:color="auto"/>
            <w:left w:val="none" w:sz="0" w:space="0" w:color="auto"/>
            <w:bottom w:val="none" w:sz="0" w:space="0" w:color="auto"/>
            <w:right w:val="none" w:sz="0" w:space="0" w:color="auto"/>
          </w:divBdr>
        </w:div>
        <w:div w:id="485705001">
          <w:marLeft w:val="0"/>
          <w:marRight w:val="0"/>
          <w:marTop w:val="0"/>
          <w:marBottom w:val="0"/>
          <w:divBdr>
            <w:top w:val="none" w:sz="0" w:space="0" w:color="auto"/>
            <w:left w:val="none" w:sz="0" w:space="0" w:color="auto"/>
            <w:bottom w:val="none" w:sz="0" w:space="0" w:color="auto"/>
            <w:right w:val="none" w:sz="0" w:space="0" w:color="auto"/>
          </w:divBdr>
        </w:div>
        <w:div w:id="521435567">
          <w:marLeft w:val="0"/>
          <w:marRight w:val="0"/>
          <w:marTop w:val="0"/>
          <w:marBottom w:val="0"/>
          <w:divBdr>
            <w:top w:val="none" w:sz="0" w:space="0" w:color="auto"/>
            <w:left w:val="none" w:sz="0" w:space="0" w:color="auto"/>
            <w:bottom w:val="none" w:sz="0" w:space="0" w:color="auto"/>
            <w:right w:val="none" w:sz="0" w:space="0" w:color="auto"/>
          </w:divBdr>
        </w:div>
        <w:div w:id="540822993">
          <w:marLeft w:val="0"/>
          <w:marRight w:val="0"/>
          <w:marTop w:val="0"/>
          <w:marBottom w:val="0"/>
          <w:divBdr>
            <w:top w:val="none" w:sz="0" w:space="0" w:color="auto"/>
            <w:left w:val="none" w:sz="0" w:space="0" w:color="auto"/>
            <w:bottom w:val="none" w:sz="0" w:space="0" w:color="auto"/>
            <w:right w:val="none" w:sz="0" w:space="0" w:color="auto"/>
          </w:divBdr>
        </w:div>
        <w:div w:id="797335424">
          <w:marLeft w:val="0"/>
          <w:marRight w:val="0"/>
          <w:marTop w:val="0"/>
          <w:marBottom w:val="0"/>
          <w:divBdr>
            <w:top w:val="none" w:sz="0" w:space="0" w:color="auto"/>
            <w:left w:val="none" w:sz="0" w:space="0" w:color="auto"/>
            <w:bottom w:val="none" w:sz="0" w:space="0" w:color="auto"/>
            <w:right w:val="none" w:sz="0" w:space="0" w:color="auto"/>
          </w:divBdr>
        </w:div>
        <w:div w:id="799493899">
          <w:marLeft w:val="0"/>
          <w:marRight w:val="0"/>
          <w:marTop w:val="0"/>
          <w:marBottom w:val="0"/>
          <w:divBdr>
            <w:top w:val="none" w:sz="0" w:space="0" w:color="auto"/>
            <w:left w:val="none" w:sz="0" w:space="0" w:color="auto"/>
            <w:bottom w:val="none" w:sz="0" w:space="0" w:color="auto"/>
            <w:right w:val="none" w:sz="0" w:space="0" w:color="auto"/>
          </w:divBdr>
        </w:div>
        <w:div w:id="996029244">
          <w:marLeft w:val="0"/>
          <w:marRight w:val="0"/>
          <w:marTop w:val="0"/>
          <w:marBottom w:val="0"/>
          <w:divBdr>
            <w:top w:val="none" w:sz="0" w:space="0" w:color="auto"/>
            <w:left w:val="none" w:sz="0" w:space="0" w:color="auto"/>
            <w:bottom w:val="none" w:sz="0" w:space="0" w:color="auto"/>
            <w:right w:val="none" w:sz="0" w:space="0" w:color="auto"/>
          </w:divBdr>
        </w:div>
        <w:div w:id="1022125567">
          <w:marLeft w:val="0"/>
          <w:marRight w:val="0"/>
          <w:marTop w:val="0"/>
          <w:marBottom w:val="0"/>
          <w:divBdr>
            <w:top w:val="none" w:sz="0" w:space="0" w:color="auto"/>
            <w:left w:val="none" w:sz="0" w:space="0" w:color="auto"/>
            <w:bottom w:val="none" w:sz="0" w:space="0" w:color="auto"/>
            <w:right w:val="none" w:sz="0" w:space="0" w:color="auto"/>
          </w:divBdr>
        </w:div>
        <w:div w:id="1105658501">
          <w:marLeft w:val="0"/>
          <w:marRight w:val="0"/>
          <w:marTop w:val="0"/>
          <w:marBottom w:val="0"/>
          <w:divBdr>
            <w:top w:val="none" w:sz="0" w:space="0" w:color="auto"/>
            <w:left w:val="none" w:sz="0" w:space="0" w:color="auto"/>
            <w:bottom w:val="none" w:sz="0" w:space="0" w:color="auto"/>
            <w:right w:val="none" w:sz="0" w:space="0" w:color="auto"/>
          </w:divBdr>
        </w:div>
        <w:div w:id="1110709781">
          <w:marLeft w:val="0"/>
          <w:marRight w:val="0"/>
          <w:marTop w:val="0"/>
          <w:marBottom w:val="0"/>
          <w:divBdr>
            <w:top w:val="none" w:sz="0" w:space="0" w:color="auto"/>
            <w:left w:val="none" w:sz="0" w:space="0" w:color="auto"/>
            <w:bottom w:val="none" w:sz="0" w:space="0" w:color="auto"/>
            <w:right w:val="none" w:sz="0" w:space="0" w:color="auto"/>
          </w:divBdr>
        </w:div>
        <w:div w:id="1126125291">
          <w:marLeft w:val="0"/>
          <w:marRight w:val="0"/>
          <w:marTop w:val="0"/>
          <w:marBottom w:val="0"/>
          <w:divBdr>
            <w:top w:val="none" w:sz="0" w:space="0" w:color="auto"/>
            <w:left w:val="none" w:sz="0" w:space="0" w:color="auto"/>
            <w:bottom w:val="none" w:sz="0" w:space="0" w:color="auto"/>
            <w:right w:val="none" w:sz="0" w:space="0" w:color="auto"/>
          </w:divBdr>
        </w:div>
        <w:div w:id="1169253003">
          <w:marLeft w:val="0"/>
          <w:marRight w:val="0"/>
          <w:marTop w:val="0"/>
          <w:marBottom w:val="0"/>
          <w:divBdr>
            <w:top w:val="none" w:sz="0" w:space="0" w:color="auto"/>
            <w:left w:val="none" w:sz="0" w:space="0" w:color="auto"/>
            <w:bottom w:val="none" w:sz="0" w:space="0" w:color="auto"/>
            <w:right w:val="none" w:sz="0" w:space="0" w:color="auto"/>
          </w:divBdr>
        </w:div>
        <w:div w:id="1269000969">
          <w:marLeft w:val="0"/>
          <w:marRight w:val="0"/>
          <w:marTop w:val="0"/>
          <w:marBottom w:val="0"/>
          <w:divBdr>
            <w:top w:val="none" w:sz="0" w:space="0" w:color="auto"/>
            <w:left w:val="none" w:sz="0" w:space="0" w:color="auto"/>
            <w:bottom w:val="none" w:sz="0" w:space="0" w:color="auto"/>
            <w:right w:val="none" w:sz="0" w:space="0" w:color="auto"/>
          </w:divBdr>
        </w:div>
        <w:div w:id="1338311692">
          <w:marLeft w:val="0"/>
          <w:marRight w:val="0"/>
          <w:marTop w:val="0"/>
          <w:marBottom w:val="0"/>
          <w:divBdr>
            <w:top w:val="none" w:sz="0" w:space="0" w:color="auto"/>
            <w:left w:val="none" w:sz="0" w:space="0" w:color="auto"/>
            <w:bottom w:val="none" w:sz="0" w:space="0" w:color="auto"/>
            <w:right w:val="none" w:sz="0" w:space="0" w:color="auto"/>
          </w:divBdr>
        </w:div>
        <w:div w:id="1365474034">
          <w:marLeft w:val="0"/>
          <w:marRight w:val="0"/>
          <w:marTop w:val="0"/>
          <w:marBottom w:val="0"/>
          <w:divBdr>
            <w:top w:val="none" w:sz="0" w:space="0" w:color="auto"/>
            <w:left w:val="none" w:sz="0" w:space="0" w:color="auto"/>
            <w:bottom w:val="none" w:sz="0" w:space="0" w:color="auto"/>
            <w:right w:val="none" w:sz="0" w:space="0" w:color="auto"/>
          </w:divBdr>
        </w:div>
        <w:div w:id="1404907701">
          <w:marLeft w:val="0"/>
          <w:marRight w:val="0"/>
          <w:marTop w:val="0"/>
          <w:marBottom w:val="0"/>
          <w:divBdr>
            <w:top w:val="none" w:sz="0" w:space="0" w:color="auto"/>
            <w:left w:val="none" w:sz="0" w:space="0" w:color="auto"/>
            <w:bottom w:val="none" w:sz="0" w:space="0" w:color="auto"/>
            <w:right w:val="none" w:sz="0" w:space="0" w:color="auto"/>
          </w:divBdr>
        </w:div>
        <w:div w:id="1451701265">
          <w:marLeft w:val="0"/>
          <w:marRight w:val="0"/>
          <w:marTop w:val="0"/>
          <w:marBottom w:val="0"/>
          <w:divBdr>
            <w:top w:val="none" w:sz="0" w:space="0" w:color="auto"/>
            <w:left w:val="none" w:sz="0" w:space="0" w:color="auto"/>
            <w:bottom w:val="none" w:sz="0" w:space="0" w:color="auto"/>
            <w:right w:val="none" w:sz="0" w:space="0" w:color="auto"/>
          </w:divBdr>
        </w:div>
        <w:div w:id="1525708556">
          <w:marLeft w:val="0"/>
          <w:marRight w:val="0"/>
          <w:marTop w:val="0"/>
          <w:marBottom w:val="0"/>
          <w:divBdr>
            <w:top w:val="none" w:sz="0" w:space="0" w:color="auto"/>
            <w:left w:val="none" w:sz="0" w:space="0" w:color="auto"/>
            <w:bottom w:val="none" w:sz="0" w:space="0" w:color="auto"/>
            <w:right w:val="none" w:sz="0" w:space="0" w:color="auto"/>
          </w:divBdr>
        </w:div>
        <w:div w:id="1567109833">
          <w:marLeft w:val="0"/>
          <w:marRight w:val="0"/>
          <w:marTop w:val="0"/>
          <w:marBottom w:val="0"/>
          <w:divBdr>
            <w:top w:val="none" w:sz="0" w:space="0" w:color="auto"/>
            <w:left w:val="none" w:sz="0" w:space="0" w:color="auto"/>
            <w:bottom w:val="none" w:sz="0" w:space="0" w:color="auto"/>
            <w:right w:val="none" w:sz="0" w:space="0" w:color="auto"/>
          </w:divBdr>
        </w:div>
        <w:div w:id="1599674901">
          <w:marLeft w:val="0"/>
          <w:marRight w:val="0"/>
          <w:marTop w:val="0"/>
          <w:marBottom w:val="0"/>
          <w:divBdr>
            <w:top w:val="none" w:sz="0" w:space="0" w:color="auto"/>
            <w:left w:val="none" w:sz="0" w:space="0" w:color="auto"/>
            <w:bottom w:val="none" w:sz="0" w:space="0" w:color="auto"/>
            <w:right w:val="none" w:sz="0" w:space="0" w:color="auto"/>
          </w:divBdr>
        </w:div>
        <w:div w:id="1673408429">
          <w:marLeft w:val="0"/>
          <w:marRight w:val="0"/>
          <w:marTop w:val="0"/>
          <w:marBottom w:val="0"/>
          <w:divBdr>
            <w:top w:val="none" w:sz="0" w:space="0" w:color="auto"/>
            <w:left w:val="none" w:sz="0" w:space="0" w:color="auto"/>
            <w:bottom w:val="none" w:sz="0" w:space="0" w:color="auto"/>
            <w:right w:val="none" w:sz="0" w:space="0" w:color="auto"/>
          </w:divBdr>
        </w:div>
        <w:div w:id="1784303179">
          <w:marLeft w:val="0"/>
          <w:marRight w:val="0"/>
          <w:marTop w:val="0"/>
          <w:marBottom w:val="0"/>
          <w:divBdr>
            <w:top w:val="none" w:sz="0" w:space="0" w:color="auto"/>
            <w:left w:val="none" w:sz="0" w:space="0" w:color="auto"/>
            <w:bottom w:val="none" w:sz="0" w:space="0" w:color="auto"/>
            <w:right w:val="none" w:sz="0" w:space="0" w:color="auto"/>
          </w:divBdr>
        </w:div>
        <w:div w:id="1800565665">
          <w:marLeft w:val="0"/>
          <w:marRight w:val="0"/>
          <w:marTop w:val="0"/>
          <w:marBottom w:val="0"/>
          <w:divBdr>
            <w:top w:val="none" w:sz="0" w:space="0" w:color="auto"/>
            <w:left w:val="none" w:sz="0" w:space="0" w:color="auto"/>
            <w:bottom w:val="none" w:sz="0" w:space="0" w:color="auto"/>
            <w:right w:val="none" w:sz="0" w:space="0" w:color="auto"/>
          </w:divBdr>
        </w:div>
        <w:div w:id="1846750190">
          <w:marLeft w:val="0"/>
          <w:marRight w:val="0"/>
          <w:marTop w:val="0"/>
          <w:marBottom w:val="0"/>
          <w:divBdr>
            <w:top w:val="none" w:sz="0" w:space="0" w:color="auto"/>
            <w:left w:val="none" w:sz="0" w:space="0" w:color="auto"/>
            <w:bottom w:val="none" w:sz="0" w:space="0" w:color="auto"/>
            <w:right w:val="none" w:sz="0" w:space="0" w:color="auto"/>
          </w:divBdr>
        </w:div>
      </w:divsChild>
    </w:div>
    <w:div w:id="1979068790">
      <w:bodyDiv w:val="1"/>
      <w:marLeft w:val="0"/>
      <w:marRight w:val="0"/>
      <w:marTop w:val="0"/>
      <w:marBottom w:val="0"/>
      <w:divBdr>
        <w:top w:val="none" w:sz="0" w:space="0" w:color="auto"/>
        <w:left w:val="none" w:sz="0" w:space="0" w:color="auto"/>
        <w:bottom w:val="none" w:sz="0" w:space="0" w:color="auto"/>
        <w:right w:val="none" w:sz="0" w:space="0" w:color="auto"/>
      </w:divBdr>
    </w:div>
    <w:div w:id="1982692269">
      <w:bodyDiv w:val="1"/>
      <w:marLeft w:val="0"/>
      <w:marRight w:val="0"/>
      <w:marTop w:val="0"/>
      <w:marBottom w:val="0"/>
      <w:divBdr>
        <w:top w:val="none" w:sz="0" w:space="0" w:color="auto"/>
        <w:left w:val="none" w:sz="0" w:space="0" w:color="auto"/>
        <w:bottom w:val="none" w:sz="0" w:space="0" w:color="auto"/>
        <w:right w:val="none" w:sz="0" w:space="0" w:color="auto"/>
      </w:divBdr>
    </w:div>
    <w:div w:id="1999457140">
      <w:bodyDiv w:val="1"/>
      <w:marLeft w:val="0"/>
      <w:marRight w:val="0"/>
      <w:marTop w:val="0"/>
      <w:marBottom w:val="0"/>
      <w:divBdr>
        <w:top w:val="none" w:sz="0" w:space="0" w:color="auto"/>
        <w:left w:val="none" w:sz="0" w:space="0" w:color="auto"/>
        <w:bottom w:val="none" w:sz="0" w:space="0" w:color="auto"/>
        <w:right w:val="none" w:sz="0" w:space="0" w:color="auto"/>
      </w:divBdr>
    </w:div>
    <w:div w:id="2024628648">
      <w:bodyDiv w:val="1"/>
      <w:marLeft w:val="0"/>
      <w:marRight w:val="0"/>
      <w:marTop w:val="0"/>
      <w:marBottom w:val="0"/>
      <w:divBdr>
        <w:top w:val="none" w:sz="0" w:space="0" w:color="auto"/>
        <w:left w:val="none" w:sz="0" w:space="0" w:color="auto"/>
        <w:bottom w:val="none" w:sz="0" w:space="0" w:color="auto"/>
        <w:right w:val="none" w:sz="0" w:space="0" w:color="auto"/>
      </w:divBdr>
    </w:div>
    <w:div w:id="2035108776">
      <w:bodyDiv w:val="1"/>
      <w:marLeft w:val="0"/>
      <w:marRight w:val="0"/>
      <w:marTop w:val="0"/>
      <w:marBottom w:val="0"/>
      <w:divBdr>
        <w:top w:val="none" w:sz="0" w:space="0" w:color="auto"/>
        <w:left w:val="none" w:sz="0" w:space="0" w:color="auto"/>
        <w:bottom w:val="none" w:sz="0" w:space="0" w:color="auto"/>
        <w:right w:val="none" w:sz="0" w:space="0" w:color="auto"/>
      </w:divBdr>
    </w:div>
    <w:div w:id="2043094563">
      <w:bodyDiv w:val="1"/>
      <w:marLeft w:val="0"/>
      <w:marRight w:val="0"/>
      <w:marTop w:val="0"/>
      <w:marBottom w:val="0"/>
      <w:divBdr>
        <w:top w:val="none" w:sz="0" w:space="0" w:color="auto"/>
        <w:left w:val="none" w:sz="0" w:space="0" w:color="auto"/>
        <w:bottom w:val="none" w:sz="0" w:space="0" w:color="auto"/>
        <w:right w:val="none" w:sz="0" w:space="0" w:color="auto"/>
      </w:divBdr>
    </w:div>
    <w:div w:id="2050062282">
      <w:bodyDiv w:val="1"/>
      <w:marLeft w:val="0"/>
      <w:marRight w:val="0"/>
      <w:marTop w:val="0"/>
      <w:marBottom w:val="0"/>
      <w:divBdr>
        <w:top w:val="none" w:sz="0" w:space="0" w:color="auto"/>
        <w:left w:val="none" w:sz="0" w:space="0" w:color="auto"/>
        <w:bottom w:val="none" w:sz="0" w:space="0" w:color="auto"/>
        <w:right w:val="none" w:sz="0" w:space="0" w:color="auto"/>
      </w:divBdr>
    </w:div>
    <w:div w:id="2063433072">
      <w:bodyDiv w:val="1"/>
      <w:marLeft w:val="0"/>
      <w:marRight w:val="0"/>
      <w:marTop w:val="0"/>
      <w:marBottom w:val="0"/>
      <w:divBdr>
        <w:top w:val="none" w:sz="0" w:space="0" w:color="auto"/>
        <w:left w:val="none" w:sz="0" w:space="0" w:color="auto"/>
        <w:bottom w:val="none" w:sz="0" w:space="0" w:color="auto"/>
        <w:right w:val="none" w:sz="0" w:space="0" w:color="auto"/>
      </w:divBdr>
    </w:div>
    <w:div w:id="2069304454">
      <w:bodyDiv w:val="1"/>
      <w:marLeft w:val="0"/>
      <w:marRight w:val="0"/>
      <w:marTop w:val="0"/>
      <w:marBottom w:val="0"/>
      <w:divBdr>
        <w:top w:val="none" w:sz="0" w:space="0" w:color="auto"/>
        <w:left w:val="none" w:sz="0" w:space="0" w:color="auto"/>
        <w:bottom w:val="none" w:sz="0" w:space="0" w:color="auto"/>
        <w:right w:val="none" w:sz="0" w:space="0" w:color="auto"/>
      </w:divBdr>
    </w:div>
    <w:div w:id="2073961034">
      <w:bodyDiv w:val="1"/>
      <w:marLeft w:val="0"/>
      <w:marRight w:val="0"/>
      <w:marTop w:val="0"/>
      <w:marBottom w:val="0"/>
      <w:divBdr>
        <w:top w:val="none" w:sz="0" w:space="0" w:color="auto"/>
        <w:left w:val="none" w:sz="0" w:space="0" w:color="auto"/>
        <w:bottom w:val="none" w:sz="0" w:space="0" w:color="auto"/>
        <w:right w:val="none" w:sz="0" w:space="0" w:color="auto"/>
      </w:divBdr>
    </w:div>
    <w:div w:id="2082680547">
      <w:bodyDiv w:val="1"/>
      <w:marLeft w:val="0"/>
      <w:marRight w:val="0"/>
      <w:marTop w:val="0"/>
      <w:marBottom w:val="0"/>
      <w:divBdr>
        <w:top w:val="none" w:sz="0" w:space="0" w:color="auto"/>
        <w:left w:val="none" w:sz="0" w:space="0" w:color="auto"/>
        <w:bottom w:val="none" w:sz="0" w:space="0" w:color="auto"/>
        <w:right w:val="none" w:sz="0" w:space="0" w:color="auto"/>
      </w:divBdr>
    </w:div>
    <w:div w:id="2087528726">
      <w:bodyDiv w:val="1"/>
      <w:marLeft w:val="0"/>
      <w:marRight w:val="0"/>
      <w:marTop w:val="0"/>
      <w:marBottom w:val="0"/>
      <w:divBdr>
        <w:top w:val="none" w:sz="0" w:space="0" w:color="auto"/>
        <w:left w:val="none" w:sz="0" w:space="0" w:color="auto"/>
        <w:bottom w:val="none" w:sz="0" w:space="0" w:color="auto"/>
        <w:right w:val="none" w:sz="0" w:space="0" w:color="auto"/>
      </w:divBdr>
    </w:div>
    <w:div w:id="2091659239">
      <w:bodyDiv w:val="1"/>
      <w:marLeft w:val="0"/>
      <w:marRight w:val="0"/>
      <w:marTop w:val="0"/>
      <w:marBottom w:val="0"/>
      <w:divBdr>
        <w:top w:val="none" w:sz="0" w:space="0" w:color="auto"/>
        <w:left w:val="none" w:sz="0" w:space="0" w:color="auto"/>
        <w:bottom w:val="none" w:sz="0" w:space="0" w:color="auto"/>
        <w:right w:val="none" w:sz="0" w:space="0" w:color="auto"/>
      </w:divBdr>
    </w:div>
    <w:div w:id="2124185003">
      <w:bodyDiv w:val="1"/>
      <w:marLeft w:val="0"/>
      <w:marRight w:val="0"/>
      <w:marTop w:val="0"/>
      <w:marBottom w:val="0"/>
      <w:divBdr>
        <w:top w:val="none" w:sz="0" w:space="0" w:color="auto"/>
        <w:left w:val="none" w:sz="0" w:space="0" w:color="auto"/>
        <w:bottom w:val="none" w:sz="0" w:space="0" w:color="auto"/>
        <w:right w:val="none" w:sz="0" w:space="0" w:color="auto"/>
      </w:divBdr>
    </w:div>
    <w:div w:id="2129347430">
      <w:bodyDiv w:val="1"/>
      <w:marLeft w:val="0"/>
      <w:marRight w:val="0"/>
      <w:marTop w:val="0"/>
      <w:marBottom w:val="0"/>
      <w:divBdr>
        <w:top w:val="none" w:sz="0" w:space="0" w:color="auto"/>
        <w:left w:val="none" w:sz="0" w:space="0" w:color="auto"/>
        <w:bottom w:val="none" w:sz="0" w:space="0" w:color="auto"/>
        <w:right w:val="none" w:sz="0" w:space="0" w:color="auto"/>
      </w:divBdr>
      <w:divsChild>
        <w:div w:id="1196581581">
          <w:marLeft w:val="0"/>
          <w:marRight w:val="0"/>
          <w:marTop w:val="0"/>
          <w:marBottom w:val="0"/>
          <w:divBdr>
            <w:top w:val="none" w:sz="0" w:space="0" w:color="auto"/>
            <w:left w:val="none" w:sz="0" w:space="0" w:color="auto"/>
            <w:bottom w:val="none" w:sz="0" w:space="0" w:color="auto"/>
            <w:right w:val="none" w:sz="0" w:space="0" w:color="auto"/>
          </w:divBdr>
          <w:divsChild>
            <w:div w:id="796987839">
              <w:marLeft w:val="0"/>
              <w:marRight w:val="0"/>
              <w:marTop w:val="0"/>
              <w:marBottom w:val="0"/>
              <w:divBdr>
                <w:top w:val="none" w:sz="0" w:space="0" w:color="auto"/>
                <w:left w:val="none" w:sz="0" w:space="0" w:color="auto"/>
                <w:bottom w:val="none" w:sz="0" w:space="0" w:color="auto"/>
                <w:right w:val="none" w:sz="0" w:space="0" w:color="auto"/>
              </w:divBdr>
              <w:divsChild>
                <w:div w:id="5305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k.wikipedia.org/wiki/Tvrdo%C5%A1%C3%ADn_(okres)" TargetMode="External"/><Relationship Id="rId21" Type="http://schemas.openxmlformats.org/officeDocument/2006/relationships/hyperlink" Target="https://sk.wikipedia.org/wiki/%C5%BDilina_(okres)" TargetMode="External"/><Relationship Id="rId42" Type="http://schemas.openxmlformats.org/officeDocument/2006/relationships/chart" Target="charts/chart13.xml"/><Relationship Id="rId47" Type="http://schemas.openxmlformats.org/officeDocument/2006/relationships/chart" Target="charts/chart18.xml"/><Relationship Id="rId63" Type="http://schemas.openxmlformats.org/officeDocument/2006/relationships/hyperlink" Target="https://www.fnspza.sk/pre-pacientov-a-navstevnikov/areal-a-parkovanie" TargetMode="External"/><Relationship Id="rId68" Type="http://schemas.openxmlformats.org/officeDocument/2006/relationships/image" Target="media/image13.emf"/><Relationship Id="rId84" Type="http://schemas.openxmlformats.org/officeDocument/2006/relationships/image" Target="media/image29.emf"/><Relationship Id="rId89" Type="http://schemas.openxmlformats.org/officeDocument/2006/relationships/fontTable" Target="fontTable.xml"/><Relationship Id="rId16" Type="http://schemas.openxmlformats.org/officeDocument/2006/relationships/image" Target="media/image5.emf"/><Relationship Id="rId11" Type="http://schemas.openxmlformats.org/officeDocument/2006/relationships/footer" Target="footer1.xml"/><Relationship Id="rId32" Type="http://schemas.openxmlformats.org/officeDocument/2006/relationships/chart" Target="charts/chart3.xml"/><Relationship Id="rId37" Type="http://schemas.openxmlformats.org/officeDocument/2006/relationships/chart" Target="charts/chart8.xml"/><Relationship Id="rId53" Type="http://schemas.openxmlformats.org/officeDocument/2006/relationships/hyperlink" Target="http://www.korona.gov.sk" TargetMode="External"/><Relationship Id="rId58" Type="http://schemas.openxmlformats.org/officeDocument/2006/relationships/chart" Target="charts/chart27.xml"/><Relationship Id="rId74" Type="http://schemas.openxmlformats.org/officeDocument/2006/relationships/image" Target="media/image19.png"/><Relationship Id="rId79" Type="http://schemas.openxmlformats.org/officeDocument/2006/relationships/image" Target="media/image24.png"/><Relationship Id="rId5" Type="http://schemas.openxmlformats.org/officeDocument/2006/relationships/webSettings" Target="webSettings.xml"/><Relationship Id="rId90" Type="http://schemas.openxmlformats.org/officeDocument/2006/relationships/theme" Target="theme/theme1.xml"/><Relationship Id="rId95" Type="http://schemas.microsoft.com/office/2018/08/relationships/commentsExtensible" Target="commentsExtensible.xml"/><Relationship Id="rId14" Type="http://schemas.openxmlformats.org/officeDocument/2006/relationships/hyperlink" Target="https://sk.wikipedia.org/wiki/Slovensko" TargetMode="External"/><Relationship Id="rId22" Type="http://schemas.openxmlformats.org/officeDocument/2006/relationships/hyperlink" Target="https://sk.wikipedia.org/wiki/Kysuck%C3%A9_Nov%C3%A9_Mesto_(okres)" TargetMode="External"/><Relationship Id="rId27" Type="http://schemas.openxmlformats.org/officeDocument/2006/relationships/hyperlink" Target="https://sk.wikipedia.org/wiki/Doln%C3%BD_Kub%C3%ADn_(okres)" TargetMode="Externa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chart" Target="charts/chart14.xml"/><Relationship Id="rId48" Type="http://schemas.openxmlformats.org/officeDocument/2006/relationships/chart" Target="charts/chart19.xml"/><Relationship Id="rId56" Type="http://schemas.openxmlformats.org/officeDocument/2006/relationships/chart" Target="charts/chart25.xml"/><Relationship Id="rId64" Type="http://schemas.openxmlformats.org/officeDocument/2006/relationships/image" Target="media/image9.png"/><Relationship Id="rId69" Type="http://schemas.openxmlformats.org/officeDocument/2006/relationships/image" Target="media/image14.emf"/><Relationship Id="rId77" Type="http://schemas.openxmlformats.org/officeDocument/2006/relationships/image" Target="media/image22.png"/><Relationship Id="rId8" Type="http://schemas.openxmlformats.org/officeDocument/2006/relationships/image" Target="media/image1.png"/><Relationship Id="rId51" Type="http://schemas.openxmlformats.org/officeDocument/2006/relationships/chart" Target="charts/chart22.xml"/><Relationship Id="rId72" Type="http://schemas.openxmlformats.org/officeDocument/2006/relationships/image" Target="media/image17.png"/><Relationship Id="rId80" Type="http://schemas.openxmlformats.org/officeDocument/2006/relationships/image" Target="media/image25.png"/><Relationship Id="rId85" Type="http://schemas.openxmlformats.org/officeDocument/2006/relationships/hyperlink" Target="https://www.fnspza.sk" TargetMode="External"/><Relationship Id="rId3" Type="http://schemas.openxmlformats.org/officeDocument/2006/relationships/styles" Target="styles.xml"/><Relationship Id="rId12" Type="http://schemas.openxmlformats.org/officeDocument/2006/relationships/hyperlink" Target="https://sk.wikipedia.org/wiki/Otorinolaryngol%C3%B3gia" TargetMode="External"/><Relationship Id="rId17" Type="http://schemas.openxmlformats.org/officeDocument/2006/relationships/image" Target="media/image6.png"/><Relationship Id="rId25" Type="http://schemas.openxmlformats.org/officeDocument/2006/relationships/hyperlink" Target="https://sk.wikipedia.org/wiki/N%C3%A1mestovo_(okres)" TargetMode="External"/><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chart" Target="charts/chart17.xml"/><Relationship Id="rId59" Type="http://schemas.openxmlformats.org/officeDocument/2006/relationships/chart" Target="charts/chart28.xml"/><Relationship Id="rId67" Type="http://schemas.openxmlformats.org/officeDocument/2006/relationships/image" Target="media/image12.emf"/><Relationship Id="rId20" Type="http://schemas.openxmlformats.org/officeDocument/2006/relationships/hyperlink" Target="https://sk.wikipedia.org/wiki/%C4%8Cadca_(okres)" TargetMode="External"/><Relationship Id="rId41" Type="http://schemas.openxmlformats.org/officeDocument/2006/relationships/chart" Target="charts/chart12.xml"/><Relationship Id="rId54" Type="http://schemas.openxmlformats.org/officeDocument/2006/relationships/chart" Target="charts/chart23.xml"/><Relationship Id="rId62" Type="http://schemas.openxmlformats.org/officeDocument/2006/relationships/image" Target="media/image8.png"/><Relationship Id="rId70" Type="http://schemas.openxmlformats.org/officeDocument/2006/relationships/image" Target="media/image15.emf"/><Relationship Id="rId75" Type="http://schemas.openxmlformats.org/officeDocument/2006/relationships/image" Target="media/image20.png"/><Relationship Id="rId83" Type="http://schemas.openxmlformats.org/officeDocument/2006/relationships/image" Target="media/image28.emf"/><Relationship Id="rId88" Type="http://schemas.openxmlformats.org/officeDocument/2006/relationships/footer" Target="footer2.xm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sk.wikipedia.org/wiki/Martin_(okres)" TargetMode="External"/><Relationship Id="rId28" Type="http://schemas.openxmlformats.org/officeDocument/2006/relationships/hyperlink" Target="https://sk.wikipedia.org/wiki/Ru%C5%BEomberok_(okres)" TargetMode="External"/><Relationship Id="rId36" Type="http://schemas.openxmlformats.org/officeDocument/2006/relationships/chart" Target="charts/chart7.xml"/><Relationship Id="rId49" Type="http://schemas.openxmlformats.org/officeDocument/2006/relationships/chart" Target="charts/chart20.xml"/><Relationship Id="rId57" Type="http://schemas.openxmlformats.org/officeDocument/2006/relationships/chart" Target="charts/chart26.xml"/><Relationship Id="rId10" Type="http://schemas.openxmlformats.org/officeDocument/2006/relationships/header" Target="header1.xml"/><Relationship Id="rId31" Type="http://schemas.openxmlformats.org/officeDocument/2006/relationships/chart" Target="charts/chart2.xml"/><Relationship Id="rId44" Type="http://schemas.openxmlformats.org/officeDocument/2006/relationships/chart" Target="charts/chart15.xml"/><Relationship Id="rId52" Type="http://schemas.openxmlformats.org/officeDocument/2006/relationships/hyperlink" Target="http://www.korona.gov.sk" TargetMode="External"/><Relationship Id="rId60" Type="http://schemas.openxmlformats.org/officeDocument/2006/relationships/chart" Target="charts/chart29.xml"/><Relationship Id="rId65" Type="http://schemas.openxmlformats.org/officeDocument/2006/relationships/image" Target="media/image10.png"/><Relationship Id="rId73" Type="http://schemas.openxmlformats.org/officeDocument/2006/relationships/image" Target="media/image18.png"/><Relationship Id="rId78" Type="http://schemas.openxmlformats.org/officeDocument/2006/relationships/image" Target="media/image23.png"/><Relationship Id="rId81" Type="http://schemas.openxmlformats.org/officeDocument/2006/relationships/image" Target="media/image26.png"/><Relationship Id="rId86" Type="http://schemas.openxmlformats.org/officeDocument/2006/relationships/hyperlink" Target="https://slovak.statistics.sk"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7.emf"/><Relationship Id="rId39" Type="http://schemas.openxmlformats.org/officeDocument/2006/relationships/chart" Target="charts/chart10.xml"/><Relationship Id="rId34" Type="http://schemas.openxmlformats.org/officeDocument/2006/relationships/chart" Target="charts/chart5.xml"/><Relationship Id="rId50" Type="http://schemas.openxmlformats.org/officeDocument/2006/relationships/chart" Target="charts/chart21.xml"/><Relationship Id="rId55" Type="http://schemas.openxmlformats.org/officeDocument/2006/relationships/chart" Target="charts/chart24.xml"/><Relationship Id="rId76" Type="http://schemas.openxmlformats.org/officeDocument/2006/relationships/image" Target="media/image21.png"/><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hyperlink" Target="https://sk.wikipedia.org/wiki/Liptovsk%C3%BD_Mikul%C3%A1%C5%A1_(okres)" TargetMode="External"/><Relationship Id="rId24" Type="http://schemas.openxmlformats.org/officeDocument/2006/relationships/hyperlink" Target="https://sk.wikipedia.org/wiki/Tur%C4%8Dianske_Teplice_(okres)" TargetMode="External"/><Relationship Id="rId40" Type="http://schemas.openxmlformats.org/officeDocument/2006/relationships/chart" Target="charts/chart11.xml"/><Relationship Id="rId45" Type="http://schemas.openxmlformats.org/officeDocument/2006/relationships/chart" Target="charts/chart16.xml"/><Relationship Id="rId66" Type="http://schemas.openxmlformats.org/officeDocument/2006/relationships/image" Target="media/image11.emf"/><Relationship Id="rId87" Type="http://schemas.openxmlformats.org/officeDocument/2006/relationships/hyperlink" Target="https://nczisk.sk" TargetMode="External"/><Relationship Id="rId61" Type="http://schemas.openxmlformats.org/officeDocument/2006/relationships/chart" Target="charts/chart30.xml"/><Relationship Id="rId82" Type="http://schemas.openxmlformats.org/officeDocument/2006/relationships/image" Target="media/image27.png"/><Relationship Id="rId19" Type="http://schemas.openxmlformats.org/officeDocument/2006/relationships/hyperlink" Target="https://sk.wikipedia.org/wiki/Byt%C4%8Da_(okr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m\Desktop\Zilina%20nemocnica\NCZI%20nov&#233;%20d&#225;ta\NCZI-00927-2022_P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anov\OneDrive\Desktop\FNsP%20Pre&#353;ov,%20&#381;ilina\REALIZ&#193;CIA%20&#381;ILINA\Finaliz&#225;cia_marec%202023\Doplnen&#233;%20dokumenty%20Hochel\NCZI-00927-2022_P0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anov\OneDrive\Desktop\FNsP%20Pre&#353;ov,%20&#381;ilina\REALIZ&#193;CIA%20&#381;ILINA\Finaliz&#225;cia_marec%202023\Doplnen&#233;%20dokumenty%20Hochel\NCZI-00927-2022_J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anov\OneDrive\Desktop\FNsP%20Pre&#353;ov,%20&#381;ilina\REALIZ&#193;CIA%20&#381;ILINA\Finaliz&#225;cia_marec%202023\Doplnen&#233;%20dokumenty%20Hochel\NCZI-00927-2022_J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am\Desktop\Zilina%20nemocnica\NCZI%20nov&#233;%20d&#225;ta\NCZI-00927-2022_P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anov\OneDrive\Desktop\FNsP%20Pre&#353;ov,%20&#381;ilina\REALIZ&#193;CIA%20&#381;ILINA\Finaliz&#225;cia_marec%202023\Doplnen&#233;%20dokumenty%20Hochel\NCZI-00927-2022_P0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anov\OneDrive\Desktop\FNsP%20Pre&#353;ov,%20&#381;ilina\REALIZ&#193;CIA%20&#381;ILINA\Finaliz&#225;cia_marec%202023\Doplnen&#233;%20dokumenty%20Hochel\&#353;tatistiky%20k%20dostavb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anov\OneDrive\Desktop\FNsP%20Pre&#353;ov,%20&#381;ilina\REALIZ&#193;CIA%20&#381;ILINA\Finaliz&#225;cia_marec%202023\Doplnen&#233;%20dokumenty%20Hochel\&#353;tatistiky%20k%20dostavb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1" Type="http://schemas.openxmlformats.org/officeDocument/2006/relationships/oleObject" Target="file:///C:\Users\janov\OneDrive\Desktop\FNsP%20Pre&#353;ov,%20&#381;ilina\REALIZ&#193;CIA%20&#381;ILINA\Finaliz&#225;cia_marec%202023\Doplnen&#233;%20dokumenty%20Hochel\FNZA_PUZS_Porov_16012023(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janov\OneDrive\Desktop\FNsP%20Pre&#353;ov,%20&#381;ilina\REALIZ&#193;CIA%20&#381;ILINA\Finaliz&#225;cia_marec%202023\Doplnen&#233;%20dokumenty%20Hochel\FNZA_Odbornosti_16012023.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janov\OneDrive\Desktop\FNsP%20Pre&#353;ov,%20&#381;ilina\REALIZ&#193;CIA%20&#381;ILINA\Finaliz&#225;cia_marec%202023\Doplnen&#233;%20dokumenty%20Hochel\FNZA_Odbornosti_1601202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Zilina%20nemocnica\DRG%20d&#225;ta%20&#381;SK\def%20DRG\FNZA_Odbornosti_16012023.xlsx"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file:///D:\Zilina%20nemocnica\DRG%20d&#225;ta%20&#381;SK\def%20DRG\FNZA_Odbornosti_16012023.xlsx" TargetMode="External"/><Relationship Id="rId2" Type="http://schemas.microsoft.com/office/2011/relationships/chartColorStyle" Target="colors23.xml"/><Relationship Id="rId1" Type="http://schemas.microsoft.com/office/2011/relationships/chartStyle" Target="style23.xml"/></Relationships>
</file>

<file path=word/charts/_rels/chart28.xml.rels><?xml version="1.0" encoding="UTF-8" standalone="yes"?>
<Relationships xmlns="http://schemas.openxmlformats.org/package/2006/relationships"><Relationship Id="rId3" Type="http://schemas.openxmlformats.org/officeDocument/2006/relationships/oleObject" Target="file:///D:\Zilina%20nemocnica\DRG%20d&#225;ta%20&#381;SK\def%20DRG\FNZA_Odbornosti_16012023.xlsx" TargetMode="External"/><Relationship Id="rId2" Type="http://schemas.microsoft.com/office/2011/relationships/chartColorStyle" Target="colors24.xml"/><Relationship Id="rId1" Type="http://schemas.microsoft.com/office/2011/relationships/chartStyle" Target="style24.xml"/></Relationships>
</file>

<file path=word/charts/_rels/chart29.xml.rels><?xml version="1.0" encoding="UTF-8" standalone="yes"?>
<Relationships xmlns="http://schemas.openxmlformats.org/package/2006/relationships"><Relationship Id="rId1" Type="http://schemas.openxmlformats.org/officeDocument/2006/relationships/oleObject" Target="file:///C:\Users\janov\OneDrive\Desktop\FNsP%20Pre&#353;ov,%20&#381;ilina\REALIZ&#193;CIA%20&#381;ILINA\Finaliz&#225;cia_marec%202023\Doplnen&#233;%20dokumenty%20Hochel\FNZA_Odbornosti_16012023.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Zilina%20nemocnica\DRG%20d&#225;ta%20&#381;SK\def%20DRG\FNZA_Odbornosti_16012023.xlsx" TargetMode="External"/><Relationship Id="rId2" Type="http://schemas.microsoft.com/office/2011/relationships/chartColorStyle" Target="colors25.xml"/><Relationship Id="rId1" Type="http://schemas.microsoft.com/office/2011/relationships/chartStyle" Target="style25.xml"/></Relationships>
</file>

<file path=word/charts/_rels/chart4.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Zilina%20nemocnica\&#353;tatistiky%20k%20dostavb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Pôrody v Žilinskom samosprávnom kraji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novorod!$A$30</c:f>
              <c:strCache>
                <c:ptCount val="1"/>
                <c:pt idx="0">
                  <c:v>Pôrody ŽSK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novorod!$B$29:$M$29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novorod!$B$30:$M$30</c:f>
              <c:numCache>
                <c:formatCode>#,##0</c:formatCode>
                <c:ptCount val="12"/>
                <c:pt idx="0">
                  <c:v>7198</c:v>
                </c:pt>
                <c:pt idx="1">
                  <c:v>7220</c:v>
                </c:pt>
                <c:pt idx="2">
                  <c:v>7528</c:v>
                </c:pt>
                <c:pt idx="3">
                  <c:v>7055</c:v>
                </c:pt>
                <c:pt idx="4">
                  <c:v>6883</c:v>
                </c:pt>
                <c:pt idx="5">
                  <c:v>7018</c:v>
                </c:pt>
                <c:pt idx="6">
                  <c:v>7080</c:v>
                </c:pt>
                <c:pt idx="7">
                  <c:v>7038</c:v>
                </c:pt>
                <c:pt idx="8">
                  <c:v>7097</c:v>
                </c:pt>
                <c:pt idx="9">
                  <c:v>7016</c:v>
                </c:pt>
                <c:pt idx="10">
                  <c:v>6799</c:v>
                </c:pt>
                <c:pt idx="11">
                  <c:v>6806</c:v>
                </c:pt>
              </c:numCache>
            </c:numRef>
          </c:val>
          <c:smooth val="0"/>
          <c:extLst>
            <c:ext xmlns:c16="http://schemas.microsoft.com/office/drawing/2014/chart" uri="{C3380CC4-5D6E-409C-BE32-E72D297353CC}">
              <c16:uniqueId val="{00000000-6352-4B3E-B5F0-3FA8E41C6B67}"/>
            </c:ext>
          </c:extLst>
        </c:ser>
        <c:dLbls>
          <c:showLegendKey val="0"/>
          <c:showVal val="0"/>
          <c:showCatName val="0"/>
          <c:showSerName val="0"/>
          <c:showPercent val="0"/>
          <c:showBubbleSize val="0"/>
        </c:dLbls>
        <c:marker val="1"/>
        <c:smooth val="0"/>
        <c:axId val="615622336"/>
        <c:axId val="615618376"/>
      </c:lineChart>
      <c:catAx>
        <c:axId val="61562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15618376"/>
        <c:crosses val="autoZero"/>
        <c:auto val="1"/>
        <c:lblAlgn val="ctr"/>
        <c:lblOffset val="100"/>
        <c:noMultiLvlLbl val="0"/>
      </c:catAx>
      <c:valAx>
        <c:axId val="615618376"/>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15622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Počet hospitalizácií - vybrané</a:t>
            </a:r>
            <a:r>
              <a:rPr lang="sk-SK" sz="1300" b="1" baseline="0">
                <a:latin typeface="Century Gothic" panose="020B0502020202020204" pitchFamily="34" charset="0"/>
              </a:rPr>
              <a:t> nechir. odbory</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'počet hosp'!$A$43</c:f>
              <c:strCache>
                <c:ptCount val="1"/>
                <c:pt idx="0">
                  <c:v>vnútorné lekárstvo</c:v>
                </c:pt>
              </c:strCache>
            </c:strRef>
          </c:tx>
          <c:spPr>
            <a:solidFill>
              <a:schemeClr val="accent1"/>
            </a:solidFill>
            <a:ln>
              <a:noFill/>
            </a:ln>
            <a:effectLst/>
          </c:spPr>
          <c:invertIfNegative val="0"/>
          <c:cat>
            <c:numRef>
              <c:f>'počet hosp'!$B$42:$N$42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hosp'!$B$43:$N$43</c:f>
              <c:numCache>
                <c:formatCode>General</c:formatCode>
                <c:ptCount val="13"/>
                <c:pt idx="0">
                  <c:v>3708.5</c:v>
                </c:pt>
                <c:pt idx="1">
                  <c:v>4336</c:v>
                </c:pt>
                <c:pt idx="2">
                  <c:v>4564</c:v>
                </c:pt>
                <c:pt idx="3">
                  <c:v>4888.5</c:v>
                </c:pt>
                <c:pt idx="4">
                  <c:v>5471</c:v>
                </c:pt>
                <c:pt idx="5">
                  <c:v>5181.5</c:v>
                </c:pt>
                <c:pt idx="6">
                  <c:v>5036.5</c:v>
                </c:pt>
                <c:pt idx="7">
                  <c:v>5220.5</c:v>
                </c:pt>
                <c:pt idx="8">
                  <c:v>5605.5</c:v>
                </c:pt>
                <c:pt idx="9">
                  <c:v>5664.5</c:v>
                </c:pt>
                <c:pt idx="10">
                  <c:v>5826</c:v>
                </c:pt>
                <c:pt idx="11">
                  <c:v>7080.5</c:v>
                </c:pt>
                <c:pt idx="12">
                  <c:v>6606</c:v>
                </c:pt>
              </c:numCache>
            </c:numRef>
          </c:val>
          <c:extLst>
            <c:ext xmlns:c16="http://schemas.microsoft.com/office/drawing/2014/chart" uri="{C3380CC4-5D6E-409C-BE32-E72D297353CC}">
              <c16:uniqueId val="{00000000-E464-4A70-A595-6386F5EA809B}"/>
            </c:ext>
          </c:extLst>
        </c:ser>
        <c:ser>
          <c:idx val="1"/>
          <c:order val="1"/>
          <c:tx>
            <c:strRef>
              <c:f>'počet hosp'!$A$44</c:f>
              <c:strCache>
                <c:ptCount val="1"/>
                <c:pt idx="0">
                  <c:v>neurológia</c:v>
                </c:pt>
              </c:strCache>
            </c:strRef>
          </c:tx>
          <c:spPr>
            <a:solidFill>
              <a:schemeClr val="accent2"/>
            </a:solidFill>
            <a:ln>
              <a:noFill/>
            </a:ln>
            <a:effectLst/>
          </c:spPr>
          <c:invertIfNegative val="0"/>
          <c:cat>
            <c:numRef>
              <c:f>'počet hosp'!$B$42:$N$42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hosp'!$B$44:$N$44</c:f>
              <c:numCache>
                <c:formatCode>General</c:formatCode>
                <c:ptCount val="13"/>
                <c:pt idx="0">
                  <c:v>1358</c:v>
                </c:pt>
                <c:pt idx="1">
                  <c:v>1322</c:v>
                </c:pt>
                <c:pt idx="2">
                  <c:v>1361</c:v>
                </c:pt>
                <c:pt idx="3">
                  <c:v>1463</c:v>
                </c:pt>
                <c:pt idx="4">
                  <c:v>1584.5</c:v>
                </c:pt>
                <c:pt idx="5">
                  <c:v>1518</c:v>
                </c:pt>
                <c:pt idx="6">
                  <c:v>1488.5</c:v>
                </c:pt>
                <c:pt idx="7">
                  <c:v>1596</c:v>
                </c:pt>
                <c:pt idx="8">
                  <c:v>1767</c:v>
                </c:pt>
                <c:pt idx="9">
                  <c:v>1108</c:v>
                </c:pt>
                <c:pt idx="10">
                  <c:v>1749.5</c:v>
                </c:pt>
                <c:pt idx="11">
                  <c:v>1608.5</c:v>
                </c:pt>
                <c:pt idx="12">
                  <c:v>1746.5</c:v>
                </c:pt>
              </c:numCache>
            </c:numRef>
          </c:val>
          <c:extLst>
            <c:ext xmlns:c16="http://schemas.microsoft.com/office/drawing/2014/chart" uri="{C3380CC4-5D6E-409C-BE32-E72D297353CC}">
              <c16:uniqueId val="{00000001-E464-4A70-A595-6386F5EA809B}"/>
            </c:ext>
          </c:extLst>
        </c:ser>
        <c:ser>
          <c:idx val="2"/>
          <c:order val="2"/>
          <c:tx>
            <c:strRef>
              <c:f>'počet hosp'!$A$45</c:f>
              <c:strCache>
                <c:ptCount val="1"/>
                <c:pt idx="0">
                  <c:v>radiačná onkológia</c:v>
                </c:pt>
              </c:strCache>
            </c:strRef>
          </c:tx>
          <c:spPr>
            <a:solidFill>
              <a:schemeClr val="accent3"/>
            </a:solidFill>
            <a:ln>
              <a:noFill/>
            </a:ln>
            <a:effectLst/>
          </c:spPr>
          <c:invertIfNegative val="0"/>
          <c:cat>
            <c:numRef>
              <c:f>'počet hosp'!$B$42:$N$42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hosp'!$B$45:$N$45</c:f>
              <c:numCache>
                <c:formatCode>General</c:formatCode>
                <c:ptCount val="13"/>
                <c:pt idx="0">
                  <c:v>928.5</c:v>
                </c:pt>
                <c:pt idx="1">
                  <c:v>968</c:v>
                </c:pt>
                <c:pt idx="2">
                  <c:v>949.5</c:v>
                </c:pt>
                <c:pt idx="3">
                  <c:v>989</c:v>
                </c:pt>
                <c:pt idx="4">
                  <c:v>1070.5</c:v>
                </c:pt>
                <c:pt idx="5">
                  <c:v>1105</c:v>
                </c:pt>
                <c:pt idx="6">
                  <c:v>1124.5</c:v>
                </c:pt>
                <c:pt idx="7">
                  <c:v>1112</c:v>
                </c:pt>
                <c:pt idx="8">
                  <c:v>1058</c:v>
                </c:pt>
                <c:pt idx="9">
                  <c:v>1264</c:v>
                </c:pt>
                <c:pt idx="10">
                  <c:v>1282</c:v>
                </c:pt>
                <c:pt idx="11">
                  <c:v>1568</c:v>
                </c:pt>
                <c:pt idx="12">
                  <c:v>1476</c:v>
                </c:pt>
              </c:numCache>
            </c:numRef>
          </c:val>
          <c:extLst>
            <c:ext xmlns:c16="http://schemas.microsoft.com/office/drawing/2014/chart" uri="{C3380CC4-5D6E-409C-BE32-E72D297353CC}">
              <c16:uniqueId val="{00000002-E464-4A70-A595-6386F5EA809B}"/>
            </c:ext>
          </c:extLst>
        </c:ser>
        <c:dLbls>
          <c:showLegendKey val="0"/>
          <c:showVal val="0"/>
          <c:showCatName val="0"/>
          <c:showSerName val="0"/>
          <c:showPercent val="0"/>
          <c:showBubbleSize val="0"/>
        </c:dLbls>
        <c:gapWidth val="150"/>
        <c:axId val="580797376"/>
        <c:axId val="580793768"/>
      </c:barChart>
      <c:catAx>
        <c:axId val="58079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80793768"/>
        <c:crosses val="autoZero"/>
        <c:auto val="1"/>
        <c:lblAlgn val="ctr"/>
        <c:lblOffset val="100"/>
        <c:noMultiLvlLbl val="0"/>
      </c:catAx>
      <c:valAx>
        <c:axId val="58079376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8079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Dlhodobá (následná) starostlivosť</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stacked"/>
        <c:varyColors val="0"/>
        <c:ser>
          <c:idx val="0"/>
          <c:order val="0"/>
          <c:tx>
            <c:strRef>
              <c:f>'počet hosp'!$A$50</c:f>
              <c:strCache>
                <c:ptCount val="1"/>
                <c:pt idx="0">
                  <c:v>dlhodobo chorých</c:v>
                </c:pt>
              </c:strCache>
            </c:strRef>
          </c:tx>
          <c:spPr>
            <a:solidFill>
              <a:schemeClr val="accent1"/>
            </a:solidFill>
            <a:ln>
              <a:noFill/>
            </a:ln>
            <a:effectLst/>
          </c:spPr>
          <c:invertIfNegative val="0"/>
          <c:cat>
            <c:numRef>
              <c:f>'počet hosp'!$B$49:$N$49</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hosp'!$B$50:$N$50</c:f>
              <c:numCache>
                <c:formatCode>General</c:formatCode>
                <c:ptCount val="13"/>
                <c:pt idx="0">
                  <c:v>1010</c:v>
                </c:pt>
                <c:pt idx="1">
                  <c:v>1023</c:v>
                </c:pt>
                <c:pt idx="2">
                  <c:v>994.5</c:v>
                </c:pt>
                <c:pt idx="3">
                  <c:v>1199.5</c:v>
                </c:pt>
                <c:pt idx="4">
                  <c:v>1464.5</c:v>
                </c:pt>
                <c:pt idx="5">
                  <c:v>1362.5</c:v>
                </c:pt>
                <c:pt idx="6">
                  <c:v>1316.5</c:v>
                </c:pt>
                <c:pt idx="7">
                  <c:v>1387.5</c:v>
                </c:pt>
                <c:pt idx="8">
                  <c:v>1342</c:v>
                </c:pt>
                <c:pt idx="9">
                  <c:v>1093.5</c:v>
                </c:pt>
                <c:pt idx="10">
                  <c:v>829.5</c:v>
                </c:pt>
                <c:pt idx="11">
                  <c:v>722</c:v>
                </c:pt>
                <c:pt idx="12">
                  <c:v>657.5</c:v>
                </c:pt>
              </c:numCache>
            </c:numRef>
          </c:val>
          <c:extLst>
            <c:ext xmlns:c16="http://schemas.microsoft.com/office/drawing/2014/chart" uri="{C3380CC4-5D6E-409C-BE32-E72D297353CC}">
              <c16:uniqueId val="{00000000-AF0A-4378-97A4-529B6665763E}"/>
            </c:ext>
          </c:extLst>
        </c:ser>
        <c:ser>
          <c:idx val="1"/>
          <c:order val="1"/>
          <c:tx>
            <c:strRef>
              <c:f>'počet hosp'!$A$51</c:f>
              <c:strCache>
                <c:ptCount val="1"/>
                <c:pt idx="0">
                  <c:v>fyziatria, balneológia a liečebná rehabilitácia</c:v>
                </c:pt>
              </c:strCache>
            </c:strRef>
          </c:tx>
          <c:spPr>
            <a:solidFill>
              <a:schemeClr val="accent2"/>
            </a:solidFill>
            <a:ln>
              <a:noFill/>
            </a:ln>
            <a:effectLst/>
          </c:spPr>
          <c:invertIfNegative val="0"/>
          <c:cat>
            <c:numRef>
              <c:f>'počet hosp'!$B$49:$N$49</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hosp'!$B$51:$N$51</c:f>
              <c:numCache>
                <c:formatCode>General</c:formatCode>
                <c:ptCount val="13"/>
                <c:pt idx="0">
                  <c:v>0</c:v>
                </c:pt>
                <c:pt idx="1">
                  <c:v>0</c:v>
                </c:pt>
                <c:pt idx="2">
                  <c:v>0</c:v>
                </c:pt>
                <c:pt idx="3">
                  <c:v>0</c:v>
                </c:pt>
                <c:pt idx="4">
                  <c:v>0</c:v>
                </c:pt>
                <c:pt idx="5">
                  <c:v>0</c:v>
                </c:pt>
                <c:pt idx="6">
                  <c:v>318</c:v>
                </c:pt>
                <c:pt idx="7">
                  <c:v>628</c:v>
                </c:pt>
                <c:pt idx="8">
                  <c:v>663</c:v>
                </c:pt>
                <c:pt idx="9">
                  <c:v>598.5</c:v>
                </c:pt>
                <c:pt idx="10">
                  <c:v>223</c:v>
                </c:pt>
                <c:pt idx="11">
                  <c:v>0</c:v>
                </c:pt>
                <c:pt idx="12">
                  <c:v>0</c:v>
                </c:pt>
              </c:numCache>
            </c:numRef>
          </c:val>
          <c:extLst>
            <c:ext xmlns:c16="http://schemas.microsoft.com/office/drawing/2014/chart" uri="{C3380CC4-5D6E-409C-BE32-E72D297353CC}">
              <c16:uniqueId val="{00000001-AF0A-4378-97A4-529B6665763E}"/>
            </c:ext>
          </c:extLst>
        </c:ser>
        <c:ser>
          <c:idx val="2"/>
          <c:order val="2"/>
          <c:tx>
            <c:strRef>
              <c:f>'počet hosp'!$A$52</c:f>
              <c:strCache>
                <c:ptCount val="1"/>
                <c:pt idx="0">
                  <c:v>ústavná ošetrovateľská starostlivosť</c:v>
                </c:pt>
              </c:strCache>
            </c:strRef>
          </c:tx>
          <c:spPr>
            <a:solidFill>
              <a:schemeClr val="accent3"/>
            </a:solidFill>
            <a:ln>
              <a:noFill/>
            </a:ln>
            <a:effectLst/>
          </c:spPr>
          <c:invertIfNegative val="0"/>
          <c:cat>
            <c:numRef>
              <c:f>'počet hosp'!$B$49:$N$49</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hosp'!$B$52:$N$52</c:f>
              <c:numCache>
                <c:formatCode>General</c:formatCode>
                <c:ptCount val="13"/>
                <c:pt idx="0">
                  <c:v>0</c:v>
                </c:pt>
                <c:pt idx="1">
                  <c:v>0</c:v>
                </c:pt>
                <c:pt idx="2">
                  <c:v>0</c:v>
                </c:pt>
                <c:pt idx="3">
                  <c:v>0</c:v>
                </c:pt>
                <c:pt idx="4">
                  <c:v>0</c:v>
                </c:pt>
                <c:pt idx="5">
                  <c:v>0</c:v>
                </c:pt>
                <c:pt idx="6">
                  <c:v>0</c:v>
                </c:pt>
                <c:pt idx="7">
                  <c:v>0</c:v>
                </c:pt>
                <c:pt idx="8">
                  <c:v>0</c:v>
                </c:pt>
                <c:pt idx="9">
                  <c:v>236.5</c:v>
                </c:pt>
                <c:pt idx="10">
                  <c:v>69.5</c:v>
                </c:pt>
                <c:pt idx="11">
                  <c:v>0</c:v>
                </c:pt>
                <c:pt idx="12">
                  <c:v>20.5</c:v>
                </c:pt>
              </c:numCache>
            </c:numRef>
          </c:val>
          <c:extLst>
            <c:ext xmlns:c16="http://schemas.microsoft.com/office/drawing/2014/chart" uri="{C3380CC4-5D6E-409C-BE32-E72D297353CC}">
              <c16:uniqueId val="{00000002-AF0A-4378-97A4-529B6665763E}"/>
            </c:ext>
          </c:extLst>
        </c:ser>
        <c:dLbls>
          <c:showLegendKey val="0"/>
          <c:showVal val="0"/>
          <c:showCatName val="0"/>
          <c:showSerName val="0"/>
          <c:showPercent val="0"/>
          <c:showBubbleSize val="0"/>
        </c:dLbls>
        <c:gapWidth val="219"/>
        <c:overlap val="100"/>
        <c:axId val="535717256"/>
        <c:axId val="535714304"/>
      </c:barChart>
      <c:catAx>
        <c:axId val="535717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35714304"/>
        <c:crosses val="autoZero"/>
        <c:auto val="1"/>
        <c:lblAlgn val="ctr"/>
        <c:lblOffset val="100"/>
        <c:noMultiLvlLbl val="0"/>
      </c:catAx>
      <c:valAx>
        <c:axId val="535714304"/>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35717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Počet hospitalizácií - hlavné chirurgické odbory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'počet hosp'!$A$68</c:f>
              <c:strCache>
                <c:ptCount val="1"/>
                <c:pt idx="0">
                  <c:v>chirurgia</c:v>
                </c:pt>
              </c:strCache>
            </c:strRef>
          </c:tx>
          <c:spPr>
            <a:solidFill>
              <a:schemeClr val="accent1"/>
            </a:solidFill>
            <a:ln>
              <a:noFill/>
            </a:ln>
            <a:effectLst/>
          </c:spPr>
          <c:invertIfNegative val="0"/>
          <c:cat>
            <c:numRef>
              <c:f>'počet hosp'!$B$67:$N$67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hosp'!$B$68:$N$68</c:f>
              <c:numCache>
                <c:formatCode>General</c:formatCode>
                <c:ptCount val="13"/>
                <c:pt idx="0">
                  <c:v>2928.5</c:v>
                </c:pt>
                <c:pt idx="1">
                  <c:v>2859.5</c:v>
                </c:pt>
                <c:pt idx="2">
                  <c:v>2892.5</c:v>
                </c:pt>
                <c:pt idx="3">
                  <c:v>2831.5</c:v>
                </c:pt>
                <c:pt idx="4">
                  <c:v>3135.5</c:v>
                </c:pt>
                <c:pt idx="5">
                  <c:v>2963</c:v>
                </c:pt>
                <c:pt idx="6">
                  <c:v>3158.5</c:v>
                </c:pt>
                <c:pt idx="7">
                  <c:v>3085</c:v>
                </c:pt>
                <c:pt idx="8">
                  <c:v>2988</c:v>
                </c:pt>
                <c:pt idx="9">
                  <c:v>3211.5</c:v>
                </c:pt>
                <c:pt idx="10">
                  <c:v>4047.5</c:v>
                </c:pt>
                <c:pt idx="11">
                  <c:v>4633.5</c:v>
                </c:pt>
                <c:pt idx="12">
                  <c:v>7003</c:v>
                </c:pt>
              </c:numCache>
            </c:numRef>
          </c:val>
          <c:extLst>
            <c:ext xmlns:c16="http://schemas.microsoft.com/office/drawing/2014/chart" uri="{C3380CC4-5D6E-409C-BE32-E72D297353CC}">
              <c16:uniqueId val="{00000000-9591-4274-AFBC-BCA714016362}"/>
            </c:ext>
          </c:extLst>
        </c:ser>
        <c:ser>
          <c:idx val="1"/>
          <c:order val="1"/>
          <c:tx>
            <c:strRef>
              <c:f>'počet hosp'!$A$69</c:f>
              <c:strCache>
                <c:ptCount val="1"/>
                <c:pt idx="0">
                  <c:v> ortopédia</c:v>
                </c:pt>
              </c:strCache>
            </c:strRef>
          </c:tx>
          <c:spPr>
            <a:solidFill>
              <a:schemeClr val="accent2"/>
            </a:solidFill>
            <a:ln>
              <a:noFill/>
            </a:ln>
            <a:effectLst/>
          </c:spPr>
          <c:invertIfNegative val="0"/>
          <c:cat>
            <c:numRef>
              <c:f>'počet hosp'!$B$67:$N$67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hosp'!$B$69:$N$69</c:f>
              <c:numCache>
                <c:formatCode>General</c:formatCode>
                <c:ptCount val="13"/>
                <c:pt idx="0">
                  <c:v>1031</c:v>
                </c:pt>
                <c:pt idx="1">
                  <c:v>1010.5</c:v>
                </c:pt>
                <c:pt idx="2">
                  <c:v>1116</c:v>
                </c:pt>
                <c:pt idx="3">
                  <c:v>1183</c:v>
                </c:pt>
                <c:pt idx="4">
                  <c:v>1237</c:v>
                </c:pt>
                <c:pt idx="5">
                  <c:v>1120.5</c:v>
                </c:pt>
                <c:pt idx="6">
                  <c:v>1119</c:v>
                </c:pt>
                <c:pt idx="7">
                  <c:v>1157</c:v>
                </c:pt>
                <c:pt idx="8">
                  <c:v>1075.5</c:v>
                </c:pt>
                <c:pt idx="9">
                  <c:v>1197.5</c:v>
                </c:pt>
                <c:pt idx="10">
                  <c:v>1778</c:v>
                </c:pt>
                <c:pt idx="11">
                  <c:v>1048</c:v>
                </c:pt>
                <c:pt idx="12">
                  <c:v>1989</c:v>
                </c:pt>
              </c:numCache>
            </c:numRef>
          </c:val>
          <c:extLst>
            <c:ext xmlns:c16="http://schemas.microsoft.com/office/drawing/2014/chart" uri="{C3380CC4-5D6E-409C-BE32-E72D297353CC}">
              <c16:uniqueId val="{00000001-9591-4274-AFBC-BCA714016362}"/>
            </c:ext>
          </c:extLst>
        </c:ser>
        <c:ser>
          <c:idx val="2"/>
          <c:order val="2"/>
          <c:tx>
            <c:strRef>
              <c:f>'počet hosp'!$A$70</c:f>
              <c:strCache>
                <c:ptCount val="1"/>
                <c:pt idx="0">
                  <c:v>urológia</c:v>
                </c:pt>
              </c:strCache>
            </c:strRef>
          </c:tx>
          <c:spPr>
            <a:solidFill>
              <a:schemeClr val="accent3"/>
            </a:solidFill>
            <a:ln>
              <a:noFill/>
            </a:ln>
            <a:effectLst/>
          </c:spPr>
          <c:invertIfNegative val="0"/>
          <c:cat>
            <c:numRef>
              <c:f>'počet hosp'!$B$67:$N$67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hosp'!$B$70:$N$70</c:f>
              <c:numCache>
                <c:formatCode>General</c:formatCode>
                <c:ptCount val="13"/>
                <c:pt idx="0">
                  <c:v>1790.5</c:v>
                </c:pt>
                <c:pt idx="1">
                  <c:v>1820</c:v>
                </c:pt>
                <c:pt idx="2">
                  <c:v>1966</c:v>
                </c:pt>
                <c:pt idx="3">
                  <c:v>2023.5</c:v>
                </c:pt>
                <c:pt idx="4">
                  <c:v>1651</c:v>
                </c:pt>
                <c:pt idx="5">
                  <c:v>1501</c:v>
                </c:pt>
                <c:pt idx="6">
                  <c:v>1558.5</c:v>
                </c:pt>
                <c:pt idx="7">
                  <c:v>1556.5</c:v>
                </c:pt>
                <c:pt idx="8">
                  <c:v>1704</c:v>
                </c:pt>
                <c:pt idx="9">
                  <c:v>1828</c:v>
                </c:pt>
                <c:pt idx="10">
                  <c:v>2214.5</c:v>
                </c:pt>
                <c:pt idx="11">
                  <c:v>1683.5</c:v>
                </c:pt>
                <c:pt idx="12">
                  <c:v>2243.5</c:v>
                </c:pt>
              </c:numCache>
            </c:numRef>
          </c:val>
          <c:extLst>
            <c:ext xmlns:c16="http://schemas.microsoft.com/office/drawing/2014/chart" uri="{C3380CC4-5D6E-409C-BE32-E72D297353CC}">
              <c16:uniqueId val="{00000002-9591-4274-AFBC-BCA714016362}"/>
            </c:ext>
          </c:extLst>
        </c:ser>
        <c:ser>
          <c:idx val="3"/>
          <c:order val="3"/>
          <c:tx>
            <c:strRef>
              <c:f>'počet hosp'!$A$71</c:f>
              <c:strCache>
                <c:ptCount val="1"/>
                <c:pt idx="0">
                  <c:v>úrazová chirurgia</c:v>
                </c:pt>
              </c:strCache>
            </c:strRef>
          </c:tx>
          <c:spPr>
            <a:solidFill>
              <a:schemeClr val="accent4"/>
            </a:solidFill>
            <a:ln>
              <a:noFill/>
            </a:ln>
            <a:effectLst/>
          </c:spPr>
          <c:invertIfNegative val="0"/>
          <c:cat>
            <c:numRef>
              <c:f>'počet hosp'!$B$67:$N$67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hosp'!$B$71:$N$71</c:f>
              <c:numCache>
                <c:formatCode>General</c:formatCode>
                <c:ptCount val="13"/>
                <c:pt idx="0">
                  <c:v>1777</c:v>
                </c:pt>
                <c:pt idx="1">
                  <c:v>1846</c:v>
                </c:pt>
                <c:pt idx="2">
                  <c:v>1904.5</c:v>
                </c:pt>
                <c:pt idx="3">
                  <c:v>2071</c:v>
                </c:pt>
                <c:pt idx="4">
                  <c:v>1613.5</c:v>
                </c:pt>
                <c:pt idx="5">
                  <c:v>1875.5</c:v>
                </c:pt>
                <c:pt idx="6">
                  <c:v>1792</c:v>
                </c:pt>
                <c:pt idx="7">
                  <c:v>1842.5</c:v>
                </c:pt>
                <c:pt idx="8">
                  <c:v>1743</c:v>
                </c:pt>
                <c:pt idx="9">
                  <c:v>1822.5</c:v>
                </c:pt>
                <c:pt idx="10">
                  <c:v>2034.5</c:v>
                </c:pt>
                <c:pt idx="11">
                  <c:v>2044.5</c:v>
                </c:pt>
                <c:pt idx="12">
                  <c:v>2216.5</c:v>
                </c:pt>
              </c:numCache>
            </c:numRef>
          </c:val>
          <c:extLst>
            <c:ext xmlns:c16="http://schemas.microsoft.com/office/drawing/2014/chart" uri="{C3380CC4-5D6E-409C-BE32-E72D297353CC}">
              <c16:uniqueId val="{00000003-9591-4274-AFBC-BCA714016362}"/>
            </c:ext>
          </c:extLst>
        </c:ser>
        <c:ser>
          <c:idx val="4"/>
          <c:order val="4"/>
          <c:tx>
            <c:strRef>
              <c:f>'počet hosp'!$A$72</c:f>
              <c:strCache>
                <c:ptCount val="1"/>
                <c:pt idx="0">
                  <c:v>neurochirurgia</c:v>
                </c:pt>
              </c:strCache>
            </c:strRef>
          </c:tx>
          <c:spPr>
            <a:solidFill>
              <a:schemeClr val="accent5"/>
            </a:solidFill>
            <a:ln>
              <a:noFill/>
            </a:ln>
            <a:effectLst/>
          </c:spPr>
          <c:invertIfNegative val="0"/>
          <c:cat>
            <c:numRef>
              <c:f>'počet hosp'!$B$67:$N$67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hosp'!$B$72:$N$72</c:f>
              <c:numCache>
                <c:formatCode>General</c:formatCode>
                <c:ptCount val="13"/>
                <c:pt idx="0">
                  <c:v>1048.5</c:v>
                </c:pt>
                <c:pt idx="1">
                  <c:v>1047.5</c:v>
                </c:pt>
                <c:pt idx="2">
                  <c:v>1043.5</c:v>
                </c:pt>
                <c:pt idx="3">
                  <c:v>1113</c:v>
                </c:pt>
                <c:pt idx="4">
                  <c:v>1090</c:v>
                </c:pt>
                <c:pt idx="5">
                  <c:v>992.5</c:v>
                </c:pt>
                <c:pt idx="6">
                  <c:v>957</c:v>
                </c:pt>
                <c:pt idx="7">
                  <c:v>1326</c:v>
                </c:pt>
                <c:pt idx="8">
                  <c:v>1314</c:v>
                </c:pt>
                <c:pt idx="9">
                  <c:v>1301.5</c:v>
                </c:pt>
                <c:pt idx="10">
                  <c:v>1355.5</c:v>
                </c:pt>
                <c:pt idx="11">
                  <c:v>1071</c:v>
                </c:pt>
                <c:pt idx="12">
                  <c:v>1335.5</c:v>
                </c:pt>
              </c:numCache>
            </c:numRef>
          </c:val>
          <c:extLst>
            <c:ext xmlns:c16="http://schemas.microsoft.com/office/drawing/2014/chart" uri="{C3380CC4-5D6E-409C-BE32-E72D297353CC}">
              <c16:uniqueId val="{00000004-9591-4274-AFBC-BCA714016362}"/>
            </c:ext>
          </c:extLst>
        </c:ser>
        <c:dLbls>
          <c:showLegendKey val="0"/>
          <c:showVal val="0"/>
          <c:showCatName val="0"/>
          <c:showSerName val="0"/>
          <c:showPercent val="0"/>
          <c:showBubbleSize val="0"/>
        </c:dLbls>
        <c:gapWidth val="219"/>
        <c:overlap val="-27"/>
        <c:axId val="696359552"/>
        <c:axId val="696360208"/>
      </c:barChart>
      <c:catAx>
        <c:axId val="69635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96360208"/>
        <c:crosses val="autoZero"/>
        <c:auto val="1"/>
        <c:lblAlgn val="ctr"/>
        <c:lblOffset val="100"/>
        <c:noMultiLvlLbl val="0"/>
      </c:catAx>
      <c:valAx>
        <c:axId val="69636020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9635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Priemerná</a:t>
            </a:r>
            <a:r>
              <a:rPr lang="sk-SK" sz="1300" b="1" baseline="0">
                <a:latin typeface="Century Gothic" panose="020B0502020202020204" pitchFamily="34" charset="0"/>
              </a:rPr>
              <a:t> ošetrovacia doba - chir. odbory</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ALOS!$A$49</c:f>
              <c:strCache>
                <c:ptCount val="1"/>
                <c:pt idx="0">
                  <c:v>chirurgia</c:v>
                </c:pt>
              </c:strCache>
            </c:strRef>
          </c:tx>
          <c:spPr>
            <a:ln w="28575" cap="rnd">
              <a:solidFill>
                <a:schemeClr val="accent1"/>
              </a:solidFill>
              <a:round/>
            </a:ln>
            <a:effectLst/>
          </c:spPr>
          <c:marker>
            <c:symbol val="none"/>
          </c:marker>
          <c:cat>
            <c:numRef>
              <c:f>ALOS!$B$48:$N$48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ALOS!$B$49:$N$49</c:f>
              <c:numCache>
                <c:formatCode>0.0</c:formatCode>
                <c:ptCount val="13"/>
                <c:pt idx="0">
                  <c:v>5.9877070172443227</c:v>
                </c:pt>
                <c:pt idx="1">
                  <c:v>5.8310893512851898</c:v>
                </c:pt>
                <c:pt idx="2">
                  <c:v>5.5878997407087292</c:v>
                </c:pt>
                <c:pt idx="3">
                  <c:v>5.0732827123432811</c:v>
                </c:pt>
                <c:pt idx="4">
                  <c:v>4.8473927603253069</c:v>
                </c:pt>
                <c:pt idx="5">
                  <c:v>5.0614242321970977</c:v>
                </c:pt>
                <c:pt idx="6">
                  <c:v>5.2145005540604714</c:v>
                </c:pt>
                <c:pt idx="7">
                  <c:v>4.7539708265802272</c:v>
                </c:pt>
                <c:pt idx="8">
                  <c:v>5.1623159303882193</c:v>
                </c:pt>
                <c:pt idx="9">
                  <c:v>4.9023820644558613</c:v>
                </c:pt>
                <c:pt idx="10">
                  <c:v>3.5750463248919084</c:v>
                </c:pt>
                <c:pt idx="11" formatCode="General">
                  <c:v>2.9</c:v>
                </c:pt>
                <c:pt idx="12" formatCode="General">
                  <c:v>2.4</c:v>
                </c:pt>
              </c:numCache>
            </c:numRef>
          </c:val>
          <c:smooth val="0"/>
          <c:extLst>
            <c:ext xmlns:c16="http://schemas.microsoft.com/office/drawing/2014/chart" uri="{C3380CC4-5D6E-409C-BE32-E72D297353CC}">
              <c16:uniqueId val="{00000000-6C66-40E8-B99F-2F92FFD1446A}"/>
            </c:ext>
          </c:extLst>
        </c:ser>
        <c:ser>
          <c:idx val="1"/>
          <c:order val="1"/>
          <c:tx>
            <c:strRef>
              <c:f>ALOS!$A$50</c:f>
              <c:strCache>
                <c:ptCount val="1"/>
                <c:pt idx="0">
                  <c:v>ortopédia</c:v>
                </c:pt>
              </c:strCache>
            </c:strRef>
          </c:tx>
          <c:spPr>
            <a:ln w="28575" cap="rnd">
              <a:solidFill>
                <a:schemeClr val="accent2"/>
              </a:solidFill>
              <a:round/>
            </a:ln>
            <a:effectLst/>
          </c:spPr>
          <c:marker>
            <c:symbol val="none"/>
          </c:marker>
          <c:cat>
            <c:numRef>
              <c:f>ALOS!$B$48:$N$48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ALOS!$B$50:$N$50</c:f>
              <c:numCache>
                <c:formatCode>0.0</c:formatCode>
                <c:ptCount val="13"/>
                <c:pt idx="0">
                  <c:v>6.4936954413191073</c:v>
                </c:pt>
                <c:pt idx="1">
                  <c:v>6.1088570014844139</c:v>
                </c:pt>
                <c:pt idx="2">
                  <c:v>6.3163082437275984</c:v>
                </c:pt>
                <c:pt idx="3">
                  <c:v>5.8664412510566359</c:v>
                </c:pt>
                <c:pt idx="4">
                  <c:v>5.3662085691188359</c:v>
                </c:pt>
                <c:pt idx="5">
                  <c:v>5.3663543061133421</c:v>
                </c:pt>
                <c:pt idx="6">
                  <c:v>5.170688114387846</c:v>
                </c:pt>
                <c:pt idx="7">
                  <c:v>5.4183232497839242</c:v>
                </c:pt>
                <c:pt idx="8">
                  <c:v>5.670850767085077</c:v>
                </c:pt>
                <c:pt idx="9">
                  <c:v>4.9102296450939455</c:v>
                </c:pt>
                <c:pt idx="10">
                  <c:v>2.3470191226096739</c:v>
                </c:pt>
                <c:pt idx="11" formatCode="General">
                  <c:v>2.5</c:v>
                </c:pt>
                <c:pt idx="12" formatCode="General">
                  <c:v>2.5</c:v>
                </c:pt>
              </c:numCache>
            </c:numRef>
          </c:val>
          <c:smooth val="0"/>
          <c:extLst>
            <c:ext xmlns:c16="http://schemas.microsoft.com/office/drawing/2014/chart" uri="{C3380CC4-5D6E-409C-BE32-E72D297353CC}">
              <c16:uniqueId val="{00000001-6C66-40E8-B99F-2F92FFD1446A}"/>
            </c:ext>
          </c:extLst>
        </c:ser>
        <c:ser>
          <c:idx val="2"/>
          <c:order val="2"/>
          <c:tx>
            <c:strRef>
              <c:f>ALOS!$A$51</c:f>
              <c:strCache>
                <c:ptCount val="1"/>
                <c:pt idx="0">
                  <c:v>urológia</c:v>
                </c:pt>
              </c:strCache>
            </c:strRef>
          </c:tx>
          <c:spPr>
            <a:ln w="28575" cap="rnd">
              <a:solidFill>
                <a:schemeClr val="accent3"/>
              </a:solidFill>
              <a:round/>
            </a:ln>
            <a:effectLst/>
          </c:spPr>
          <c:marker>
            <c:symbol val="none"/>
          </c:marker>
          <c:cat>
            <c:numRef>
              <c:f>ALOS!$B$48:$N$48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ALOS!$B$51:$N$51</c:f>
              <c:numCache>
                <c:formatCode>0.0</c:formatCode>
                <c:ptCount val="13"/>
                <c:pt idx="0">
                  <c:v>6.4629991622451826</c:v>
                </c:pt>
                <c:pt idx="1">
                  <c:v>6.6906593406593409</c:v>
                </c:pt>
                <c:pt idx="2">
                  <c:v>6.3702950152594102</c:v>
                </c:pt>
                <c:pt idx="3">
                  <c:v>5.7173214726958239</c:v>
                </c:pt>
                <c:pt idx="4">
                  <c:v>6.299818291944276</c:v>
                </c:pt>
                <c:pt idx="5">
                  <c:v>6.7308461025982682</c:v>
                </c:pt>
                <c:pt idx="6">
                  <c:v>6.8219441770933589</c:v>
                </c:pt>
                <c:pt idx="7">
                  <c:v>6.716993254095728</c:v>
                </c:pt>
                <c:pt idx="8">
                  <c:v>6.516431924882629</c:v>
                </c:pt>
                <c:pt idx="9">
                  <c:v>6.1575492341356677</c:v>
                </c:pt>
                <c:pt idx="10">
                  <c:v>3.981034093474825</c:v>
                </c:pt>
                <c:pt idx="11" formatCode="General">
                  <c:v>3.8</c:v>
                </c:pt>
                <c:pt idx="12" formatCode="General">
                  <c:v>4.0999999999999996</c:v>
                </c:pt>
              </c:numCache>
            </c:numRef>
          </c:val>
          <c:smooth val="0"/>
          <c:extLst>
            <c:ext xmlns:c16="http://schemas.microsoft.com/office/drawing/2014/chart" uri="{C3380CC4-5D6E-409C-BE32-E72D297353CC}">
              <c16:uniqueId val="{00000002-6C66-40E8-B99F-2F92FFD1446A}"/>
            </c:ext>
          </c:extLst>
        </c:ser>
        <c:ser>
          <c:idx val="3"/>
          <c:order val="3"/>
          <c:tx>
            <c:strRef>
              <c:f>ALOS!$A$52</c:f>
              <c:strCache>
                <c:ptCount val="1"/>
                <c:pt idx="0">
                  <c:v>úrazová chirurgia</c:v>
                </c:pt>
              </c:strCache>
            </c:strRef>
          </c:tx>
          <c:spPr>
            <a:ln w="28575" cap="rnd">
              <a:solidFill>
                <a:schemeClr val="accent4"/>
              </a:solidFill>
              <a:round/>
            </a:ln>
            <a:effectLst/>
          </c:spPr>
          <c:marker>
            <c:symbol val="none"/>
          </c:marker>
          <c:cat>
            <c:numRef>
              <c:f>ALOS!$B$48:$N$48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ALOS!$B$52:$N$52</c:f>
              <c:numCache>
                <c:formatCode>0.0</c:formatCode>
                <c:ptCount val="13"/>
                <c:pt idx="0">
                  <c:v>6.7546426561620709</c:v>
                </c:pt>
                <c:pt idx="1">
                  <c:v>6.9349945828819068</c:v>
                </c:pt>
                <c:pt idx="2">
                  <c:v>6.5676030454187453</c:v>
                </c:pt>
                <c:pt idx="3">
                  <c:v>6.289715113471753</c:v>
                </c:pt>
                <c:pt idx="4">
                  <c:v>6.9804772234273322</c:v>
                </c:pt>
                <c:pt idx="5">
                  <c:v>6.709677419354839</c:v>
                </c:pt>
                <c:pt idx="6">
                  <c:v>6.6227678571428568</c:v>
                </c:pt>
                <c:pt idx="7">
                  <c:v>6.4662143826322929</c:v>
                </c:pt>
                <c:pt idx="8">
                  <c:v>6.7108433734939759</c:v>
                </c:pt>
                <c:pt idx="9">
                  <c:v>6.201920438957476</c:v>
                </c:pt>
                <c:pt idx="10">
                  <c:v>5.1821086261980831</c:v>
                </c:pt>
                <c:pt idx="11" formatCode="General">
                  <c:v>4.8</c:v>
                </c:pt>
                <c:pt idx="12" formatCode="General">
                  <c:v>5</c:v>
                </c:pt>
              </c:numCache>
            </c:numRef>
          </c:val>
          <c:smooth val="0"/>
          <c:extLst>
            <c:ext xmlns:c16="http://schemas.microsoft.com/office/drawing/2014/chart" uri="{C3380CC4-5D6E-409C-BE32-E72D297353CC}">
              <c16:uniqueId val="{00000003-6C66-40E8-B99F-2F92FFD1446A}"/>
            </c:ext>
          </c:extLst>
        </c:ser>
        <c:ser>
          <c:idx val="4"/>
          <c:order val="4"/>
          <c:tx>
            <c:strRef>
              <c:f>ALOS!$A$53</c:f>
              <c:strCache>
                <c:ptCount val="1"/>
                <c:pt idx="0">
                  <c:v>neurochirurgia</c:v>
                </c:pt>
              </c:strCache>
            </c:strRef>
          </c:tx>
          <c:spPr>
            <a:ln w="28575" cap="rnd">
              <a:solidFill>
                <a:schemeClr val="accent5"/>
              </a:solidFill>
              <a:round/>
            </a:ln>
            <a:effectLst/>
          </c:spPr>
          <c:marker>
            <c:symbol val="none"/>
          </c:marker>
          <c:cat>
            <c:numRef>
              <c:f>ALOS!$B$48:$N$48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ALOS!$B$53:$N$53</c:f>
              <c:numCache>
                <c:formatCode>0.0</c:formatCode>
                <c:ptCount val="13"/>
                <c:pt idx="0">
                  <c:v>8.0362422508345261</c:v>
                </c:pt>
                <c:pt idx="1">
                  <c:v>8.014319809069212</c:v>
                </c:pt>
                <c:pt idx="2">
                  <c:v>8.3507426928605657</c:v>
                </c:pt>
                <c:pt idx="3">
                  <c:v>7.7187780772686434</c:v>
                </c:pt>
                <c:pt idx="4">
                  <c:v>7.5522935779816516</c:v>
                </c:pt>
                <c:pt idx="5">
                  <c:v>8.0584382871536526</c:v>
                </c:pt>
                <c:pt idx="6">
                  <c:v>7.1379310344827589</c:v>
                </c:pt>
                <c:pt idx="7">
                  <c:v>5.6063348416289589</c:v>
                </c:pt>
                <c:pt idx="8">
                  <c:v>5.9391171993911716</c:v>
                </c:pt>
                <c:pt idx="9">
                  <c:v>5.8240491740299651</c:v>
                </c:pt>
                <c:pt idx="10">
                  <c:v>4.356326078937661</c:v>
                </c:pt>
                <c:pt idx="11">
                  <c:v>4</c:v>
                </c:pt>
                <c:pt idx="12">
                  <c:v>4.2</c:v>
                </c:pt>
              </c:numCache>
            </c:numRef>
          </c:val>
          <c:smooth val="0"/>
          <c:extLst>
            <c:ext xmlns:c16="http://schemas.microsoft.com/office/drawing/2014/chart" uri="{C3380CC4-5D6E-409C-BE32-E72D297353CC}">
              <c16:uniqueId val="{00000004-6C66-40E8-B99F-2F92FFD1446A}"/>
            </c:ext>
          </c:extLst>
        </c:ser>
        <c:dLbls>
          <c:showLegendKey val="0"/>
          <c:showVal val="0"/>
          <c:showCatName val="0"/>
          <c:showSerName val="0"/>
          <c:showPercent val="0"/>
          <c:showBubbleSize val="0"/>
        </c:dLbls>
        <c:smooth val="0"/>
        <c:axId val="575036256"/>
        <c:axId val="575036912"/>
      </c:lineChart>
      <c:catAx>
        <c:axId val="57503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75036912"/>
        <c:crosses val="autoZero"/>
        <c:auto val="1"/>
        <c:lblAlgn val="ctr"/>
        <c:lblOffset val="100"/>
        <c:noMultiLvlLbl val="0"/>
      </c:catAx>
      <c:valAx>
        <c:axId val="575036912"/>
        <c:scaling>
          <c:orientation val="minMax"/>
        </c:scaling>
        <c:delete val="0"/>
        <c:axPos val="l"/>
        <c:majorGridlines>
          <c:spPr>
            <a:ln w="9525" cap="flat" cmpd="sng" algn="ctr">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7503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i="0">
                <a:latin typeface="Century Gothic" panose="020B0502020202020204" pitchFamily="34" charset="0"/>
              </a:rPr>
              <a:t>Počet operácií v FNsP</a:t>
            </a:r>
            <a:r>
              <a:rPr lang="sk-SK" sz="1300" b="1" i="0" baseline="0">
                <a:latin typeface="Century Gothic" panose="020B0502020202020204" pitchFamily="34" charset="0"/>
              </a:rPr>
              <a:t> Žilina</a:t>
            </a:r>
            <a:r>
              <a:rPr lang="sk-SK" sz="1300" b="1" i="0">
                <a:latin typeface="Century Gothic" panose="020B0502020202020204" pitchFamily="34" charset="0"/>
              </a:rPr>
              <a:t> </a:t>
            </a:r>
            <a:endParaRPr lang="en-US" sz="1300" b="1" i="0">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operácie!$A$20:$B$20</c:f>
              <c:strCache>
                <c:ptCount val="2"/>
                <c:pt idx="0">
                  <c:v>Celkový súčet</c:v>
                </c:pt>
              </c:strCache>
            </c:strRef>
          </c:tx>
          <c:spPr>
            <a:solidFill>
              <a:schemeClr val="accent1"/>
            </a:solidFill>
            <a:ln>
              <a:noFill/>
            </a:ln>
            <a:effectLst/>
          </c:spPr>
          <c:invertIfNegative val="0"/>
          <c:cat>
            <c:numRef>
              <c:f>operácie!$C$19:$O$19</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operácie!$C$20:$O$20</c:f>
              <c:numCache>
                <c:formatCode>#,##0</c:formatCode>
                <c:ptCount val="13"/>
                <c:pt idx="0">
                  <c:v>13751</c:v>
                </c:pt>
                <c:pt idx="1">
                  <c:v>14339</c:v>
                </c:pt>
                <c:pt idx="2">
                  <c:v>14728</c:v>
                </c:pt>
                <c:pt idx="3">
                  <c:v>15971</c:v>
                </c:pt>
                <c:pt idx="4">
                  <c:v>17089</c:v>
                </c:pt>
                <c:pt idx="5" formatCode="General">
                  <c:v>16391</c:v>
                </c:pt>
                <c:pt idx="6" formatCode="General">
                  <c:v>17176</c:v>
                </c:pt>
                <c:pt idx="7" formatCode="General">
                  <c:v>18203</c:v>
                </c:pt>
                <c:pt idx="8" formatCode="General">
                  <c:v>19338</c:v>
                </c:pt>
                <c:pt idx="9" formatCode="General">
                  <c:v>19926</c:v>
                </c:pt>
                <c:pt idx="10" formatCode="General">
                  <c:v>16661</c:v>
                </c:pt>
                <c:pt idx="11" formatCode="General">
                  <c:v>14959</c:v>
                </c:pt>
                <c:pt idx="12" formatCode="General">
                  <c:v>18030</c:v>
                </c:pt>
              </c:numCache>
            </c:numRef>
          </c:val>
          <c:extLst>
            <c:ext xmlns:c16="http://schemas.microsoft.com/office/drawing/2014/chart" uri="{C3380CC4-5D6E-409C-BE32-E72D297353CC}">
              <c16:uniqueId val="{00000000-E800-464B-AADD-849D3CE3A55C}"/>
            </c:ext>
          </c:extLst>
        </c:ser>
        <c:dLbls>
          <c:showLegendKey val="0"/>
          <c:showVal val="0"/>
          <c:showCatName val="0"/>
          <c:showSerName val="0"/>
          <c:showPercent val="0"/>
          <c:showBubbleSize val="0"/>
        </c:dLbls>
        <c:gapWidth val="150"/>
        <c:axId val="408171696"/>
        <c:axId val="408172024"/>
      </c:barChart>
      <c:catAx>
        <c:axId val="40817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08172024"/>
        <c:crosses val="autoZero"/>
        <c:auto val="1"/>
        <c:lblAlgn val="ctr"/>
        <c:lblOffset val="100"/>
        <c:noMultiLvlLbl val="0"/>
      </c:catAx>
      <c:valAx>
        <c:axId val="40817202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081716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Nárasty</a:t>
            </a:r>
            <a:r>
              <a:rPr lang="sk-SK" sz="1300" b="1" baseline="0">
                <a:latin typeface="Century Gothic" panose="020B0502020202020204" pitchFamily="34" charset="0"/>
              </a:rPr>
              <a:t> počtu operácií</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operácie!$A$25:$B$25</c:f>
              <c:strCache>
                <c:ptCount val="2"/>
                <c:pt idx="1">
                  <c:v>chirurgia</c:v>
                </c:pt>
              </c:strCache>
            </c:strRef>
          </c:tx>
          <c:spPr>
            <a:ln w="28575" cap="rnd">
              <a:solidFill>
                <a:schemeClr val="accent1"/>
              </a:solidFill>
              <a:round/>
            </a:ln>
            <a:effectLst/>
          </c:spPr>
          <c:marker>
            <c:symbol val="none"/>
          </c:marker>
          <c:cat>
            <c:numRef>
              <c:f>operácie!$C$24:$O$24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operácie!$C$25:$O$25</c:f>
              <c:numCache>
                <c:formatCode>#,##0</c:formatCode>
                <c:ptCount val="13"/>
                <c:pt idx="0">
                  <c:v>2860</c:v>
                </c:pt>
                <c:pt idx="1">
                  <c:v>2715</c:v>
                </c:pt>
                <c:pt idx="2">
                  <c:v>2511</c:v>
                </c:pt>
                <c:pt idx="3">
                  <c:v>2502</c:v>
                </c:pt>
                <c:pt idx="4">
                  <c:v>2794</c:v>
                </c:pt>
                <c:pt idx="5" formatCode="General">
                  <c:v>2672</c:v>
                </c:pt>
                <c:pt idx="6" formatCode="General">
                  <c:v>2718</c:v>
                </c:pt>
                <c:pt idx="7" formatCode="General">
                  <c:v>3222</c:v>
                </c:pt>
                <c:pt idx="8" formatCode="General">
                  <c:v>3522</c:v>
                </c:pt>
                <c:pt idx="9" formatCode="General">
                  <c:v>3265</c:v>
                </c:pt>
                <c:pt idx="10" formatCode="General">
                  <c:v>2642</c:v>
                </c:pt>
                <c:pt idx="11" formatCode="General">
                  <c:v>2239</c:v>
                </c:pt>
                <c:pt idx="12" formatCode="General">
                  <c:v>2643</c:v>
                </c:pt>
              </c:numCache>
            </c:numRef>
          </c:val>
          <c:smooth val="0"/>
          <c:extLst>
            <c:ext xmlns:c16="http://schemas.microsoft.com/office/drawing/2014/chart" uri="{C3380CC4-5D6E-409C-BE32-E72D297353CC}">
              <c16:uniqueId val="{00000000-D639-4AE2-A0F1-C48F37634EA1}"/>
            </c:ext>
          </c:extLst>
        </c:ser>
        <c:ser>
          <c:idx val="1"/>
          <c:order val="1"/>
          <c:tx>
            <c:strRef>
              <c:f>operácie!$A$26:$B$26</c:f>
              <c:strCache>
                <c:ptCount val="2"/>
                <c:pt idx="1">
                  <c:v>ortopédia</c:v>
                </c:pt>
              </c:strCache>
            </c:strRef>
          </c:tx>
          <c:spPr>
            <a:ln w="28575" cap="rnd">
              <a:solidFill>
                <a:schemeClr val="accent2"/>
              </a:solidFill>
              <a:round/>
            </a:ln>
            <a:effectLst/>
          </c:spPr>
          <c:marker>
            <c:symbol val="none"/>
          </c:marker>
          <c:cat>
            <c:numRef>
              <c:f>operácie!$C$24:$O$24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operácie!$C$26:$O$26</c:f>
              <c:numCache>
                <c:formatCode>#,##0</c:formatCode>
                <c:ptCount val="13"/>
                <c:pt idx="0">
                  <c:v>969</c:v>
                </c:pt>
                <c:pt idx="1">
                  <c:v>980</c:v>
                </c:pt>
                <c:pt idx="2">
                  <c:v>1068</c:v>
                </c:pt>
                <c:pt idx="3">
                  <c:v>1085</c:v>
                </c:pt>
                <c:pt idx="4">
                  <c:v>1146</c:v>
                </c:pt>
                <c:pt idx="5" formatCode="General">
                  <c:v>1067</c:v>
                </c:pt>
                <c:pt idx="6" formatCode="General">
                  <c:v>1048</c:v>
                </c:pt>
                <c:pt idx="7" formatCode="General">
                  <c:v>1099</c:v>
                </c:pt>
                <c:pt idx="8" formatCode="General">
                  <c:v>1054</c:v>
                </c:pt>
                <c:pt idx="9" formatCode="General">
                  <c:v>1005</c:v>
                </c:pt>
                <c:pt idx="10" formatCode="General">
                  <c:v>704</c:v>
                </c:pt>
                <c:pt idx="11" formatCode="General">
                  <c:v>484</c:v>
                </c:pt>
                <c:pt idx="12" formatCode="General">
                  <c:v>777</c:v>
                </c:pt>
              </c:numCache>
            </c:numRef>
          </c:val>
          <c:smooth val="0"/>
          <c:extLst>
            <c:ext xmlns:c16="http://schemas.microsoft.com/office/drawing/2014/chart" uri="{C3380CC4-5D6E-409C-BE32-E72D297353CC}">
              <c16:uniqueId val="{00000001-D639-4AE2-A0F1-C48F37634EA1}"/>
            </c:ext>
          </c:extLst>
        </c:ser>
        <c:ser>
          <c:idx val="2"/>
          <c:order val="2"/>
          <c:tx>
            <c:strRef>
              <c:f>operácie!$A$27:$B$27</c:f>
              <c:strCache>
                <c:ptCount val="2"/>
                <c:pt idx="1">
                  <c:v>urológia</c:v>
                </c:pt>
              </c:strCache>
            </c:strRef>
          </c:tx>
          <c:spPr>
            <a:ln w="28575" cap="rnd">
              <a:solidFill>
                <a:schemeClr val="accent3"/>
              </a:solidFill>
              <a:round/>
            </a:ln>
            <a:effectLst/>
          </c:spPr>
          <c:marker>
            <c:symbol val="none"/>
          </c:marker>
          <c:cat>
            <c:numRef>
              <c:f>operácie!$C$24:$O$24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operácie!$C$27:$O$27</c:f>
              <c:numCache>
                <c:formatCode>#,##0</c:formatCode>
                <c:ptCount val="13"/>
                <c:pt idx="0">
                  <c:v>1637</c:v>
                </c:pt>
                <c:pt idx="1">
                  <c:v>1867</c:v>
                </c:pt>
                <c:pt idx="2">
                  <c:v>1946</c:v>
                </c:pt>
                <c:pt idx="3">
                  <c:v>2134</c:v>
                </c:pt>
                <c:pt idx="4">
                  <c:v>2461</c:v>
                </c:pt>
                <c:pt idx="5" formatCode="General">
                  <c:v>2505</c:v>
                </c:pt>
                <c:pt idx="6" formatCode="General">
                  <c:v>2729</c:v>
                </c:pt>
                <c:pt idx="7" formatCode="General">
                  <c:v>2804</c:v>
                </c:pt>
                <c:pt idx="8" formatCode="General">
                  <c:v>3083</c:v>
                </c:pt>
                <c:pt idx="9" formatCode="General">
                  <c:v>3389</c:v>
                </c:pt>
                <c:pt idx="10" formatCode="General">
                  <c:v>2962</c:v>
                </c:pt>
                <c:pt idx="11" formatCode="General">
                  <c:v>2678</c:v>
                </c:pt>
                <c:pt idx="12" formatCode="General">
                  <c:v>3567</c:v>
                </c:pt>
              </c:numCache>
            </c:numRef>
          </c:val>
          <c:smooth val="0"/>
          <c:extLst>
            <c:ext xmlns:c16="http://schemas.microsoft.com/office/drawing/2014/chart" uri="{C3380CC4-5D6E-409C-BE32-E72D297353CC}">
              <c16:uniqueId val="{00000002-D639-4AE2-A0F1-C48F37634EA1}"/>
            </c:ext>
          </c:extLst>
        </c:ser>
        <c:ser>
          <c:idx val="3"/>
          <c:order val="3"/>
          <c:tx>
            <c:strRef>
              <c:f>operácie!$A$28:$B$28</c:f>
              <c:strCache>
                <c:ptCount val="2"/>
                <c:pt idx="1">
                  <c:v>úrazová chirurgia</c:v>
                </c:pt>
              </c:strCache>
            </c:strRef>
          </c:tx>
          <c:spPr>
            <a:ln w="28575" cap="rnd">
              <a:solidFill>
                <a:schemeClr val="accent4"/>
              </a:solidFill>
              <a:round/>
            </a:ln>
            <a:effectLst/>
          </c:spPr>
          <c:marker>
            <c:symbol val="none"/>
          </c:marker>
          <c:cat>
            <c:numRef>
              <c:f>operácie!$C$24:$O$24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operácie!$C$28:$O$28</c:f>
              <c:numCache>
                <c:formatCode>#,##0</c:formatCode>
                <c:ptCount val="13"/>
                <c:pt idx="0">
                  <c:v>1320</c:v>
                </c:pt>
                <c:pt idx="1">
                  <c:v>1411</c:v>
                </c:pt>
                <c:pt idx="2">
                  <c:v>1448</c:v>
                </c:pt>
                <c:pt idx="3">
                  <c:v>1568</c:v>
                </c:pt>
                <c:pt idx="4">
                  <c:v>1335</c:v>
                </c:pt>
                <c:pt idx="5" formatCode="General">
                  <c:v>1449</c:v>
                </c:pt>
                <c:pt idx="6" formatCode="General">
                  <c:v>1447</c:v>
                </c:pt>
                <c:pt idx="7" formatCode="General">
                  <c:v>1444</c:v>
                </c:pt>
                <c:pt idx="8" formatCode="General">
                  <c:v>1425</c:v>
                </c:pt>
                <c:pt idx="9" formatCode="General">
                  <c:v>1534</c:v>
                </c:pt>
                <c:pt idx="10" formatCode="General">
                  <c:v>1415</c:v>
                </c:pt>
                <c:pt idx="11" formatCode="General">
                  <c:v>1401</c:v>
                </c:pt>
                <c:pt idx="12" formatCode="General">
                  <c:v>1522</c:v>
                </c:pt>
              </c:numCache>
            </c:numRef>
          </c:val>
          <c:smooth val="0"/>
          <c:extLst>
            <c:ext xmlns:c16="http://schemas.microsoft.com/office/drawing/2014/chart" uri="{C3380CC4-5D6E-409C-BE32-E72D297353CC}">
              <c16:uniqueId val="{00000003-D639-4AE2-A0F1-C48F37634EA1}"/>
            </c:ext>
          </c:extLst>
        </c:ser>
        <c:ser>
          <c:idx val="4"/>
          <c:order val="4"/>
          <c:tx>
            <c:strRef>
              <c:f>operácie!$A$29:$B$29</c:f>
              <c:strCache>
                <c:ptCount val="2"/>
                <c:pt idx="1">
                  <c:v>neurochirurgia</c:v>
                </c:pt>
              </c:strCache>
            </c:strRef>
          </c:tx>
          <c:spPr>
            <a:ln w="28575" cap="rnd">
              <a:solidFill>
                <a:schemeClr val="accent5"/>
              </a:solidFill>
              <a:round/>
            </a:ln>
            <a:effectLst/>
          </c:spPr>
          <c:marker>
            <c:symbol val="none"/>
          </c:marker>
          <c:cat>
            <c:numRef>
              <c:f>operácie!$C$24:$O$24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operácie!$C$29:$O$29</c:f>
              <c:numCache>
                <c:formatCode>#,##0</c:formatCode>
                <c:ptCount val="13"/>
                <c:pt idx="0">
                  <c:v>996</c:v>
                </c:pt>
                <c:pt idx="1">
                  <c:v>1066</c:v>
                </c:pt>
                <c:pt idx="2">
                  <c:v>1077</c:v>
                </c:pt>
                <c:pt idx="3">
                  <c:v>1136</c:v>
                </c:pt>
                <c:pt idx="4">
                  <c:v>1161</c:v>
                </c:pt>
                <c:pt idx="5" formatCode="General">
                  <c:v>1015</c:v>
                </c:pt>
                <c:pt idx="6" formatCode="General">
                  <c:v>894</c:v>
                </c:pt>
                <c:pt idx="7" formatCode="General">
                  <c:v>1108</c:v>
                </c:pt>
                <c:pt idx="8" formatCode="General">
                  <c:v>1160</c:v>
                </c:pt>
                <c:pt idx="9" formatCode="General">
                  <c:v>1124</c:v>
                </c:pt>
                <c:pt idx="10" formatCode="General">
                  <c:v>966</c:v>
                </c:pt>
                <c:pt idx="11" formatCode="General">
                  <c:v>832</c:v>
                </c:pt>
                <c:pt idx="12" formatCode="General">
                  <c:v>1042</c:v>
                </c:pt>
              </c:numCache>
            </c:numRef>
          </c:val>
          <c:smooth val="0"/>
          <c:extLst>
            <c:ext xmlns:c16="http://schemas.microsoft.com/office/drawing/2014/chart" uri="{C3380CC4-5D6E-409C-BE32-E72D297353CC}">
              <c16:uniqueId val="{00000004-D639-4AE2-A0F1-C48F37634EA1}"/>
            </c:ext>
          </c:extLst>
        </c:ser>
        <c:dLbls>
          <c:showLegendKey val="0"/>
          <c:showVal val="0"/>
          <c:showCatName val="0"/>
          <c:showSerName val="0"/>
          <c:showPercent val="0"/>
          <c:showBubbleSize val="0"/>
        </c:dLbls>
        <c:smooth val="0"/>
        <c:axId val="580793112"/>
        <c:axId val="580790160"/>
      </c:lineChart>
      <c:catAx>
        <c:axId val="58079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80790160"/>
        <c:crosses val="autoZero"/>
        <c:auto val="1"/>
        <c:lblAlgn val="ctr"/>
        <c:lblOffset val="100"/>
        <c:noMultiLvlLbl val="0"/>
      </c:catAx>
      <c:valAx>
        <c:axId val="580790160"/>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8079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solidFill>
                  <a:schemeClr val="tx1">
                    <a:lumMod val="65000"/>
                    <a:lumOff val="35000"/>
                  </a:schemeClr>
                </a:solidFill>
                <a:latin typeface="Century Gothic" panose="020B0502020202020204" pitchFamily="34" charset="0"/>
              </a:rPr>
              <a:t>Akútne</a:t>
            </a:r>
            <a:r>
              <a:rPr lang="sk-SK" sz="1300" b="1" baseline="0">
                <a:solidFill>
                  <a:schemeClr val="tx1">
                    <a:lumMod val="65000"/>
                    <a:lumOff val="35000"/>
                  </a:schemeClr>
                </a:solidFill>
                <a:latin typeface="Century Gothic" panose="020B0502020202020204" pitchFamily="34" charset="0"/>
              </a:rPr>
              <a:t> operácie celkom</a:t>
            </a:r>
            <a:endParaRPr lang="sk-SK" sz="1300" b="1">
              <a:solidFill>
                <a:schemeClr val="tx1">
                  <a:lumMod val="65000"/>
                  <a:lumOff val="35000"/>
                </a:schemeClr>
              </a:solidFill>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výstupy!$B$4</c:f>
              <c:strCache>
                <c:ptCount val="1"/>
                <c:pt idx="0">
                  <c:v>UNM Martin</c:v>
                </c:pt>
              </c:strCache>
            </c:strRef>
          </c:tx>
          <c:spPr>
            <a:ln w="28575" cap="rnd">
              <a:solidFill>
                <a:schemeClr val="accent1"/>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výstupy!$C$4:$N$4</c:f>
              <c:numCache>
                <c:formatCode>#,##0</c:formatCode>
                <c:ptCount val="12"/>
                <c:pt idx="0">
                  <c:v>1290</c:v>
                </c:pt>
                <c:pt idx="1">
                  <c:v>1200</c:v>
                </c:pt>
                <c:pt idx="2">
                  <c:v>1150</c:v>
                </c:pt>
                <c:pt idx="3">
                  <c:v>1088</c:v>
                </c:pt>
                <c:pt idx="4">
                  <c:v>966</c:v>
                </c:pt>
                <c:pt idx="5">
                  <c:v>1286</c:v>
                </c:pt>
                <c:pt idx="6">
                  <c:v>1208</c:v>
                </c:pt>
                <c:pt idx="7">
                  <c:v>1027</c:v>
                </c:pt>
                <c:pt idx="8">
                  <c:v>1302</c:v>
                </c:pt>
                <c:pt idx="9">
                  <c:v>1399</c:v>
                </c:pt>
                <c:pt idx="10">
                  <c:v>973</c:v>
                </c:pt>
                <c:pt idx="11">
                  <c:v>1186</c:v>
                </c:pt>
              </c:numCache>
            </c:numRef>
          </c:val>
          <c:smooth val="0"/>
          <c:extLst>
            <c:ext xmlns:c16="http://schemas.microsoft.com/office/drawing/2014/chart" uri="{C3380CC4-5D6E-409C-BE32-E72D297353CC}">
              <c16:uniqueId val="{00000000-C971-44C9-A8C2-82B1A57A0DDD}"/>
            </c:ext>
          </c:extLst>
        </c:ser>
        <c:ser>
          <c:idx val="1"/>
          <c:order val="1"/>
          <c:tx>
            <c:strRef>
              <c:f>výstupy!$B$5</c:f>
              <c:strCache>
                <c:ptCount val="1"/>
                <c:pt idx="0">
                  <c:v>NsP Považská Bystrica</c:v>
                </c:pt>
              </c:strCache>
            </c:strRef>
          </c:tx>
          <c:spPr>
            <a:ln w="28575" cap="rnd">
              <a:solidFill>
                <a:schemeClr val="accent2"/>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výstupy!$C$5:$N$5</c:f>
              <c:numCache>
                <c:formatCode>#,##0</c:formatCode>
                <c:ptCount val="12"/>
                <c:pt idx="0">
                  <c:v>641</c:v>
                </c:pt>
                <c:pt idx="1">
                  <c:v>854</c:v>
                </c:pt>
                <c:pt idx="2">
                  <c:v>604</c:v>
                </c:pt>
                <c:pt idx="3">
                  <c:v>658</c:v>
                </c:pt>
                <c:pt idx="4">
                  <c:v>664</c:v>
                </c:pt>
                <c:pt idx="5">
                  <c:v>614</c:v>
                </c:pt>
                <c:pt idx="6">
                  <c:v>650</c:v>
                </c:pt>
                <c:pt idx="7">
                  <c:v>669</c:v>
                </c:pt>
                <c:pt idx="8">
                  <c:v>732</c:v>
                </c:pt>
                <c:pt idx="9">
                  <c:v>695</c:v>
                </c:pt>
                <c:pt idx="10">
                  <c:v>637</c:v>
                </c:pt>
                <c:pt idx="11">
                  <c:v>598</c:v>
                </c:pt>
              </c:numCache>
            </c:numRef>
          </c:val>
          <c:smooth val="0"/>
          <c:extLst>
            <c:ext xmlns:c16="http://schemas.microsoft.com/office/drawing/2014/chart" uri="{C3380CC4-5D6E-409C-BE32-E72D297353CC}">
              <c16:uniqueId val="{00000001-C971-44C9-A8C2-82B1A57A0DDD}"/>
            </c:ext>
          </c:extLst>
        </c:ser>
        <c:ser>
          <c:idx val="2"/>
          <c:order val="2"/>
          <c:tx>
            <c:strRef>
              <c:f>výstupy!$B$6</c:f>
              <c:strCache>
                <c:ptCount val="1"/>
                <c:pt idx="0">
                  <c:v>NsP Trestená</c:v>
                </c:pt>
              </c:strCache>
            </c:strRef>
          </c:tx>
          <c:spPr>
            <a:ln w="28575" cap="rnd">
              <a:solidFill>
                <a:schemeClr val="accent3"/>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výstupy!$C$6:$N$6</c:f>
              <c:numCache>
                <c:formatCode>#,##0</c:formatCode>
                <c:ptCount val="12"/>
                <c:pt idx="0">
                  <c:v>286</c:v>
                </c:pt>
                <c:pt idx="1">
                  <c:v>407</c:v>
                </c:pt>
                <c:pt idx="2">
                  <c:v>356</c:v>
                </c:pt>
                <c:pt idx="3">
                  <c:v>364</c:v>
                </c:pt>
                <c:pt idx="4">
                  <c:v>445</c:v>
                </c:pt>
                <c:pt idx="5">
                  <c:v>347</c:v>
                </c:pt>
                <c:pt idx="6">
                  <c:v>348</c:v>
                </c:pt>
                <c:pt idx="7">
                  <c:v>328</c:v>
                </c:pt>
                <c:pt idx="8">
                  <c:v>402</c:v>
                </c:pt>
                <c:pt idx="9">
                  <c:v>364</c:v>
                </c:pt>
                <c:pt idx="10">
                  <c:v>355</c:v>
                </c:pt>
                <c:pt idx="11">
                  <c:v>350</c:v>
                </c:pt>
              </c:numCache>
            </c:numRef>
          </c:val>
          <c:smooth val="0"/>
          <c:extLst>
            <c:ext xmlns:c16="http://schemas.microsoft.com/office/drawing/2014/chart" uri="{C3380CC4-5D6E-409C-BE32-E72D297353CC}">
              <c16:uniqueId val="{00000002-C971-44C9-A8C2-82B1A57A0DDD}"/>
            </c:ext>
          </c:extLst>
        </c:ser>
        <c:ser>
          <c:idx val="3"/>
          <c:order val="3"/>
          <c:tx>
            <c:strRef>
              <c:f>výstupy!$B$7</c:f>
              <c:strCache>
                <c:ptCount val="1"/>
                <c:pt idx="0">
                  <c:v>NsP Dolný Kubín</c:v>
                </c:pt>
              </c:strCache>
            </c:strRef>
          </c:tx>
          <c:spPr>
            <a:ln w="28575" cap="rnd">
              <a:solidFill>
                <a:schemeClr val="accent4"/>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výstupy!$C$7:$N$7</c:f>
              <c:numCache>
                <c:formatCode>#,##0</c:formatCode>
                <c:ptCount val="12"/>
                <c:pt idx="0">
                  <c:v>469</c:v>
                </c:pt>
                <c:pt idx="1">
                  <c:v>459</c:v>
                </c:pt>
                <c:pt idx="2">
                  <c:v>317</c:v>
                </c:pt>
                <c:pt idx="3">
                  <c:v>292</c:v>
                </c:pt>
                <c:pt idx="4">
                  <c:v>329</c:v>
                </c:pt>
                <c:pt idx="5">
                  <c:v>549</c:v>
                </c:pt>
                <c:pt idx="6">
                  <c:v>382</c:v>
                </c:pt>
                <c:pt idx="7">
                  <c:v>415</c:v>
                </c:pt>
                <c:pt idx="8">
                  <c:v>407</c:v>
                </c:pt>
                <c:pt idx="9">
                  <c:v>338</c:v>
                </c:pt>
                <c:pt idx="10">
                  <c:v>279</c:v>
                </c:pt>
                <c:pt idx="11">
                  <c:v>297</c:v>
                </c:pt>
              </c:numCache>
            </c:numRef>
          </c:val>
          <c:smooth val="0"/>
          <c:extLst>
            <c:ext xmlns:c16="http://schemas.microsoft.com/office/drawing/2014/chart" uri="{C3380CC4-5D6E-409C-BE32-E72D297353CC}">
              <c16:uniqueId val="{00000003-C971-44C9-A8C2-82B1A57A0DDD}"/>
            </c:ext>
          </c:extLst>
        </c:ser>
        <c:ser>
          <c:idx val="4"/>
          <c:order val="4"/>
          <c:tx>
            <c:strRef>
              <c:f>výstupy!$B$8</c:f>
              <c:strCache>
                <c:ptCount val="1"/>
                <c:pt idx="0">
                  <c:v>NsP Čadca</c:v>
                </c:pt>
              </c:strCache>
            </c:strRef>
          </c:tx>
          <c:spPr>
            <a:ln w="28575" cap="rnd">
              <a:solidFill>
                <a:schemeClr val="accent5"/>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výstupy!$C$8:$N$8</c:f>
              <c:numCache>
                <c:formatCode>#,##0</c:formatCode>
                <c:ptCount val="12"/>
                <c:pt idx="0">
                  <c:v>1421</c:v>
                </c:pt>
                <c:pt idx="1">
                  <c:v>1429</c:v>
                </c:pt>
                <c:pt idx="2">
                  <c:v>1199</c:v>
                </c:pt>
                <c:pt idx="3">
                  <c:v>1250</c:v>
                </c:pt>
                <c:pt idx="4">
                  <c:v>1173</c:v>
                </c:pt>
                <c:pt idx="5">
                  <c:v>1144</c:v>
                </c:pt>
                <c:pt idx="6">
                  <c:v>1206</c:v>
                </c:pt>
                <c:pt idx="7">
                  <c:v>1283</c:v>
                </c:pt>
                <c:pt idx="8">
                  <c:v>66</c:v>
                </c:pt>
                <c:pt idx="9">
                  <c:v>1413</c:v>
                </c:pt>
                <c:pt idx="10">
                  <c:v>1242</c:v>
                </c:pt>
                <c:pt idx="11">
                  <c:v>1257</c:v>
                </c:pt>
              </c:numCache>
            </c:numRef>
          </c:val>
          <c:smooth val="0"/>
          <c:extLst>
            <c:ext xmlns:c16="http://schemas.microsoft.com/office/drawing/2014/chart" uri="{C3380CC4-5D6E-409C-BE32-E72D297353CC}">
              <c16:uniqueId val="{00000004-C971-44C9-A8C2-82B1A57A0DDD}"/>
            </c:ext>
          </c:extLst>
        </c:ser>
        <c:ser>
          <c:idx val="5"/>
          <c:order val="5"/>
          <c:tx>
            <c:strRef>
              <c:f>výstupy!$B$9</c:f>
              <c:strCache>
                <c:ptCount val="1"/>
                <c:pt idx="0">
                  <c:v>FNsP Žilina</c:v>
                </c:pt>
              </c:strCache>
            </c:strRef>
          </c:tx>
          <c:spPr>
            <a:ln w="28575" cap="rnd">
              <a:solidFill>
                <a:schemeClr val="accent6"/>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výstupy!$C$9:$N$9</c:f>
              <c:numCache>
                <c:formatCode>#,##0</c:formatCode>
                <c:ptCount val="12"/>
                <c:pt idx="0">
                  <c:v>1736</c:v>
                </c:pt>
                <c:pt idx="1">
                  <c:v>1618</c:v>
                </c:pt>
                <c:pt idx="2">
                  <c:v>1037</c:v>
                </c:pt>
                <c:pt idx="3">
                  <c:v>1187</c:v>
                </c:pt>
                <c:pt idx="4">
                  <c:v>1325</c:v>
                </c:pt>
                <c:pt idx="5">
                  <c:v>1346</c:v>
                </c:pt>
                <c:pt idx="6">
                  <c:v>1444</c:v>
                </c:pt>
                <c:pt idx="7">
                  <c:v>1910</c:v>
                </c:pt>
                <c:pt idx="8">
                  <c:v>1992</c:v>
                </c:pt>
                <c:pt idx="9">
                  <c:v>1719</c:v>
                </c:pt>
                <c:pt idx="10">
                  <c:v>1732</c:v>
                </c:pt>
                <c:pt idx="11">
                  <c:v>1643</c:v>
                </c:pt>
              </c:numCache>
            </c:numRef>
          </c:val>
          <c:smooth val="0"/>
          <c:extLst>
            <c:ext xmlns:c16="http://schemas.microsoft.com/office/drawing/2014/chart" uri="{C3380CC4-5D6E-409C-BE32-E72D297353CC}">
              <c16:uniqueId val="{00000005-C971-44C9-A8C2-82B1A57A0DDD}"/>
            </c:ext>
          </c:extLst>
        </c:ser>
        <c:ser>
          <c:idx val="6"/>
          <c:order val="6"/>
          <c:tx>
            <c:strRef>
              <c:f>výstupy!$B$10</c:f>
              <c:strCache>
                <c:ptCount val="1"/>
                <c:pt idx="0">
                  <c:v>NsP Liptovský Mikuláš</c:v>
                </c:pt>
              </c:strCache>
            </c:strRef>
          </c:tx>
          <c:spPr>
            <a:ln w="28575" cap="rnd">
              <a:solidFill>
                <a:schemeClr val="accent1">
                  <a:lumMod val="60000"/>
                </a:schemeClr>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výstupy!$C$10:$N$10</c:f>
              <c:numCache>
                <c:formatCode>#,##0</c:formatCode>
                <c:ptCount val="12"/>
                <c:pt idx="0">
                  <c:v>302</c:v>
                </c:pt>
                <c:pt idx="1">
                  <c:v>296</c:v>
                </c:pt>
                <c:pt idx="2">
                  <c:v>325</c:v>
                </c:pt>
                <c:pt idx="3">
                  <c:v>405</c:v>
                </c:pt>
                <c:pt idx="4">
                  <c:v>483</c:v>
                </c:pt>
                <c:pt idx="5">
                  <c:v>545</c:v>
                </c:pt>
                <c:pt idx="6">
                  <c:v>581</c:v>
                </c:pt>
                <c:pt idx="7">
                  <c:v>616</c:v>
                </c:pt>
                <c:pt idx="8">
                  <c:v>650</c:v>
                </c:pt>
                <c:pt idx="9">
                  <c:v>545</c:v>
                </c:pt>
                <c:pt idx="10">
                  <c:v>561</c:v>
                </c:pt>
                <c:pt idx="11">
                  <c:v>566</c:v>
                </c:pt>
              </c:numCache>
            </c:numRef>
          </c:val>
          <c:smooth val="0"/>
          <c:extLst>
            <c:ext xmlns:c16="http://schemas.microsoft.com/office/drawing/2014/chart" uri="{C3380CC4-5D6E-409C-BE32-E72D297353CC}">
              <c16:uniqueId val="{00000006-C971-44C9-A8C2-82B1A57A0DDD}"/>
            </c:ext>
          </c:extLst>
        </c:ser>
        <c:ser>
          <c:idx val="7"/>
          <c:order val="7"/>
          <c:tx>
            <c:strRef>
              <c:f>výstupy!$B$11</c:f>
              <c:strCache>
                <c:ptCount val="1"/>
                <c:pt idx="0">
                  <c:v>ÚVN Ružomberok</c:v>
                </c:pt>
              </c:strCache>
            </c:strRef>
          </c:tx>
          <c:spPr>
            <a:ln w="28575" cap="rnd">
              <a:solidFill>
                <a:schemeClr val="accent2">
                  <a:lumMod val="60000"/>
                </a:schemeClr>
              </a:solidFill>
              <a:round/>
            </a:ln>
            <a:effectLst/>
          </c:spPr>
          <c:marker>
            <c:symbol val="none"/>
          </c:marker>
          <c:cat>
            <c:numRef>
              <c:f>výstupy!$C$3:$N$3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výstupy!$C$11:$N$11</c:f>
              <c:numCache>
                <c:formatCode>#,##0</c:formatCode>
                <c:ptCount val="12"/>
                <c:pt idx="0">
                  <c:v>391</c:v>
                </c:pt>
                <c:pt idx="1">
                  <c:v>459</c:v>
                </c:pt>
                <c:pt idx="2">
                  <c:v>487</c:v>
                </c:pt>
                <c:pt idx="3">
                  <c:v>308</c:v>
                </c:pt>
                <c:pt idx="4">
                  <c:v>392</c:v>
                </c:pt>
                <c:pt idx="5">
                  <c:v>482</c:v>
                </c:pt>
                <c:pt idx="6">
                  <c:v>542</c:v>
                </c:pt>
                <c:pt idx="7">
                  <c:v>618</c:v>
                </c:pt>
                <c:pt idx="8">
                  <c:v>535</c:v>
                </c:pt>
                <c:pt idx="9">
                  <c:v>775</c:v>
                </c:pt>
                <c:pt idx="10">
                  <c:v>411</c:v>
                </c:pt>
                <c:pt idx="11">
                  <c:v>528</c:v>
                </c:pt>
              </c:numCache>
            </c:numRef>
          </c:val>
          <c:smooth val="0"/>
          <c:extLst>
            <c:ext xmlns:c16="http://schemas.microsoft.com/office/drawing/2014/chart" uri="{C3380CC4-5D6E-409C-BE32-E72D297353CC}">
              <c16:uniqueId val="{00000007-C971-44C9-A8C2-82B1A57A0DDD}"/>
            </c:ext>
          </c:extLst>
        </c:ser>
        <c:dLbls>
          <c:showLegendKey val="0"/>
          <c:showVal val="0"/>
          <c:showCatName val="0"/>
          <c:showSerName val="0"/>
          <c:showPercent val="0"/>
          <c:showBubbleSize val="0"/>
        </c:dLbls>
        <c:smooth val="0"/>
        <c:axId val="427559912"/>
        <c:axId val="427561224"/>
      </c:lineChart>
      <c:catAx>
        <c:axId val="42755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27561224"/>
        <c:crosses val="autoZero"/>
        <c:auto val="1"/>
        <c:lblAlgn val="ctr"/>
        <c:lblOffset val="100"/>
        <c:noMultiLvlLbl val="0"/>
      </c:catAx>
      <c:valAx>
        <c:axId val="4275612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275599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k-SK" sz="1300">
                <a:solidFill>
                  <a:schemeClr val="tx1">
                    <a:lumMod val="75000"/>
                    <a:lumOff val="25000"/>
                  </a:schemeClr>
                </a:solidFill>
                <a:latin typeface="Century Gothic" panose="020B0502020202020204" pitchFamily="34" charset="0"/>
              </a:rPr>
              <a:t>Jednodňová chirurgia</a:t>
            </a:r>
            <a:endParaRPr lang="en-US" sz="1300">
              <a:solidFill>
                <a:schemeClr val="tx1">
                  <a:lumMod val="75000"/>
                  <a:lumOff val="25000"/>
                </a:schemeClr>
              </a:solidFill>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lineChart>
        <c:grouping val="standard"/>
        <c:varyColors val="0"/>
        <c:ser>
          <c:idx val="0"/>
          <c:order val="0"/>
          <c:tx>
            <c:strRef>
              <c:f>JZS!$S$15</c:f>
              <c:strCache>
                <c:ptCount val="1"/>
                <c:pt idx="0">
                  <c:v>JZS 2016-2021</c:v>
                </c:pt>
              </c:strCache>
            </c:strRef>
          </c:tx>
          <c:spPr>
            <a:ln w="31750" cap="rnd">
              <a:solidFill>
                <a:schemeClr val="accent1"/>
              </a:solidFill>
              <a:round/>
            </a:ln>
            <a:effectLst/>
          </c:spPr>
          <c:marker>
            <c:symbol val="none"/>
          </c:marker>
          <c:cat>
            <c:numRef>
              <c:f>JZS!$T$14:$Z$14</c:f>
              <c:numCache>
                <c:formatCode>General</c:formatCode>
                <c:ptCount val="7"/>
                <c:pt idx="0">
                  <c:v>2016</c:v>
                </c:pt>
                <c:pt idx="1">
                  <c:v>2017</c:v>
                </c:pt>
                <c:pt idx="2">
                  <c:v>2018</c:v>
                </c:pt>
                <c:pt idx="3">
                  <c:v>2019</c:v>
                </c:pt>
                <c:pt idx="4">
                  <c:v>2020</c:v>
                </c:pt>
                <c:pt idx="5">
                  <c:v>2021</c:v>
                </c:pt>
                <c:pt idx="6">
                  <c:v>2022</c:v>
                </c:pt>
              </c:numCache>
            </c:numRef>
          </c:cat>
          <c:val>
            <c:numRef>
              <c:f>JZS!$T$15:$Z$15</c:f>
              <c:numCache>
                <c:formatCode>General</c:formatCode>
                <c:ptCount val="7"/>
                <c:pt idx="0" formatCode="#,##0">
                  <c:v>7550</c:v>
                </c:pt>
                <c:pt idx="1">
                  <c:v>10264</c:v>
                </c:pt>
                <c:pt idx="2">
                  <c:v>11791</c:v>
                </c:pt>
                <c:pt idx="3">
                  <c:v>11944</c:v>
                </c:pt>
                <c:pt idx="4">
                  <c:v>10227</c:v>
                </c:pt>
                <c:pt idx="5">
                  <c:v>10217</c:v>
                </c:pt>
                <c:pt idx="6">
                  <c:v>12083</c:v>
                </c:pt>
              </c:numCache>
            </c:numRef>
          </c:val>
          <c:smooth val="0"/>
          <c:extLst>
            <c:ext xmlns:c16="http://schemas.microsoft.com/office/drawing/2014/chart" uri="{C3380CC4-5D6E-409C-BE32-E72D297353CC}">
              <c16:uniqueId val="{00000000-4B90-4F80-874E-05CE949EC3A8}"/>
            </c:ext>
          </c:extLst>
        </c:ser>
        <c:dLbls>
          <c:showLegendKey val="0"/>
          <c:showVal val="0"/>
          <c:showCatName val="0"/>
          <c:showSerName val="0"/>
          <c:showPercent val="0"/>
          <c:showBubbleSize val="0"/>
        </c:dLbls>
        <c:smooth val="0"/>
        <c:axId val="408734488"/>
        <c:axId val="408725960"/>
      </c:lineChart>
      <c:catAx>
        <c:axId val="40873448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k-SK"/>
          </a:p>
        </c:txPr>
        <c:crossAx val="408725960"/>
        <c:crosses val="autoZero"/>
        <c:auto val="1"/>
        <c:lblAlgn val="ctr"/>
        <c:lblOffset val="100"/>
        <c:noMultiLvlLbl val="0"/>
      </c:catAx>
      <c:valAx>
        <c:axId val="408725960"/>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4087344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FNsP Žilina</a:t>
            </a:r>
            <a:r>
              <a:rPr lang="sk-SK" b="1"/>
              <a:t> 2010-2022 JCH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'JCH analýza2'!$K$8</c:f>
              <c:strCache>
                <c:ptCount val="1"/>
                <c:pt idx="0">
                  <c:v>FNsP Žilina</c:v>
                </c:pt>
              </c:strCache>
            </c:strRef>
          </c:tx>
          <c:spPr>
            <a:solidFill>
              <a:schemeClr val="accent1"/>
            </a:solidFill>
            <a:ln>
              <a:noFill/>
            </a:ln>
            <a:effectLst/>
          </c:spPr>
          <c:invertIfNegative val="0"/>
          <c:cat>
            <c:numRef>
              <c:f>'JCH analýza2'!$L$7:$X$7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'JCH analýza2'!$L$8:$X$8</c:f>
              <c:numCache>
                <c:formatCode>#,##0</c:formatCode>
                <c:ptCount val="13"/>
                <c:pt idx="0">
                  <c:v>2386</c:v>
                </c:pt>
                <c:pt idx="1">
                  <c:v>4556</c:v>
                </c:pt>
                <c:pt idx="2">
                  <c:v>5523</c:v>
                </c:pt>
                <c:pt idx="3">
                  <c:v>4494</c:v>
                </c:pt>
                <c:pt idx="4">
                  <c:v>4522</c:v>
                </c:pt>
                <c:pt idx="5">
                  <c:v>4835</c:v>
                </c:pt>
                <c:pt idx="6">
                  <c:v>4727</c:v>
                </c:pt>
                <c:pt idx="7">
                  <c:v>5055</c:v>
                </c:pt>
                <c:pt idx="8">
                  <c:v>7060</c:v>
                </c:pt>
                <c:pt idx="9">
                  <c:v>9576</c:v>
                </c:pt>
                <c:pt idx="10">
                  <c:v>8795</c:v>
                </c:pt>
                <c:pt idx="11">
                  <c:v>8987</c:v>
                </c:pt>
                <c:pt idx="12" formatCode="General">
                  <c:v>10061</c:v>
                </c:pt>
              </c:numCache>
            </c:numRef>
          </c:val>
          <c:extLst>
            <c:ext xmlns:c16="http://schemas.microsoft.com/office/drawing/2014/chart" uri="{C3380CC4-5D6E-409C-BE32-E72D297353CC}">
              <c16:uniqueId val="{00000000-8790-4A04-A9E1-FD6C6A43CD25}"/>
            </c:ext>
          </c:extLst>
        </c:ser>
        <c:dLbls>
          <c:showLegendKey val="0"/>
          <c:showVal val="0"/>
          <c:showCatName val="0"/>
          <c:showSerName val="0"/>
          <c:showPercent val="0"/>
          <c:showBubbleSize val="0"/>
        </c:dLbls>
        <c:gapWidth val="219"/>
        <c:overlap val="-27"/>
        <c:axId val="428917096"/>
        <c:axId val="428917424"/>
      </c:barChart>
      <c:catAx>
        <c:axId val="42891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28917424"/>
        <c:crosses val="autoZero"/>
        <c:auto val="1"/>
        <c:lblAlgn val="ctr"/>
        <c:lblOffset val="100"/>
        <c:noMultiLvlLbl val="0"/>
      </c:catAx>
      <c:valAx>
        <c:axId val="4289174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28917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solidFill>
                  <a:schemeClr val="tx1">
                    <a:lumMod val="65000"/>
                    <a:lumOff val="35000"/>
                  </a:schemeClr>
                </a:solidFill>
                <a:latin typeface="Century Gothic" panose="020B0502020202020204" pitchFamily="34" charset="0"/>
              </a:rPr>
              <a:t>JCH ŽSK+PB 2021</a:t>
            </a:r>
          </a:p>
          <a:p>
            <a:pPr>
              <a:defRPr/>
            </a:pPr>
            <a:endParaRPr lang="sk-S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'[NCZI-00927-2022_J01.xlsx]JCH analýza2'!$K$8</c:f>
              <c:strCache>
                <c:ptCount val="1"/>
                <c:pt idx="0">
                  <c:v>FNsP Žilina</c:v>
                </c:pt>
              </c:strCache>
            </c:strRef>
          </c:tx>
          <c:spPr>
            <a:solidFill>
              <a:schemeClr val="accent1"/>
            </a:solidFill>
            <a:ln>
              <a:noFill/>
            </a:ln>
            <a:effectLst/>
          </c:spPr>
          <c:invertIfNegative val="0"/>
          <c:cat>
            <c:numRef>
              <c:f>'[NCZI-00927-2022_J01.xlsx]JCH analýza2'!$W$7</c:f>
              <c:numCache>
                <c:formatCode>General</c:formatCode>
                <c:ptCount val="1"/>
                <c:pt idx="0">
                  <c:v>2021</c:v>
                </c:pt>
              </c:numCache>
            </c:numRef>
          </c:cat>
          <c:val>
            <c:numRef>
              <c:f>'[NCZI-00927-2022_J01.xlsx]JCH analýza2'!$W$8</c:f>
              <c:numCache>
                <c:formatCode>#,##0</c:formatCode>
                <c:ptCount val="1"/>
                <c:pt idx="0">
                  <c:v>8987</c:v>
                </c:pt>
              </c:numCache>
            </c:numRef>
          </c:val>
          <c:extLst>
            <c:ext xmlns:c16="http://schemas.microsoft.com/office/drawing/2014/chart" uri="{C3380CC4-5D6E-409C-BE32-E72D297353CC}">
              <c16:uniqueId val="{00000000-C424-4E93-95C6-2C43412986BF}"/>
            </c:ext>
          </c:extLst>
        </c:ser>
        <c:ser>
          <c:idx val="1"/>
          <c:order val="1"/>
          <c:tx>
            <c:strRef>
              <c:f>'[NCZI-00927-2022_J01.xlsx]JCH analýza2'!$K$9</c:f>
              <c:strCache>
                <c:ptCount val="1"/>
                <c:pt idx="0">
                  <c:v>UNM Martin</c:v>
                </c:pt>
              </c:strCache>
            </c:strRef>
          </c:tx>
          <c:spPr>
            <a:solidFill>
              <a:schemeClr val="accent2"/>
            </a:solidFill>
            <a:ln>
              <a:noFill/>
            </a:ln>
            <a:effectLst/>
          </c:spPr>
          <c:invertIfNegative val="0"/>
          <c:cat>
            <c:numRef>
              <c:f>'[NCZI-00927-2022_J01.xlsx]JCH analýza2'!$W$7</c:f>
              <c:numCache>
                <c:formatCode>General</c:formatCode>
                <c:ptCount val="1"/>
                <c:pt idx="0">
                  <c:v>2021</c:v>
                </c:pt>
              </c:numCache>
            </c:numRef>
          </c:cat>
          <c:val>
            <c:numRef>
              <c:f>'[NCZI-00927-2022_J01.xlsx]JCH analýza2'!$W$9</c:f>
              <c:numCache>
                <c:formatCode>General</c:formatCode>
                <c:ptCount val="1"/>
                <c:pt idx="0">
                  <c:v>7920</c:v>
                </c:pt>
              </c:numCache>
            </c:numRef>
          </c:val>
          <c:extLst>
            <c:ext xmlns:c16="http://schemas.microsoft.com/office/drawing/2014/chart" uri="{C3380CC4-5D6E-409C-BE32-E72D297353CC}">
              <c16:uniqueId val="{00000001-C424-4E93-95C6-2C43412986BF}"/>
            </c:ext>
          </c:extLst>
        </c:ser>
        <c:ser>
          <c:idx val="2"/>
          <c:order val="2"/>
          <c:tx>
            <c:strRef>
              <c:f>'[NCZI-00927-2022_J01.xlsx]JCH analýza2'!$K$10</c:f>
              <c:strCache>
                <c:ptCount val="1"/>
                <c:pt idx="0">
                  <c:v>NsP Považská Bystrica</c:v>
                </c:pt>
              </c:strCache>
            </c:strRef>
          </c:tx>
          <c:spPr>
            <a:solidFill>
              <a:schemeClr val="accent3"/>
            </a:solidFill>
            <a:ln>
              <a:noFill/>
            </a:ln>
            <a:effectLst/>
          </c:spPr>
          <c:invertIfNegative val="0"/>
          <c:cat>
            <c:numRef>
              <c:f>'[NCZI-00927-2022_J01.xlsx]JCH analýza2'!$W$7</c:f>
              <c:numCache>
                <c:formatCode>General</c:formatCode>
                <c:ptCount val="1"/>
                <c:pt idx="0">
                  <c:v>2021</c:v>
                </c:pt>
              </c:numCache>
            </c:numRef>
          </c:cat>
          <c:val>
            <c:numRef>
              <c:f>'[NCZI-00927-2022_J01.xlsx]JCH analýza2'!$W$10</c:f>
              <c:numCache>
                <c:formatCode>General</c:formatCode>
                <c:ptCount val="1"/>
                <c:pt idx="0">
                  <c:v>4248</c:v>
                </c:pt>
              </c:numCache>
            </c:numRef>
          </c:val>
          <c:extLst>
            <c:ext xmlns:c16="http://schemas.microsoft.com/office/drawing/2014/chart" uri="{C3380CC4-5D6E-409C-BE32-E72D297353CC}">
              <c16:uniqueId val="{00000002-C424-4E93-95C6-2C43412986BF}"/>
            </c:ext>
          </c:extLst>
        </c:ser>
        <c:ser>
          <c:idx val="3"/>
          <c:order val="3"/>
          <c:tx>
            <c:strRef>
              <c:f>'[NCZI-00927-2022_J01.xlsx]JCH analýza2'!$K$11</c:f>
              <c:strCache>
                <c:ptCount val="1"/>
                <c:pt idx="0">
                  <c:v>NsP Trstená</c:v>
                </c:pt>
              </c:strCache>
            </c:strRef>
          </c:tx>
          <c:spPr>
            <a:solidFill>
              <a:schemeClr val="accent4"/>
            </a:solidFill>
            <a:ln>
              <a:noFill/>
            </a:ln>
            <a:effectLst/>
          </c:spPr>
          <c:invertIfNegative val="0"/>
          <c:cat>
            <c:numRef>
              <c:f>'[NCZI-00927-2022_J01.xlsx]JCH analýza2'!$W$7</c:f>
              <c:numCache>
                <c:formatCode>General</c:formatCode>
                <c:ptCount val="1"/>
                <c:pt idx="0">
                  <c:v>2021</c:v>
                </c:pt>
              </c:numCache>
            </c:numRef>
          </c:cat>
          <c:val>
            <c:numRef>
              <c:f>'[NCZI-00927-2022_J01.xlsx]JCH analýza2'!$W$11</c:f>
              <c:numCache>
                <c:formatCode>General</c:formatCode>
                <c:ptCount val="1"/>
                <c:pt idx="0">
                  <c:v>258</c:v>
                </c:pt>
              </c:numCache>
            </c:numRef>
          </c:val>
          <c:extLst>
            <c:ext xmlns:c16="http://schemas.microsoft.com/office/drawing/2014/chart" uri="{C3380CC4-5D6E-409C-BE32-E72D297353CC}">
              <c16:uniqueId val="{00000003-C424-4E93-95C6-2C43412986BF}"/>
            </c:ext>
          </c:extLst>
        </c:ser>
        <c:ser>
          <c:idx val="4"/>
          <c:order val="4"/>
          <c:tx>
            <c:strRef>
              <c:f>'[NCZI-00927-2022_J01.xlsx]JCH analýza2'!$K$12</c:f>
              <c:strCache>
                <c:ptCount val="1"/>
                <c:pt idx="0">
                  <c:v>NsP Dolný Kubín</c:v>
                </c:pt>
              </c:strCache>
            </c:strRef>
          </c:tx>
          <c:spPr>
            <a:solidFill>
              <a:schemeClr val="accent5"/>
            </a:solidFill>
            <a:ln>
              <a:noFill/>
            </a:ln>
            <a:effectLst/>
          </c:spPr>
          <c:invertIfNegative val="0"/>
          <c:cat>
            <c:numRef>
              <c:f>'[NCZI-00927-2022_J01.xlsx]JCH analýza2'!$W$7</c:f>
              <c:numCache>
                <c:formatCode>General</c:formatCode>
                <c:ptCount val="1"/>
                <c:pt idx="0">
                  <c:v>2021</c:v>
                </c:pt>
              </c:numCache>
            </c:numRef>
          </c:cat>
          <c:val>
            <c:numRef>
              <c:f>'[NCZI-00927-2022_J01.xlsx]JCH analýza2'!$W$12</c:f>
              <c:numCache>
                <c:formatCode>General</c:formatCode>
                <c:ptCount val="1"/>
                <c:pt idx="0">
                  <c:v>83</c:v>
                </c:pt>
              </c:numCache>
            </c:numRef>
          </c:val>
          <c:extLst>
            <c:ext xmlns:c16="http://schemas.microsoft.com/office/drawing/2014/chart" uri="{C3380CC4-5D6E-409C-BE32-E72D297353CC}">
              <c16:uniqueId val="{00000004-C424-4E93-95C6-2C43412986BF}"/>
            </c:ext>
          </c:extLst>
        </c:ser>
        <c:ser>
          <c:idx val="5"/>
          <c:order val="5"/>
          <c:tx>
            <c:strRef>
              <c:f>'[NCZI-00927-2022_J01.xlsx]JCH analýza2'!$K$13</c:f>
              <c:strCache>
                <c:ptCount val="1"/>
                <c:pt idx="0">
                  <c:v>ÚVN Ružomberok</c:v>
                </c:pt>
              </c:strCache>
            </c:strRef>
          </c:tx>
          <c:spPr>
            <a:solidFill>
              <a:schemeClr val="accent6"/>
            </a:solidFill>
            <a:ln>
              <a:noFill/>
            </a:ln>
            <a:effectLst/>
          </c:spPr>
          <c:invertIfNegative val="0"/>
          <c:cat>
            <c:numRef>
              <c:f>'[NCZI-00927-2022_J01.xlsx]JCH analýza2'!$W$7</c:f>
              <c:numCache>
                <c:formatCode>General</c:formatCode>
                <c:ptCount val="1"/>
                <c:pt idx="0">
                  <c:v>2021</c:v>
                </c:pt>
              </c:numCache>
            </c:numRef>
          </c:cat>
          <c:val>
            <c:numRef>
              <c:f>'[NCZI-00927-2022_J01.xlsx]JCH analýza2'!$W$13</c:f>
              <c:numCache>
                <c:formatCode>General</c:formatCode>
                <c:ptCount val="1"/>
                <c:pt idx="0">
                  <c:v>4980</c:v>
                </c:pt>
              </c:numCache>
            </c:numRef>
          </c:val>
          <c:extLst>
            <c:ext xmlns:c16="http://schemas.microsoft.com/office/drawing/2014/chart" uri="{C3380CC4-5D6E-409C-BE32-E72D297353CC}">
              <c16:uniqueId val="{00000005-C424-4E93-95C6-2C43412986BF}"/>
            </c:ext>
          </c:extLst>
        </c:ser>
        <c:ser>
          <c:idx val="6"/>
          <c:order val="6"/>
          <c:tx>
            <c:strRef>
              <c:f>'[NCZI-00927-2022_J01.xlsx]JCH analýza2'!$K$14</c:f>
              <c:strCache>
                <c:ptCount val="1"/>
                <c:pt idx="0">
                  <c:v>NsP Liptovský Mikuláš</c:v>
                </c:pt>
              </c:strCache>
            </c:strRef>
          </c:tx>
          <c:spPr>
            <a:solidFill>
              <a:schemeClr val="accent1">
                <a:lumMod val="60000"/>
              </a:schemeClr>
            </a:solidFill>
            <a:ln>
              <a:noFill/>
            </a:ln>
            <a:effectLst/>
          </c:spPr>
          <c:invertIfNegative val="0"/>
          <c:cat>
            <c:numRef>
              <c:f>'[NCZI-00927-2022_J01.xlsx]JCH analýza2'!$W$7</c:f>
              <c:numCache>
                <c:formatCode>General</c:formatCode>
                <c:ptCount val="1"/>
                <c:pt idx="0">
                  <c:v>2021</c:v>
                </c:pt>
              </c:numCache>
            </c:numRef>
          </c:cat>
          <c:val>
            <c:numRef>
              <c:f>'[NCZI-00927-2022_J01.xlsx]JCH analýza2'!$W$14</c:f>
              <c:numCache>
                <c:formatCode>General</c:formatCode>
                <c:ptCount val="1"/>
                <c:pt idx="0">
                  <c:v>1357</c:v>
                </c:pt>
              </c:numCache>
            </c:numRef>
          </c:val>
          <c:extLst>
            <c:ext xmlns:c16="http://schemas.microsoft.com/office/drawing/2014/chart" uri="{C3380CC4-5D6E-409C-BE32-E72D297353CC}">
              <c16:uniqueId val="{00000006-C424-4E93-95C6-2C43412986BF}"/>
            </c:ext>
          </c:extLst>
        </c:ser>
        <c:ser>
          <c:idx val="7"/>
          <c:order val="7"/>
          <c:tx>
            <c:strRef>
              <c:f>'[NCZI-00927-2022_J01.xlsx]JCH analýza2'!$K$15</c:f>
              <c:strCache>
                <c:ptCount val="1"/>
                <c:pt idx="0">
                  <c:v>NsP Čadca</c:v>
                </c:pt>
              </c:strCache>
            </c:strRef>
          </c:tx>
          <c:spPr>
            <a:solidFill>
              <a:schemeClr val="accent2">
                <a:lumMod val="60000"/>
              </a:schemeClr>
            </a:solidFill>
            <a:ln>
              <a:noFill/>
            </a:ln>
            <a:effectLst/>
          </c:spPr>
          <c:invertIfNegative val="0"/>
          <c:cat>
            <c:numRef>
              <c:f>'[NCZI-00927-2022_J01.xlsx]JCH analýza2'!$W$7</c:f>
              <c:numCache>
                <c:formatCode>General</c:formatCode>
                <c:ptCount val="1"/>
                <c:pt idx="0">
                  <c:v>2021</c:v>
                </c:pt>
              </c:numCache>
            </c:numRef>
          </c:cat>
          <c:val>
            <c:numRef>
              <c:f>'[NCZI-00927-2022_J01.xlsx]JCH analýza2'!$W$15</c:f>
              <c:numCache>
                <c:formatCode>General</c:formatCode>
                <c:ptCount val="1"/>
                <c:pt idx="0">
                  <c:v>1331</c:v>
                </c:pt>
              </c:numCache>
            </c:numRef>
          </c:val>
          <c:extLst>
            <c:ext xmlns:c16="http://schemas.microsoft.com/office/drawing/2014/chart" uri="{C3380CC4-5D6E-409C-BE32-E72D297353CC}">
              <c16:uniqueId val="{00000007-C424-4E93-95C6-2C43412986BF}"/>
            </c:ext>
          </c:extLst>
        </c:ser>
        <c:ser>
          <c:idx val="8"/>
          <c:order val="8"/>
          <c:tx>
            <c:strRef>
              <c:f>'[NCZI-00927-2022_J01.xlsx]JCH analýza2'!$K$16</c:f>
              <c:strCache>
                <c:ptCount val="1"/>
                <c:pt idx="0">
                  <c:v>ostatní spolu</c:v>
                </c:pt>
              </c:strCache>
            </c:strRef>
          </c:tx>
          <c:spPr>
            <a:solidFill>
              <a:schemeClr val="accent3">
                <a:lumMod val="60000"/>
              </a:schemeClr>
            </a:solidFill>
            <a:ln>
              <a:noFill/>
            </a:ln>
            <a:effectLst/>
          </c:spPr>
          <c:invertIfNegative val="0"/>
          <c:cat>
            <c:numRef>
              <c:f>'[NCZI-00927-2022_J01.xlsx]JCH analýza2'!$W$7</c:f>
              <c:numCache>
                <c:formatCode>General</c:formatCode>
                <c:ptCount val="1"/>
                <c:pt idx="0">
                  <c:v>2021</c:v>
                </c:pt>
              </c:numCache>
            </c:numRef>
          </c:cat>
          <c:val>
            <c:numRef>
              <c:f>'[NCZI-00927-2022_J01.xlsx]JCH analýza2'!$W$16</c:f>
              <c:numCache>
                <c:formatCode>General</c:formatCode>
                <c:ptCount val="1"/>
                <c:pt idx="0">
                  <c:v>9393</c:v>
                </c:pt>
              </c:numCache>
            </c:numRef>
          </c:val>
          <c:extLst>
            <c:ext xmlns:c16="http://schemas.microsoft.com/office/drawing/2014/chart" uri="{C3380CC4-5D6E-409C-BE32-E72D297353CC}">
              <c16:uniqueId val="{00000008-C424-4E93-95C6-2C43412986BF}"/>
            </c:ext>
          </c:extLst>
        </c:ser>
        <c:dLbls>
          <c:showLegendKey val="0"/>
          <c:showVal val="0"/>
          <c:showCatName val="0"/>
          <c:showSerName val="0"/>
          <c:showPercent val="0"/>
          <c:showBubbleSize val="0"/>
        </c:dLbls>
        <c:gapWidth val="219"/>
        <c:overlap val="-27"/>
        <c:axId val="510528808"/>
        <c:axId val="510535368"/>
      </c:barChart>
      <c:catAx>
        <c:axId val="510528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10535368"/>
        <c:crosses val="autoZero"/>
        <c:auto val="1"/>
        <c:lblAlgn val="ctr"/>
        <c:lblOffset val="100"/>
        <c:noMultiLvlLbl val="0"/>
      </c:catAx>
      <c:valAx>
        <c:axId val="5105353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10528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Počet hospitalizovaných</a:t>
            </a:r>
            <a:r>
              <a:rPr lang="sk-SK" sz="1300" b="1" baseline="0">
                <a:latin typeface="Century Gothic" panose="020B0502020202020204" pitchFamily="34" charset="0"/>
              </a:rPr>
              <a:t> novorodencov (pôrodov) ŽSK+PB 2010-2021</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novorod!$A$18</c:f>
              <c:strCache>
                <c:ptCount val="1"/>
                <c:pt idx="0">
                  <c:v>NsP Považská Bystrica</c:v>
                </c:pt>
              </c:strCache>
            </c:strRef>
          </c:tx>
          <c:spPr>
            <a:ln w="28575" cap="rnd">
              <a:solidFill>
                <a:schemeClr val="accent1"/>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novorod!$B$18:$M$18</c:f>
              <c:numCache>
                <c:formatCode>#,##0</c:formatCode>
                <c:ptCount val="12"/>
                <c:pt idx="0">
                  <c:v>734</c:v>
                </c:pt>
                <c:pt idx="1">
                  <c:v>717</c:v>
                </c:pt>
                <c:pt idx="2">
                  <c:v>680</c:v>
                </c:pt>
                <c:pt idx="3">
                  <c:v>788</c:v>
                </c:pt>
                <c:pt idx="4">
                  <c:v>929</c:v>
                </c:pt>
                <c:pt idx="5">
                  <c:v>1021</c:v>
                </c:pt>
                <c:pt idx="6">
                  <c:v>1103</c:v>
                </c:pt>
                <c:pt idx="7">
                  <c:v>1210</c:v>
                </c:pt>
                <c:pt idx="8">
                  <c:v>1182</c:v>
                </c:pt>
                <c:pt idx="9">
                  <c:v>1024</c:v>
                </c:pt>
                <c:pt idx="10">
                  <c:v>1034</c:v>
                </c:pt>
                <c:pt idx="11">
                  <c:v>1137</c:v>
                </c:pt>
              </c:numCache>
            </c:numRef>
          </c:val>
          <c:smooth val="0"/>
          <c:extLst>
            <c:ext xmlns:c16="http://schemas.microsoft.com/office/drawing/2014/chart" uri="{C3380CC4-5D6E-409C-BE32-E72D297353CC}">
              <c16:uniqueId val="{00000000-B614-47A7-83E0-3227412315E0}"/>
            </c:ext>
          </c:extLst>
        </c:ser>
        <c:ser>
          <c:idx val="1"/>
          <c:order val="1"/>
          <c:tx>
            <c:strRef>
              <c:f>novorod!$A$19</c:f>
              <c:strCache>
                <c:ptCount val="1"/>
                <c:pt idx="0">
                  <c:v>FnsP Čadca</c:v>
                </c:pt>
              </c:strCache>
            </c:strRef>
          </c:tx>
          <c:spPr>
            <a:ln w="28575" cap="rnd">
              <a:solidFill>
                <a:schemeClr val="accent2"/>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novorod!$B$19:$M$19</c:f>
              <c:numCache>
                <c:formatCode>#,##0</c:formatCode>
                <c:ptCount val="12"/>
                <c:pt idx="0">
                  <c:v>1254</c:v>
                </c:pt>
                <c:pt idx="1">
                  <c:v>1270</c:v>
                </c:pt>
                <c:pt idx="2">
                  <c:v>1508</c:v>
                </c:pt>
                <c:pt idx="3">
                  <c:v>1471</c:v>
                </c:pt>
                <c:pt idx="4">
                  <c:v>1459</c:v>
                </c:pt>
                <c:pt idx="5">
                  <c:v>1292</c:v>
                </c:pt>
                <c:pt idx="6">
                  <c:v>1260</c:v>
                </c:pt>
                <c:pt idx="7">
                  <c:v>1210</c:v>
                </c:pt>
                <c:pt idx="8">
                  <c:v>1306</c:v>
                </c:pt>
                <c:pt idx="9">
                  <c:v>1155</c:v>
                </c:pt>
                <c:pt idx="10">
                  <c:v>1041</c:v>
                </c:pt>
                <c:pt idx="11">
                  <c:v>1067</c:v>
                </c:pt>
              </c:numCache>
            </c:numRef>
          </c:val>
          <c:smooth val="0"/>
          <c:extLst>
            <c:ext xmlns:c16="http://schemas.microsoft.com/office/drawing/2014/chart" uri="{C3380CC4-5D6E-409C-BE32-E72D297353CC}">
              <c16:uniqueId val="{00000001-B614-47A7-83E0-3227412315E0}"/>
            </c:ext>
          </c:extLst>
        </c:ser>
        <c:ser>
          <c:idx val="2"/>
          <c:order val="2"/>
          <c:tx>
            <c:strRef>
              <c:f>novorod!$A$20</c:f>
              <c:strCache>
                <c:ptCount val="1"/>
                <c:pt idx="0">
                  <c:v>NsP Dolný Kubín</c:v>
                </c:pt>
              </c:strCache>
            </c:strRef>
          </c:tx>
          <c:spPr>
            <a:ln w="28575" cap="rnd">
              <a:solidFill>
                <a:schemeClr val="accent3"/>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novorod!$B$20:$M$20</c:f>
              <c:numCache>
                <c:formatCode>#,##0</c:formatCode>
                <c:ptCount val="12"/>
                <c:pt idx="0">
                  <c:v>642</c:v>
                </c:pt>
                <c:pt idx="1">
                  <c:v>665</c:v>
                </c:pt>
                <c:pt idx="2">
                  <c:v>637</c:v>
                </c:pt>
                <c:pt idx="3">
                  <c:v>673</c:v>
                </c:pt>
                <c:pt idx="4">
                  <c:v>658</c:v>
                </c:pt>
                <c:pt idx="5">
                  <c:v>702</c:v>
                </c:pt>
                <c:pt idx="6">
                  <c:v>686</c:v>
                </c:pt>
                <c:pt idx="7">
                  <c:v>669</c:v>
                </c:pt>
                <c:pt idx="8">
                  <c:v>661</c:v>
                </c:pt>
                <c:pt idx="9">
                  <c:v>642</c:v>
                </c:pt>
                <c:pt idx="10">
                  <c:v>792</c:v>
                </c:pt>
                <c:pt idx="11">
                  <c:v>693</c:v>
                </c:pt>
              </c:numCache>
            </c:numRef>
          </c:val>
          <c:smooth val="0"/>
          <c:extLst>
            <c:ext xmlns:c16="http://schemas.microsoft.com/office/drawing/2014/chart" uri="{C3380CC4-5D6E-409C-BE32-E72D297353CC}">
              <c16:uniqueId val="{00000002-B614-47A7-83E0-3227412315E0}"/>
            </c:ext>
          </c:extLst>
        </c:ser>
        <c:ser>
          <c:idx val="3"/>
          <c:order val="3"/>
          <c:tx>
            <c:strRef>
              <c:f>novorod!$A$21</c:f>
              <c:strCache>
                <c:ptCount val="1"/>
                <c:pt idx="0">
                  <c:v>FNsP Liptovský Mikuláš</c:v>
                </c:pt>
              </c:strCache>
            </c:strRef>
          </c:tx>
          <c:spPr>
            <a:ln w="28575" cap="rnd">
              <a:solidFill>
                <a:schemeClr val="accent4"/>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novorod!$B$21:$M$21</c:f>
              <c:numCache>
                <c:formatCode>#,##0</c:formatCode>
                <c:ptCount val="12"/>
                <c:pt idx="0">
                  <c:v>595</c:v>
                </c:pt>
                <c:pt idx="1">
                  <c:v>636</c:v>
                </c:pt>
                <c:pt idx="2">
                  <c:v>629</c:v>
                </c:pt>
                <c:pt idx="3">
                  <c:v>595</c:v>
                </c:pt>
                <c:pt idx="4">
                  <c:v>562</c:v>
                </c:pt>
                <c:pt idx="5">
                  <c:v>649</c:v>
                </c:pt>
                <c:pt idx="6">
                  <c:v>609</c:v>
                </c:pt>
                <c:pt idx="7">
                  <c:v>638</c:v>
                </c:pt>
                <c:pt idx="8">
                  <c:v>656</c:v>
                </c:pt>
                <c:pt idx="9">
                  <c:v>640</c:v>
                </c:pt>
                <c:pt idx="10">
                  <c:v>615</c:v>
                </c:pt>
                <c:pt idx="11">
                  <c:v>600</c:v>
                </c:pt>
              </c:numCache>
            </c:numRef>
          </c:val>
          <c:smooth val="0"/>
          <c:extLst>
            <c:ext xmlns:c16="http://schemas.microsoft.com/office/drawing/2014/chart" uri="{C3380CC4-5D6E-409C-BE32-E72D297353CC}">
              <c16:uniqueId val="{00000003-B614-47A7-83E0-3227412315E0}"/>
            </c:ext>
          </c:extLst>
        </c:ser>
        <c:ser>
          <c:idx val="4"/>
          <c:order val="4"/>
          <c:tx>
            <c:strRef>
              <c:f>novorod!$A$22</c:f>
              <c:strCache>
                <c:ptCount val="1"/>
                <c:pt idx="0">
                  <c:v>UN Martin</c:v>
                </c:pt>
              </c:strCache>
            </c:strRef>
          </c:tx>
          <c:spPr>
            <a:ln w="28575" cap="rnd">
              <a:solidFill>
                <a:schemeClr val="accent5"/>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novorod!$B$22:$M$22</c:f>
              <c:numCache>
                <c:formatCode>#,##0</c:formatCode>
                <c:ptCount val="12"/>
                <c:pt idx="0">
                  <c:v>1227</c:v>
                </c:pt>
                <c:pt idx="1">
                  <c:v>1185</c:v>
                </c:pt>
                <c:pt idx="2">
                  <c:v>1285</c:v>
                </c:pt>
                <c:pt idx="3">
                  <c:v>1245</c:v>
                </c:pt>
                <c:pt idx="4">
                  <c:v>1171</c:v>
                </c:pt>
                <c:pt idx="5">
                  <c:v>1286</c:v>
                </c:pt>
                <c:pt idx="6">
                  <c:v>1304</c:v>
                </c:pt>
                <c:pt idx="7">
                  <c:v>1288</c:v>
                </c:pt>
                <c:pt idx="8">
                  <c:v>1300</c:v>
                </c:pt>
                <c:pt idx="9">
                  <c:v>1239</c:v>
                </c:pt>
                <c:pt idx="10">
                  <c:v>1067</c:v>
                </c:pt>
                <c:pt idx="11">
                  <c:v>1084</c:v>
                </c:pt>
              </c:numCache>
            </c:numRef>
          </c:val>
          <c:smooth val="0"/>
          <c:extLst>
            <c:ext xmlns:c16="http://schemas.microsoft.com/office/drawing/2014/chart" uri="{C3380CC4-5D6E-409C-BE32-E72D297353CC}">
              <c16:uniqueId val="{00000004-B614-47A7-83E0-3227412315E0}"/>
            </c:ext>
          </c:extLst>
        </c:ser>
        <c:ser>
          <c:idx val="5"/>
          <c:order val="5"/>
          <c:tx>
            <c:strRef>
              <c:f>novorod!$A$23</c:f>
              <c:strCache>
                <c:ptCount val="1"/>
                <c:pt idx="0">
                  <c:v>UVN Ružomberok</c:v>
                </c:pt>
              </c:strCache>
            </c:strRef>
          </c:tx>
          <c:spPr>
            <a:ln w="28575" cap="rnd">
              <a:solidFill>
                <a:schemeClr val="accent6"/>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novorod!$B$23:$M$23</c:f>
              <c:numCache>
                <c:formatCode>#,##0</c:formatCode>
                <c:ptCount val="12"/>
                <c:pt idx="0">
                  <c:v>556</c:v>
                </c:pt>
                <c:pt idx="1">
                  <c:v>562</c:v>
                </c:pt>
                <c:pt idx="2">
                  <c:v>621</c:v>
                </c:pt>
                <c:pt idx="3">
                  <c:v>602</c:v>
                </c:pt>
                <c:pt idx="4">
                  <c:v>572</c:v>
                </c:pt>
                <c:pt idx="5">
                  <c:v>602</c:v>
                </c:pt>
                <c:pt idx="6">
                  <c:v>607</c:v>
                </c:pt>
                <c:pt idx="7">
                  <c:v>565</c:v>
                </c:pt>
                <c:pt idx="8">
                  <c:v>667</c:v>
                </c:pt>
                <c:pt idx="9">
                  <c:v>581</c:v>
                </c:pt>
                <c:pt idx="10">
                  <c:v>569</c:v>
                </c:pt>
                <c:pt idx="11">
                  <c:v>533</c:v>
                </c:pt>
              </c:numCache>
            </c:numRef>
          </c:val>
          <c:smooth val="0"/>
          <c:extLst>
            <c:ext xmlns:c16="http://schemas.microsoft.com/office/drawing/2014/chart" uri="{C3380CC4-5D6E-409C-BE32-E72D297353CC}">
              <c16:uniqueId val="{00000005-B614-47A7-83E0-3227412315E0}"/>
            </c:ext>
          </c:extLst>
        </c:ser>
        <c:ser>
          <c:idx val="6"/>
          <c:order val="6"/>
          <c:tx>
            <c:strRef>
              <c:f>novorod!$A$24</c:f>
              <c:strCache>
                <c:ptCount val="1"/>
                <c:pt idx="0">
                  <c:v>NsP Trstená</c:v>
                </c:pt>
              </c:strCache>
            </c:strRef>
          </c:tx>
          <c:spPr>
            <a:ln w="28575" cap="rnd">
              <a:solidFill>
                <a:schemeClr val="accent1">
                  <a:lumMod val="60000"/>
                </a:schemeClr>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novorod!$B$24:$M$24</c:f>
              <c:numCache>
                <c:formatCode>#,##0</c:formatCode>
                <c:ptCount val="12"/>
                <c:pt idx="0">
                  <c:v>1077</c:v>
                </c:pt>
                <c:pt idx="1">
                  <c:v>1094</c:v>
                </c:pt>
                <c:pt idx="2">
                  <c:v>1052</c:v>
                </c:pt>
                <c:pt idx="3">
                  <c:v>920</c:v>
                </c:pt>
                <c:pt idx="4">
                  <c:v>956</c:v>
                </c:pt>
                <c:pt idx="5">
                  <c:v>917</c:v>
                </c:pt>
                <c:pt idx="6">
                  <c:v>1071</c:v>
                </c:pt>
                <c:pt idx="7">
                  <c:v>1064</c:v>
                </c:pt>
                <c:pt idx="8">
                  <c:v>1048</c:v>
                </c:pt>
                <c:pt idx="9">
                  <c:v>1125</c:v>
                </c:pt>
                <c:pt idx="10">
                  <c:v>926</c:v>
                </c:pt>
                <c:pt idx="11">
                  <c:v>1055</c:v>
                </c:pt>
              </c:numCache>
            </c:numRef>
          </c:val>
          <c:smooth val="0"/>
          <c:extLst>
            <c:ext xmlns:c16="http://schemas.microsoft.com/office/drawing/2014/chart" uri="{C3380CC4-5D6E-409C-BE32-E72D297353CC}">
              <c16:uniqueId val="{00000006-B614-47A7-83E0-3227412315E0}"/>
            </c:ext>
          </c:extLst>
        </c:ser>
        <c:ser>
          <c:idx val="7"/>
          <c:order val="7"/>
          <c:tx>
            <c:strRef>
              <c:f>novorod!$A$25</c:f>
              <c:strCache>
                <c:ptCount val="1"/>
                <c:pt idx="0">
                  <c:v>FNsP Žilina</c:v>
                </c:pt>
              </c:strCache>
            </c:strRef>
          </c:tx>
          <c:spPr>
            <a:ln w="28575" cap="rnd">
              <a:solidFill>
                <a:schemeClr val="accent2">
                  <a:lumMod val="60000"/>
                </a:schemeClr>
              </a:solidFill>
              <a:round/>
            </a:ln>
            <a:effectLst/>
          </c:spPr>
          <c:marker>
            <c:symbol val="none"/>
          </c:marker>
          <c:cat>
            <c:numRef>
              <c:f>novorod!$B$17:$M$17</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novorod!$B$25:$M$25</c:f>
              <c:numCache>
                <c:formatCode>#,##0</c:formatCode>
                <c:ptCount val="12"/>
                <c:pt idx="0">
                  <c:v>1847</c:v>
                </c:pt>
                <c:pt idx="1">
                  <c:v>1808</c:v>
                </c:pt>
                <c:pt idx="2">
                  <c:v>1796</c:v>
                </c:pt>
                <c:pt idx="3">
                  <c:v>1549</c:v>
                </c:pt>
                <c:pt idx="4">
                  <c:v>1505</c:v>
                </c:pt>
                <c:pt idx="5">
                  <c:v>1570</c:v>
                </c:pt>
                <c:pt idx="6">
                  <c:v>1543</c:v>
                </c:pt>
                <c:pt idx="7">
                  <c:v>1604</c:v>
                </c:pt>
                <c:pt idx="8">
                  <c:v>1459</c:v>
                </c:pt>
                <c:pt idx="9">
                  <c:v>1634</c:v>
                </c:pt>
                <c:pt idx="10">
                  <c:v>1789</c:v>
                </c:pt>
                <c:pt idx="11">
                  <c:v>1774</c:v>
                </c:pt>
              </c:numCache>
            </c:numRef>
          </c:val>
          <c:smooth val="0"/>
          <c:extLst>
            <c:ext xmlns:c16="http://schemas.microsoft.com/office/drawing/2014/chart" uri="{C3380CC4-5D6E-409C-BE32-E72D297353CC}">
              <c16:uniqueId val="{00000007-B614-47A7-83E0-3227412315E0}"/>
            </c:ext>
          </c:extLst>
        </c:ser>
        <c:dLbls>
          <c:showLegendKey val="0"/>
          <c:showVal val="0"/>
          <c:showCatName val="0"/>
          <c:showSerName val="0"/>
          <c:showPercent val="0"/>
          <c:showBubbleSize val="0"/>
        </c:dLbls>
        <c:smooth val="0"/>
        <c:axId val="665222856"/>
        <c:axId val="665221776"/>
      </c:lineChart>
      <c:catAx>
        <c:axId val="665222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65221776"/>
        <c:crosses val="autoZero"/>
        <c:auto val="1"/>
        <c:lblAlgn val="ctr"/>
        <c:lblOffset val="100"/>
        <c:noMultiLvlLbl val="0"/>
      </c:catAx>
      <c:valAx>
        <c:axId val="665221776"/>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65222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solidFill>
                  <a:schemeClr val="tx1">
                    <a:lumMod val="65000"/>
                    <a:lumOff val="35000"/>
                  </a:schemeClr>
                </a:solidFill>
                <a:latin typeface="Century Gothic" panose="020B0502020202020204" pitchFamily="34" charset="0"/>
              </a:rPr>
              <a:t>Rast</a:t>
            </a:r>
            <a:r>
              <a:rPr lang="sk-SK" sz="1300" b="1" baseline="0">
                <a:solidFill>
                  <a:schemeClr val="tx1">
                    <a:lumMod val="65000"/>
                    <a:lumOff val="35000"/>
                  </a:schemeClr>
                </a:solidFill>
                <a:latin typeface="Century Gothic" panose="020B0502020202020204" pitchFamily="34" charset="0"/>
              </a:rPr>
              <a:t> počtu pacientov na OAIM 2010-2019</a:t>
            </a:r>
            <a:endParaRPr lang="sk-SK" sz="1300" b="1">
              <a:solidFill>
                <a:schemeClr val="tx1">
                  <a:lumMod val="65000"/>
                  <a:lumOff val="35000"/>
                </a:schemeClr>
              </a:solidFill>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'[NCZI-00927-2022_P01.xlsx]OAIM2'!$Q$20</c:f>
              <c:strCache>
                <c:ptCount val="1"/>
                <c:pt idx="0">
                  <c:v>UNM Martin</c:v>
                </c:pt>
              </c:strCache>
            </c:strRef>
          </c:tx>
          <c:spPr>
            <a:ln w="28575" cap="rnd">
              <a:solidFill>
                <a:schemeClr val="accent1"/>
              </a:solidFill>
              <a:round/>
            </a:ln>
            <a:effectLst/>
          </c:spPr>
          <c:marker>
            <c:symbol val="none"/>
          </c:marker>
          <c:cat>
            <c:numRef>
              <c:f>'[NCZI-00927-2022_P01.xlsx]OAIM2'!$R$19:$AA$19</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'[NCZI-00927-2022_P01.xlsx]OAIM2'!$R$20:$AA$20</c:f>
              <c:numCache>
                <c:formatCode>#,##0</c:formatCode>
                <c:ptCount val="10"/>
                <c:pt idx="0">
                  <c:v>237</c:v>
                </c:pt>
                <c:pt idx="1">
                  <c:v>265</c:v>
                </c:pt>
                <c:pt idx="2">
                  <c:v>297</c:v>
                </c:pt>
                <c:pt idx="3">
                  <c:v>343</c:v>
                </c:pt>
                <c:pt idx="4">
                  <c:v>337</c:v>
                </c:pt>
                <c:pt idx="5">
                  <c:v>350</c:v>
                </c:pt>
                <c:pt idx="6">
                  <c:v>416</c:v>
                </c:pt>
                <c:pt idx="7">
                  <c:v>391</c:v>
                </c:pt>
                <c:pt idx="8">
                  <c:v>430</c:v>
                </c:pt>
                <c:pt idx="9">
                  <c:v>422</c:v>
                </c:pt>
              </c:numCache>
            </c:numRef>
          </c:val>
          <c:smooth val="0"/>
          <c:extLst>
            <c:ext xmlns:c16="http://schemas.microsoft.com/office/drawing/2014/chart" uri="{C3380CC4-5D6E-409C-BE32-E72D297353CC}">
              <c16:uniqueId val="{00000000-D8D8-4FEB-A170-9E020FACA5D5}"/>
            </c:ext>
          </c:extLst>
        </c:ser>
        <c:ser>
          <c:idx val="1"/>
          <c:order val="1"/>
          <c:tx>
            <c:strRef>
              <c:f>'[NCZI-00927-2022_P01.xlsx]OAIM2'!$Q$21</c:f>
              <c:strCache>
                <c:ptCount val="1"/>
                <c:pt idx="0">
                  <c:v>FNsP Žilina</c:v>
                </c:pt>
              </c:strCache>
            </c:strRef>
          </c:tx>
          <c:spPr>
            <a:ln w="28575" cap="rnd">
              <a:solidFill>
                <a:schemeClr val="accent2"/>
              </a:solidFill>
              <a:round/>
            </a:ln>
            <a:effectLst/>
          </c:spPr>
          <c:marker>
            <c:symbol val="none"/>
          </c:marker>
          <c:cat>
            <c:numRef>
              <c:f>'[NCZI-00927-2022_P01.xlsx]OAIM2'!$R$19:$AA$19</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'[NCZI-00927-2022_P01.xlsx]OAIM2'!$R$21:$AA$21</c:f>
              <c:numCache>
                <c:formatCode>#,##0</c:formatCode>
                <c:ptCount val="10"/>
                <c:pt idx="0">
                  <c:v>180</c:v>
                </c:pt>
                <c:pt idx="1">
                  <c:v>177</c:v>
                </c:pt>
                <c:pt idx="2">
                  <c:v>168</c:v>
                </c:pt>
                <c:pt idx="3">
                  <c:v>206</c:v>
                </c:pt>
                <c:pt idx="4">
                  <c:v>304</c:v>
                </c:pt>
                <c:pt idx="5">
                  <c:v>268</c:v>
                </c:pt>
                <c:pt idx="6">
                  <c:v>263</c:v>
                </c:pt>
                <c:pt idx="7">
                  <c:v>307</c:v>
                </c:pt>
                <c:pt idx="8">
                  <c:v>273</c:v>
                </c:pt>
                <c:pt idx="9">
                  <c:v>307</c:v>
                </c:pt>
              </c:numCache>
            </c:numRef>
          </c:val>
          <c:smooth val="0"/>
          <c:extLst>
            <c:ext xmlns:c16="http://schemas.microsoft.com/office/drawing/2014/chart" uri="{C3380CC4-5D6E-409C-BE32-E72D297353CC}">
              <c16:uniqueId val="{00000001-D8D8-4FEB-A170-9E020FACA5D5}"/>
            </c:ext>
          </c:extLst>
        </c:ser>
        <c:dLbls>
          <c:showLegendKey val="0"/>
          <c:showVal val="0"/>
          <c:showCatName val="0"/>
          <c:showSerName val="0"/>
          <c:showPercent val="0"/>
          <c:showBubbleSize val="0"/>
        </c:dLbls>
        <c:smooth val="0"/>
        <c:axId val="539857152"/>
        <c:axId val="539857480"/>
      </c:lineChart>
      <c:catAx>
        <c:axId val="53985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39857480"/>
        <c:crosses val="autoZero"/>
        <c:auto val="1"/>
        <c:lblAlgn val="ctr"/>
        <c:lblOffset val="100"/>
        <c:noMultiLvlLbl val="0"/>
      </c:catAx>
      <c:valAx>
        <c:axId val="5398574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3985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COVID pacienti 2020-2022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'[štatistiky k dostavbe.xlsx]COVID'!$O$3</c:f>
              <c:strCache>
                <c:ptCount val="1"/>
                <c:pt idx="0">
                  <c:v>hospitalizovaných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 k dostavbe.xlsx]COVID'!$N$4:$N$21</c:f>
              <c:numCache>
                <c:formatCode>mmm\-yy</c:formatCode>
                <c:ptCount val="18"/>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numCache>
            </c:numRef>
          </c:cat>
          <c:val>
            <c:numRef>
              <c:f>'[štatistiky k dostavbe.xlsx]COVID'!$O$4:$O$21</c:f>
              <c:numCache>
                <c:formatCode>General</c:formatCode>
                <c:ptCount val="18"/>
                <c:pt idx="0">
                  <c:v>2</c:v>
                </c:pt>
                <c:pt idx="1">
                  <c:v>3</c:v>
                </c:pt>
                <c:pt idx="2">
                  <c:v>62</c:v>
                </c:pt>
                <c:pt idx="3">
                  <c:v>172</c:v>
                </c:pt>
                <c:pt idx="4">
                  <c:v>251</c:v>
                </c:pt>
                <c:pt idx="5">
                  <c:v>332</c:v>
                </c:pt>
                <c:pt idx="6">
                  <c:v>283</c:v>
                </c:pt>
                <c:pt idx="7">
                  <c:v>408</c:v>
                </c:pt>
                <c:pt idx="8">
                  <c:v>278</c:v>
                </c:pt>
                <c:pt idx="9">
                  <c:v>103</c:v>
                </c:pt>
                <c:pt idx="10">
                  <c:v>38</c:v>
                </c:pt>
                <c:pt idx="11">
                  <c:v>6</c:v>
                </c:pt>
                <c:pt idx="12">
                  <c:v>6</c:v>
                </c:pt>
                <c:pt idx="13">
                  <c:v>59</c:v>
                </c:pt>
                <c:pt idx="14">
                  <c:v>171</c:v>
                </c:pt>
                <c:pt idx="15">
                  <c:v>461</c:v>
                </c:pt>
                <c:pt idx="16">
                  <c:v>384</c:v>
                </c:pt>
                <c:pt idx="17">
                  <c:v>134</c:v>
                </c:pt>
              </c:numCache>
            </c:numRef>
          </c:val>
          <c:extLst>
            <c:ext xmlns:c16="http://schemas.microsoft.com/office/drawing/2014/chart" uri="{C3380CC4-5D6E-409C-BE32-E72D297353CC}">
              <c16:uniqueId val="{00000000-61D1-4380-A127-E6CAB58A9F26}"/>
            </c:ext>
          </c:extLst>
        </c:ser>
        <c:ser>
          <c:idx val="1"/>
          <c:order val="1"/>
          <c:tx>
            <c:strRef>
              <c:f>'[štatistiky k dostavbe.xlsx]COVID'!$P$3</c:f>
              <c:strCache>
                <c:ptCount val="1"/>
                <c:pt idx="0">
                  <c:v>z toho JIS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 k dostavbe.xlsx]COVID'!$N$4:$N$21</c:f>
              <c:numCache>
                <c:formatCode>mmm\-yy</c:formatCode>
                <c:ptCount val="18"/>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numCache>
            </c:numRef>
          </c:cat>
          <c:val>
            <c:numRef>
              <c:f>'[štatistiky k dostavbe.xlsx]COVID'!$P$4:$P$21</c:f>
              <c:numCache>
                <c:formatCode>General</c:formatCode>
                <c:ptCount val="18"/>
                <c:pt idx="2">
                  <c:v>12</c:v>
                </c:pt>
                <c:pt idx="3">
                  <c:v>1</c:v>
                </c:pt>
                <c:pt idx="4">
                  <c:v>2</c:v>
                </c:pt>
                <c:pt idx="5">
                  <c:v>2</c:v>
                </c:pt>
                <c:pt idx="6">
                  <c:v>2</c:v>
                </c:pt>
                <c:pt idx="7">
                  <c:v>68</c:v>
                </c:pt>
                <c:pt idx="8">
                  <c:v>67</c:v>
                </c:pt>
                <c:pt idx="9">
                  <c:v>26</c:v>
                </c:pt>
                <c:pt idx="10">
                  <c:v>13</c:v>
                </c:pt>
                <c:pt idx="11">
                  <c:v>3</c:v>
                </c:pt>
                <c:pt idx="12">
                  <c:v>1</c:v>
                </c:pt>
                <c:pt idx="13">
                  <c:v>6</c:v>
                </c:pt>
                <c:pt idx="14">
                  <c:v>43</c:v>
                </c:pt>
                <c:pt idx="15">
                  <c:v>61</c:v>
                </c:pt>
                <c:pt idx="16">
                  <c:v>63</c:v>
                </c:pt>
                <c:pt idx="17">
                  <c:v>28</c:v>
                </c:pt>
              </c:numCache>
            </c:numRef>
          </c:val>
          <c:extLst>
            <c:ext xmlns:c16="http://schemas.microsoft.com/office/drawing/2014/chart" uri="{C3380CC4-5D6E-409C-BE32-E72D297353CC}">
              <c16:uniqueId val="{00000001-61D1-4380-A127-E6CAB58A9F26}"/>
            </c:ext>
          </c:extLst>
        </c:ser>
        <c:dLbls>
          <c:dLblPos val="outEnd"/>
          <c:showLegendKey val="0"/>
          <c:showVal val="1"/>
          <c:showCatName val="0"/>
          <c:showSerName val="0"/>
          <c:showPercent val="0"/>
          <c:showBubbleSize val="0"/>
        </c:dLbls>
        <c:gapWidth val="269"/>
        <c:axId val="704619304"/>
        <c:axId val="704611760"/>
      </c:barChart>
      <c:lineChart>
        <c:grouping val="standard"/>
        <c:varyColors val="0"/>
        <c:ser>
          <c:idx val="2"/>
          <c:order val="2"/>
          <c:tx>
            <c:strRef>
              <c:f>'[štatistiky k dostavbe.xlsx]COVID'!$Q$3</c:f>
              <c:strCache>
                <c:ptCount val="1"/>
                <c:pt idx="0">
                  <c:v>z toho ÚPV</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 k dostavbe.xlsx]COVID'!$N$4:$N$21</c:f>
              <c:numCache>
                <c:formatCode>mmm\-yy</c:formatCode>
                <c:ptCount val="18"/>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numCache>
            </c:numRef>
          </c:cat>
          <c:val>
            <c:numRef>
              <c:f>'[štatistiky k dostavbe.xlsx]COVID'!$Q$4:$Q$21</c:f>
              <c:numCache>
                <c:formatCode>General</c:formatCode>
                <c:ptCount val="18"/>
                <c:pt idx="2">
                  <c:v>5</c:v>
                </c:pt>
                <c:pt idx="3">
                  <c:v>17</c:v>
                </c:pt>
                <c:pt idx="4">
                  <c:v>19</c:v>
                </c:pt>
                <c:pt idx="5">
                  <c:v>24</c:v>
                </c:pt>
                <c:pt idx="6">
                  <c:v>28</c:v>
                </c:pt>
                <c:pt idx="7">
                  <c:v>39</c:v>
                </c:pt>
                <c:pt idx="8">
                  <c:v>30</c:v>
                </c:pt>
                <c:pt idx="9">
                  <c:v>15</c:v>
                </c:pt>
                <c:pt idx="10">
                  <c:v>6</c:v>
                </c:pt>
                <c:pt idx="11">
                  <c:v>2</c:v>
                </c:pt>
                <c:pt idx="12">
                  <c:v>1</c:v>
                </c:pt>
                <c:pt idx="13">
                  <c:v>8</c:v>
                </c:pt>
                <c:pt idx="14">
                  <c:v>24</c:v>
                </c:pt>
                <c:pt idx="15">
                  <c:v>36</c:v>
                </c:pt>
                <c:pt idx="16">
                  <c:v>33</c:v>
                </c:pt>
                <c:pt idx="17">
                  <c:v>14</c:v>
                </c:pt>
              </c:numCache>
            </c:numRef>
          </c:val>
          <c:smooth val="0"/>
          <c:extLst>
            <c:ext xmlns:c16="http://schemas.microsoft.com/office/drawing/2014/chart" uri="{C3380CC4-5D6E-409C-BE32-E72D297353CC}">
              <c16:uniqueId val="{00000002-61D1-4380-A127-E6CAB58A9F26}"/>
            </c:ext>
          </c:extLst>
        </c:ser>
        <c:ser>
          <c:idx val="3"/>
          <c:order val="3"/>
          <c:tx>
            <c:strRef>
              <c:f>'[štatistiky k dostavbe.xlsx]COVID'!$R$3</c:f>
              <c:strCache>
                <c:ptCount val="1"/>
                <c:pt idx="0">
                  <c:v>z toho operovaní</c:v>
                </c:pt>
              </c:strCache>
            </c:strRef>
          </c:tx>
          <c:spPr>
            <a:ln w="28575" cap="rnd">
              <a:solidFill>
                <a:schemeClr val="accent4"/>
              </a:solidFill>
              <a:round/>
            </a:ln>
            <a:effectLst/>
          </c:spPr>
          <c:marker>
            <c:symbol val="none"/>
          </c:marker>
          <c:dLbls>
            <c:dLbl>
              <c:idx val="2"/>
              <c:layout>
                <c:manualLayout>
                  <c:x val="0"/>
                  <c:y val="-1.8726591760299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D1-4380-A127-E6CAB58A9F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 k dostavbe.xlsx]COVID'!$N$4:$N$21</c:f>
              <c:numCache>
                <c:formatCode>mmm\-yy</c:formatCode>
                <c:ptCount val="18"/>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numCache>
            </c:numRef>
          </c:cat>
          <c:val>
            <c:numRef>
              <c:f>'[štatistiky k dostavbe.xlsx]COVID'!$R$4:$R$21</c:f>
              <c:numCache>
                <c:formatCode>General</c:formatCode>
                <c:ptCount val="18"/>
                <c:pt idx="2">
                  <c:v>1</c:v>
                </c:pt>
                <c:pt idx="3">
                  <c:v>5</c:v>
                </c:pt>
                <c:pt idx="4">
                  <c:v>10</c:v>
                </c:pt>
                <c:pt idx="5">
                  <c:v>11</c:v>
                </c:pt>
                <c:pt idx="6">
                  <c:v>13</c:v>
                </c:pt>
                <c:pt idx="7">
                  <c:v>6</c:v>
                </c:pt>
                <c:pt idx="8">
                  <c:v>4</c:v>
                </c:pt>
                <c:pt idx="9">
                  <c:v>1</c:v>
                </c:pt>
                <c:pt idx="14">
                  <c:v>2</c:v>
                </c:pt>
                <c:pt idx="15">
                  <c:v>7</c:v>
                </c:pt>
                <c:pt idx="16">
                  <c:v>6</c:v>
                </c:pt>
                <c:pt idx="17">
                  <c:v>4</c:v>
                </c:pt>
              </c:numCache>
            </c:numRef>
          </c:val>
          <c:smooth val="0"/>
          <c:extLst>
            <c:ext xmlns:c16="http://schemas.microsoft.com/office/drawing/2014/chart" uri="{C3380CC4-5D6E-409C-BE32-E72D297353CC}">
              <c16:uniqueId val="{00000004-61D1-4380-A127-E6CAB58A9F26}"/>
            </c:ext>
          </c:extLst>
        </c:ser>
        <c:dLbls>
          <c:showLegendKey val="0"/>
          <c:showVal val="1"/>
          <c:showCatName val="0"/>
          <c:showSerName val="0"/>
          <c:showPercent val="0"/>
          <c:showBubbleSize val="0"/>
        </c:dLbls>
        <c:marker val="1"/>
        <c:smooth val="0"/>
        <c:axId val="704619304"/>
        <c:axId val="704611760"/>
      </c:lineChart>
      <c:dateAx>
        <c:axId val="70461930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04611760"/>
        <c:crosses val="autoZero"/>
        <c:auto val="1"/>
        <c:lblOffset val="100"/>
        <c:baseTimeUnit val="months"/>
      </c:dateAx>
      <c:valAx>
        <c:axId val="7046117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04619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sk-SK" sz="1300" b="1">
                <a:latin typeface="Century Gothic" panose="020B0502020202020204" pitchFamily="34" charset="0"/>
              </a:rPr>
              <a:t>COVID19 hospitalizácie ŽSK</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sk-SK"/>
        </a:p>
      </c:txPr>
    </c:title>
    <c:autoTitleDeleted val="0"/>
    <c:plotArea>
      <c:layout/>
      <c:barChart>
        <c:barDir val="col"/>
        <c:grouping val="clustered"/>
        <c:varyColors val="0"/>
        <c:ser>
          <c:idx val="0"/>
          <c:order val="0"/>
          <c:tx>
            <c:strRef>
              <c:f>'[štatistiky k dostavbe.xlsx]COVID'!$O$34</c:f>
              <c:strCache>
                <c:ptCount val="1"/>
                <c:pt idx="0">
                  <c:v>hospitalizovaných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7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'[štatistiky k dostavbe.xlsx]COVID'!$N$35:$N$41</c:f>
              <c:strCache>
                <c:ptCount val="7"/>
                <c:pt idx="0">
                  <c:v>UNM Martin</c:v>
                </c:pt>
                <c:pt idx="1">
                  <c:v>FNsP Žilina</c:v>
                </c:pt>
                <c:pt idx="2">
                  <c:v>ÚVN Ružomberok</c:v>
                </c:pt>
                <c:pt idx="3">
                  <c:v>NsP Čadca</c:v>
                </c:pt>
                <c:pt idx="4">
                  <c:v>NsP Trstená</c:v>
                </c:pt>
                <c:pt idx="5">
                  <c:v>NsP Dolný Kubín</c:v>
                </c:pt>
                <c:pt idx="6">
                  <c:v>NsP Liptovský Mikuláš</c:v>
                </c:pt>
              </c:strCache>
            </c:strRef>
          </c:cat>
          <c:val>
            <c:numRef>
              <c:f>'[štatistiky k dostavbe.xlsx]COVID'!$O$35:$O$41</c:f>
              <c:numCache>
                <c:formatCode>General</c:formatCode>
                <c:ptCount val="7"/>
                <c:pt idx="0">
                  <c:v>3678</c:v>
                </c:pt>
                <c:pt idx="1">
                  <c:v>3160</c:v>
                </c:pt>
                <c:pt idx="2">
                  <c:v>1634</c:v>
                </c:pt>
                <c:pt idx="3">
                  <c:v>2920</c:v>
                </c:pt>
                <c:pt idx="4">
                  <c:v>1226</c:v>
                </c:pt>
                <c:pt idx="5">
                  <c:v>1350</c:v>
                </c:pt>
                <c:pt idx="6">
                  <c:v>113</c:v>
                </c:pt>
              </c:numCache>
            </c:numRef>
          </c:val>
          <c:extLst>
            <c:ext xmlns:c16="http://schemas.microsoft.com/office/drawing/2014/chart" uri="{C3380CC4-5D6E-409C-BE32-E72D297353CC}">
              <c16:uniqueId val="{00000000-C5ED-4CAA-B687-14DB75489841}"/>
            </c:ext>
          </c:extLst>
        </c:ser>
        <c:ser>
          <c:idx val="1"/>
          <c:order val="1"/>
          <c:tx>
            <c:strRef>
              <c:f>'[štatistiky k dostavbe.xlsx]COVID'!$P$34</c:f>
              <c:strCache>
                <c:ptCount val="1"/>
                <c:pt idx="0">
                  <c:v>z toho JIS a OAIM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8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'[štatistiky k dostavbe.xlsx]COVID'!$N$35:$N$41</c:f>
              <c:strCache>
                <c:ptCount val="7"/>
                <c:pt idx="0">
                  <c:v>UNM Martin</c:v>
                </c:pt>
                <c:pt idx="1">
                  <c:v>FNsP Žilina</c:v>
                </c:pt>
                <c:pt idx="2">
                  <c:v>ÚVN Ružomberok</c:v>
                </c:pt>
                <c:pt idx="3">
                  <c:v>NsP Čadca</c:v>
                </c:pt>
                <c:pt idx="4">
                  <c:v>NsP Trstená</c:v>
                </c:pt>
                <c:pt idx="5">
                  <c:v>NsP Dolný Kubín</c:v>
                </c:pt>
                <c:pt idx="6">
                  <c:v>NsP Liptovský Mikuláš</c:v>
                </c:pt>
              </c:strCache>
            </c:strRef>
          </c:cat>
          <c:val>
            <c:numRef>
              <c:f>'[štatistiky k dostavbe.xlsx]COVID'!$P$35:$P$41</c:f>
              <c:numCache>
                <c:formatCode>General</c:formatCode>
                <c:ptCount val="7"/>
                <c:pt idx="0">
                  <c:v>890</c:v>
                </c:pt>
                <c:pt idx="1">
                  <c:v>451</c:v>
                </c:pt>
                <c:pt idx="2">
                  <c:v>393</c:v>
                </c:pt>
                <c:pt idx="3">
                  <c:v>491</c:v>
                </c:pt>
                <c:pt idx="4">
                  <c:v>162</c:v>
                </c:pt>
                <c:pt idx="5">
                  <c:v>121</c:v>
                </c:pt>
                <c:pt idx="6">
                  <c:v>110</c:v>
                </c:pt>
              </c:numCache>
            </c:numRef>
          </c:val>
          <c:extLst>
            <c:ext xmlns:c16="http://schemas.microsoft.com/office/drawing/2014/chart" uri="{C3380CC4-5D6E-409C-BE32-E72D297353CC}">
              <c16:uniqueId val="{00000001-C5ED-4CAA-B687-14DB75489841}"/>
            </c:ext>
          </c:extLst>
        </c:ser>
        <c:ser>
          <c:idx val="2"/>
          <c:order val="2"/>
          <c:tx>
            <c:strRef>
              <c:f>'[štatistiky k dostavbe.xlsx]COVID'!$Q$34</c:f>
              <c:strCache>
                <c:ptCount val="1"/>
                <c:pt idx="0">
                  <c:v>z toho UPV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8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'[štatistiky k dostavbe.xlsx]COVID'!$N$35:$N$41</c:f>
              <c:strCache>
                <c:ptCount val="7"/>
                <c:pt idx="0">
                  <c:v>UNM Martin</c:v>
                </c:pt>
                <c:pt idx="1">
                  <c:v>FNsP Žilina</c:v>
                </c:pt>
                <c:pt idx="2">
                  <c:v>ÚVN Ružomberok</c:v>
                </c:pt>
                <c:pt idx="3">
                  <c:v>NsP Čadca</c:v>
                </c:pt>
                <c:pt idx="4">
                  <c:v>NsP Trstená</c:v>
                </c:pt>
                <c:pt idx="5">
                  <c:v>NsP Dolný Kubín</c:v>
                </c:pt>
                <c:pt idx="6">
                  <c:v>NsP Liptovský Mikuláš</c:v>
                </c:pt>
              </c:strCache>
            </c:strRef>
          </c:cat>
          <c:val>
            <c:numRef>
              <c:f>'[štatistiky k dostavbe.xlsx]COVID'!$Q$35:$Q$41</c:f>
              <c:numCache>
                <c:formatCode>General</c:formatCode>
                <c:ptCount val="7"/>
                <c:pt idx="0">
                  <c:v>375</c:v>
                </c:pt>
                <c:pt idx="1">
                  <c:v>261</c:v>
                </c:pt>
                <c:pt idx="2">
                  <c:v>260</c:v>
                </c:pt>
                <c:pt idx="3">
                  <c:v>412</c:v>
                </c:pt>
                <c:pt idx="4">
                  <c:v>134</c:v>
                </c:pt>
                <c:pt idx="5">
                  <c:v>96</c:v>
                </c:pt>
                <c:pt idx="6">
                  <c:v>118</c:v>
                </c:pt>
              </c:numCache>
            </c:numRef>
          </c:val>
          <c:extLst>
            <c:ext xmlns:c16="http://schemas.microsoft.com/office/drawing/2014/chart" uri="{C3380CC4-5D6E-409C-BE32-E72D297353CC}">
              <c16:uniqueId val="{00000002-C5ED-4CAA-B687-14DB75489841}"/>
            </c:ext>
          </c:extLst>
        </c:ser>
        <c:dLbls>
          <c:dLblPos val="outEnd"/>
          <c:showLegendKey val="0"/>
          <c:showVal val="1"/>
          <c:showCatName val="0"/>
          <c:showSerName val="0"/>
          <c:showPercent val="0"/>
          <c:showBubbleSize val="0"/>
        </c:dLbls>
        <c:gapWidth val="199"/>
        <c:axId val="529517696"/>
        <c:axId val="529519992"/>
      </c:barChart>
      <c:catAx>
        <c:axId val="52951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sk-SK"/>
          </a:p>
        </c:txPr>
        <c:crossAx val="529519992"/>
        <c:crosses val="autoZero"/>
        <c:auto val="1"/>
        <c:lblAlgn val="ctr"/>
        <c:lblOffset val="100"/>
        <c:noMultiLvlLbl val="0"/>
      </c:catAx>
      <c:valAx>
        <c:axId val="529519992"/>
        <c:scaling>
          <c:orientation val="minMax"/>
        </c:scaling>
        <c:delete val="0"/>
        <c:axPos val="l"/>
        <c:majorGridlines>
          <c:spPr>
            <a:ln w="9525" cap="flat" cmpd="sng" algn="ctr">
              <a:noFill/>
              <a:round/>
            </a:ln>
            <a:effectLst/>
          </c:spPr>
        </c:majorGridlines>
        <c:minorGridlines>
          <c:spPr>
            <a:ln w="9525" cap="flat" cmpd="sng" algn="ctr">
              <a:no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29517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'[FNZA_PUZS_Porov_16012023(1).xlsx]sprac'!$L$30</c:f>
              <c:strCache>
                <c:ptCount val="1"/>
                <c:pt idx="0">
                  <c:v>2019</c:v>
                </c:pt>
              </c:strCache>
            </c:strRef>
          </c:tx>
          <c:invertIfNegative val="0"/>
          <c:dLbls>
            <c:spPr>
              <a:noFill/>
              <a:ln>
                <a:noFill/>
              </a:ln>
              <a:effectLst/>
            </c:spPr>
            <c:txPr>
              <a:bodyPr wrap="square" lIns="38100" tIns="19050" rIns="38100" bIns="19050" anchor="ctr">
                <a:spAutoFit/>
              </a:bodyPr>
              <a:lstStyle/>
              <a:p>
                <a:pPr>
                  <a:defRPr sz="850"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'[FNZA_PUZS_Porov_16012023(1).xlsx]sprac'!$K$31:$K$38</c:f>
              <c:strCache>
                <c:ptCount val="8"/>
                <c:pt idx="0">
                  <c:v>NSP Čadca</c:v>
                </c:pt>
                <c:pt idx="1">
                  <c:v>FNsP Žilina</c:v>
                </c:pt>
                <c:pt idx="2">
                  <c:v>UNM Martin</c:v>
                </c:pt>
                <c:pt idx="3">
                  <c:v>NsP Trstená</c:v>
                </c:pt>
                <c:pt idx="4">
                  <c:v>NsP Považská Bystrica</c:v>
                </c:pt>
                <c:pt idx="5">
                  <c:v>NsP Dolný Kubín</c:v>
                </c:pt>
                <c:pt idx="6">
                  <c:v>NsP Liptovský Mikuláš</c:v>
                </c:pt>
                <c:pt idx="7">
                  <c:v>ÚVN Ružomberok</c:v>
                </c:pt>
              </c:strCache>
            </c:strRef>
          </c:cat>
          <c:val>
            <c:numRef>
              <c:f>'[FNZA_PUZS_Porov_16012023(1).xlsx]sprac'!$L$31:$L$38</c:f>
              <c:numCache>
                <c:formatCode>General</c:formatCode>
                <c:ptCount val="8"/>
                <c:pt idx="0">
                  <c:v>1.02</c:v>
                </c:pt>
                <c:pt idx="1">
                  <c:v>1.22</c:v>
                </c:pt>
                <c:pt idx="2">
                  <c:v>1.31</c:v>
                </c:pt>
                <c:pt idx="3">
                  <c:v>0.88</c:v>
                </c:pt>
                <c:pt idx="4">
                  <c:v>0.96</c:v>
                </c:pt>
                <c:pt idx="5">
                  <c:v>0.96</c:v>
                </c:pt>
                <c:pt idx="6">
                  <c:v>0.98</c:v>
                </c:pt>
                <c:pt idx="7">
                  <c:v>1.22</c:v>
                </c:pt>
              </c:numCache>
            </c:numRef>
          </c:val>
          <c:extLst>
            <c:ext xmlns:c16="http://schemas.microsoft.com/office/drawing/2014/chart" uri="{C3380CC4-5D6E-409C-BE32-E72D297353CC}">
              <c16:uniqueId val="{00000000-EC2B-431F-BC74-EFDABFD26B42}"/>
            </c:ext>
          </c:extLst>
        </c:ser>
        <c:ser>
          <c:idx val="1"/>
          <c:order val="1"/>
          <c:tx>
            <c:strRef>
              <c:f>'[FNZA_PUZS_Porov_16012023(1).xlsx]sprac'!$M$30</c:f>
              <c:strCache>
                <c:ptCount val="1"/>
                <c:pt idx="0">
                  <c:v>2020</c:v>
                </c:pt>
              </c:strCache>
            </c:strRef>
          </c:tx>
          <c:invertIfNegative val="0"/>
          <c:dLbls>
            <c:spPr>
              <a:noFill/>
              <a:ln>
                <a:noFill/>
              </a:ln>
              <a:effectLst/>
            </c:spPr>
            <c:txPr>
              <a:bodyPr wrap="square" lIns="38100" tIns="19050" rIns="38100" bIns="19050" anchor="ctr">
                <a:spAutoFit/>
              </a:bodyPr>
              <a:lstStyle/>
              <a:p>
                <a:pPr>
                  <a:defRPr sz="850"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'[FNZA_PUZS_Porov_16012023(1).xlsx]sprac'!$K$31:$K$38</c:f>
              <c:strCache>
                <c:ptCount val="8"/>
                <c:pt idx="0">
                  <c:v>NSP Čadca</c:v>
                </c:pt>
                <c:pt idx="1">
                  <c:v>FNsP Žilina</c:v>
                </c:pt>
                <c:pt idx="2">
                  <c:v>UNM Martin</c:v>
                </c:pt>
                <c:pt idx="3">
                  <c:v>NsP Trstená</c:v>
                </c:pt>
                <c:pt idx="4">
                  <c:v>NsP Považská Bystrica</c:v>
                </c:pt>
                <c:pt idx="5">
                  <c:v>NsP Dolný Kubín</c:v>
                </c:pt>
                <c:pt idx="6">
                  <c:v>NsP Liptovský Mikuláš</c:v>
                </c:pt>
                <c:pt idx="7">
                  <c:v>ÚVN Ružomberok</c:v>
                </c:pt>
              </c:strCache>
            </c:strRef>
          </c:cat>
          <c:val>
            <c:numRef>
              <c:f>'[FNZA_PUZS_Porov_16012023(1).xlsx]sprac'!$M$31:$M$38</c:f>
              <c:numCache>
                <c:formatCode>General</c:formatCode>
                <c:ptCount val="8"/>
                <c:pt idx="0">
                  <c:v>1.05</c:v>
                </c:pt>
                <c:pt idx="1">
                  <c:v>1.24</c:v>
                </c:pt>
                <c:pt idx="2">
                  <c:v>1.38</c:v>
                </c:pt>
                <c:pt idx="3">
                  <c:v>0.89</c:v>
                </c:pt>
                <c:pt idx="4">
                  <c:v>1.01</c:v>
                </c:pt>
                <c:pt idx="5">
                  <c:v>0.95</c:v>
                </c:pt>
                <c:pt idx="6">
                  <c:v>1</c:v>
                </c:pt>
                <c:pt idx="7">
                  <c:v>1.28</c:v>
                </c:pt>
              </c:numCache>
            </c:numRef>
          </c:val>
          <c:extLst>
            <c:ext xmlns:c16="http://schemas.microsoft.com/office/drawing/2014/chart" uri="{C3380CC4-5D6E-409C-BE32-E72D297353CC}">
              <c16:uniqueId val="{00000001-EC2B-431F-BC74-EFDABFD26B42}"/>
            </c:ext>
          </c:extLst>
        </c:ser>
        <c:ser>
          <c:idx val="2"/>
          <c:order val="2"/>
          <c:tx>
            <c:strRef>
              <c:f>'[FNZA_PUZS_Porov_16012023(1).xlsx]sprac'!$N$30</c:f>
              <c:strCache>
                <c:ptCount val="1"/>
                <c:pt idx="0">
                  <c:v>2021</c:v>
                </c:pt>
              </c:strCache>
            </c:strRef>
          </c:tx>
          <c:invertIfNegative val="0"/>
          <c:dLbls>
            <c:spPr>
              <a:noFill/>
              <a:ln>
                <a:noFill/>
              </a:ln>
              <a:effectLst/>
            </c:spPr>
            <c:txPr>
              <a:bodyPr wrap="square" lIns="38100" tIns="19050" rIns="38100" bIns="19050" anchor="ctr">
                <a:spAutoFit/>
              </a:bodyPr>
              <a:lstStyle/>
              <a:p>
                <a:pPr>
                  <a:defRPr sz="850"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'[FNZA_PUZS_Porov_16012023(1).xlsx]sprac'!$K$31:$K$38</c:f>
              <c:strCache>
                <c:ptCount val="8"/>
                <c:pt idx="0">
                  <c:v>NSP Čadca</c:v>
                </c:pt>
                <c:pt idx="1">
                  <c:v>FNsP Žilina</c:v>
                </c:pt>
                <c:pt idx="2">
                  <c:v>UNM Martin</c:v>
                </c:pt>
                <c:pt idx="3">
                  <c:v>NsP Trstená</c:v>
                </c:pt>
                <c:pt idx="4">
                  <c:v>NsP Považská Bystrica</c:v>
                </c:pt>
                <c:pt idx="5">
                  <c:v>NsP Dolný Kubín</c:v>
                </c:pt>
                <c:pt idx="6">
                  <c:v>NsP Liptovský Mikuláš</c:v>
                </c:pt>
                <c:pt idx="7">
                  <c:v>ÚVN Ružomberok</c:v>
                </c:pt>
              </c:strCache>
            </c:strRef>
          </c:cat>
          <c:val>
            <c:numRef>
              <c:f>'[FNZA_PUZS_Porov_16012023(1).xlsx]sprac'!$N$31:$N$38</c:f>
              <c:numCache>
                <c:formatCode>General</c:formatCode>
                <c:ptCount val="8"/>
                <c:pt idx="0">
                  <c:v>1.04</c:v>
                </c:pt>
                <c:pt idx="1">
                  <c:v>1.25</c:v>
                </c:pt>
                <c:pt idx="2">
                  <c:v>1.4</c:v>
                </c:pt>
                <c:pt idx="3">
                  <c:v>0.89</c:v>
                </c:pt>
                <c:pt idx="4">
                  <c:v>1.04</c:v>
                </c:pt>
                <c:pt idx="5">
                  <c:v>0.94</c:v>
                </c:pt>
                <c:pt idx="6">
                  <c:v>1.04</c:v>
                </c:pt>
                <c:pt idx="7">
                  <c:v>1.34</c:v>
                </c:pt>
              </c:numCache>
            </c:numRef>
          </c:val>
          <c:extLst>
            <c:ext xmlns:c16="http://schemas.microsoft.com/office/drawing/2014/chart" uri="{C3380CC4-5D6E-409C-BE32-E72D297353CC}">
              <c16:uniqueId val="{00000002-EC2B-431F-BC74-EFDABFD26B42}"/>
            </c:ext>
          </c:extLst>
        </c:ser>
        <c:dLbls>
          <c:showLegendKey val="0"/>
          <c:showVal val="1"/>
          <c:showCatName val="0"/>
          <c:showSerName val="0"/>
          <c:showPercent val="0"/>
          <c:showBubbleSize val="0"/>
        </c:dLbls>
        <c:gapWidth val="75"/>
        <c:axId val="184154752"/>
        <c:axId val="187309056"/>
      </c:barChart>
      <c:catAx>
        <c:axId val="184154752"/>
        <c:scaling>
          <c:orientation val="minMax"/>
        </c:scaling>
        <c:delete val="0"/>
        <c:axPos val="l"/>
        <c:numFmt formatCode="General" sourceLinked="1"/>
        <c:majorTickMark val="none"/>
        <c:minorTickMark val="none"/>
        <c:tickLblPos val="nextTo"/>
        <c:crossAx val="187309056"/>
        <c:crosses val="autoZero"/>
        <c:auto val="1"/>
        <c:lblAlgn val="ctr"/>
        <c:lblOffset val="100"/>
        <c:noMultiLvlLbl val="0"/>
      </c:catAx>
      <c:valAx>
        <c:axId val="187309056"/>
        <c:scaling>
          <c:orientation val="minMax"/>
        </c:scaling>
        <c:delete val="0"/>
        <c:axPos val="b"/>
        <c:numFmt formatCode="General" sourceLinked="1"/>
        <c:majorTickMark val="none"/>
        <c:minorTickMark val="none"/>
        <c:tickLblPos val="nextTo"/>
        <c:crossAx val="1841547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sk-SK" sz="1300" b="1" i="0" baseline="0">
                <a:solidFill>
                  <a:schemeClr val="tx1">
                    <a:lumMod val="65000"/>
                    <a:lumOff val="35000"/>
                  </a:schemeClr>
                </a:solidFill>
                <a:effectLst/>
                <a:latin typeface="Century Gothic" panose="020B0502020202020204" pitchFamily="34" charset="0"/>
              </a:rPr>
              <a:t>eCMI 2019-2021 chirurgia</a:t>
            </a:r>
            <a:endParaRPr lang="sk-SK" sz="1300">
              <a:solidFill>
                <a:schemeClr val="tx1">
                  <a:lumMod val="65000"/>
                  <a:lumOff val="35000"/>
                </a:schemeClr>
              </a:solidFill>
              <a:effectLst/>
              <a:latin typeface="Century Gothic" panose="020B0502020202020204" pitchFamily="34" charset="0"/>
            </a:endParaRPr>
          </a:p>
        </c:rich>
      </c:tx>
      <c:overlay val="0"/>
    </c:title>
    <c:autoTitleDeleted val="0"/>
    <c:plotArea>
      <c:layout/>
      <c:barChart>
        <c:barDir val="col"/>
        <c:grouping val="clustered"/>
        <c:varyColors val="0"/>
        <c:ser>
          <c:idx val="0"/>
          <c:order val="0"/>
          <c:tx>
            <c:strRef>
              <c:f>chirurgia!$C$53</c:f>
              <c:strCache>
                <c:ptCount val="1"/>
                <c:pt idx="0">
                  <c:v>2019</c:v>
                </c:pt>
              </c:strCache>
            </c:strRef>
          </c:tx>
          <c:invertIfNegative val="0"/>
          <c:dLbls>
            <c:spPr>
              <a:noFill/>
              <a:ln>
                <a:noFill/>
              </a:ln>
              <a:effectLst/>
            </c:spPr>
            <c:txPr>
              <a:bodyPr wrap="square" lIns="38100" tIns="19050" rIns="38100" bIns="19050" anchor="ctr">
                <a:spAutoFit/>
              </a:bodyPr>
              <a:lstStyle/>
              <a:p>
                <a:pPr>
                  <a:defRPr sz="850"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chirurgia!$B$54:$B$61</c:f>
              <c:strCache>
                <c:ptCount val="8"/>
                <c:pt idx="0">
                  <c:v>NsP Čadca</c:v>
                </c:pt>
                <c:pt idx="1">
                  <c:v>FNsP Žilina</c:v>
                </c:pt>
                <c:pt idx="2">
                  <c:v>UNM Martin</c:v>
                </c:pt>
                <c:pt idx="3">
                  <c:v>NsP Trstená</c:v>
                </c:pt>
                <c:pt idx="4">
                  <c:v>NsP Považská Bystrica</c:v>
                </c:pt>
                <c:pt idx="5">
                  <c:v>NsP Dolný Kubín</c:v>
                </c:pt>
                <c:pt idx="6">
                  <c:v>NsP Liptovský Mikuláš</c:v>
                </c:pt>
                <c:pt idx="7">
                  <c:v>ÚVN Ružomberok</c:v>
                </c:pt>
              </c:strCache>
            </c:strRef>
          </c:cat>
          <c:val>
            <c:numRef>
              <c:f>chirurgia!$C$54:$C$61</c:f>
              <c:numCache>
                <c:formatCode>General</c:formatCode>
                <c:ptCount val="8"/>
                <c:pt idx="0">
                  <c:v>1.06</c:v>
                </c:pt>
                <c:pt idx="1">
                  <c:v>1.35</c:v>
                </c:pt>
                <c:pt idx="2">
                  <c:v>2.14</c:v>
                </c:pt>
                <c:pt idx="3">
                  <c:v>0.96</c:v>
                </c:pt>
                <c:pt idx="4">
                  <c:v>1.01</c:v>
                </c:pt>
                <c:pt idx="5">
                  <c:v>1.06</c:v>
                </c:pt>
                <c:pt idx="6">
                  <c:v>0.92</c:v>
                </c:pt>
                <c:pt idx="7">
                  <c:v>1.1399999999999999</c:v>
                </c:pt>
              </c:numCache>
            </c:numRef>
          </c:val>
          <c:extLst>
            <c:ext xmlns:c16="http://schemas.microsoft.com/office/drawing/2014/chart" uri="{C3380CC4-5D6E-409C-BE32-E72D297353CC}">
              <c16:uniqueId val="{00000000-28D0-4A96-8252-CED22702D98A}"/>
            </c:ext>
          </c:extLst>
        </c:ser>
        <c:ser>
          <c:idx val="1"/>
          <c:order val="1"/>
          <c:tx>
            <c:strRef>
              <c:f>chirurgia!$D$53</c:f>
              <c:strCache>
                <c:ptCount val="1"/>
                <c:pt idx="0">
                  <c:v>2020</c:v>
                </c:pt>
              </c:strCache>
            </c:strRef>
          </c:tx>
          <c:invertIfNegative val="0"/>
          <c:dLbls>
            <c:spPr>
              <a:noFill/>
              <a:ln>
                <a:noFill/>
              </a:ln>
              <a:effectLst/>
            </c:spPr>
            <c:txPr>
              <a:bodyPr wrap="square" lIns="38100" tIns="19050" rIns="38100" bIns="19050" anchor="ctr">
                <a:spAutoFit/>
              </a:bodyPr>
              <a:lstStyle/>
              <a:p>
                <a:pPr>
                  <a:defRPr sz="850"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chirurgia!$B$54:$B$61</c:f>
              <c:strCache>
                <c:ptCount val="8"/>
                <c:pt idx="0">
                  <c:v>NsP Čadca</c:v>
                </c:pt>
                <c:pt idx="1">
                  <c:v>FNsP Žilina</c:v>
                </c:pt>
                <c:pt idx="2">
                  <c:v>UNM Martin</c:v>
                </c:pt>
                <c:pt idx="3">
                  <c:v>NsP Trstená</c:v>
                </c:pt>
                <c:pt idx="4">
                  <c:v>NsP Považská Bystrica</c:v>
                </c:pt>
                <c:pt idx="5">
                  <c:v>NsP Dolný Kubín</c:v>
                </c:pt>
                <c:pt idx="6">
                  <c:v>NsP Liptovský Mikuláš</c:v>
                </c:pt>
                <c:pt idx="7">
                  <c:v>ÚVN Ružomberok</c:v>
                </c:pt>
              </c:strCache>
            </c:strRef>
          </c:cat>
          <c:val>
            <c:numRef>
              <c:f>chirurgia!$D$54:$D$61</c:f>
              <c:numCache>
                <c:formatCode>General</c:formatCode>
                <c:ptCount val="8"/>
                <c:pt idx="0">
                  <c:v>1.1299999999999999</c:v>
                </c:pt>
                <c:pt idx="1">
                  <c:v>1.42</c:v>
                </c:pt>
                <c:pt idx="2">
                  <c:v>2.17</c:v>
                </c:pt>
                <c:pt idx="3">
                  <c:v>0.99</c:v>
                </c:pt>
                <c:pt idx="4">
                  <c:v>1.1399999999999999</c:v>
                </c:pt>
                <c:pt idx="5">
                  <c:v>1.1000000000000001</c:v>
                </c:pt>
                <c:pt idx="6">
                  <c:v>0.98</c:v>
                </c:pt>
                <c:pt idx="7">
                  <c:v>1.2</c:v>
                </c:pt>
              </c:numCache>
            </c:numRef>
          </c:val>
          <c:extLst>
            <c:ext xmlns:c16="http://schemas.microsoft.com/office/drawing/2014/chart" uri="{C3380CC4-5D6E-409C-BE32-E72D297353CC}">
              <c16:uniqueId val="{00000001-28D0-4A96-8252-CED22702D98A}"/>
            </c:ext>
          </c:extLst>
        </c:ser>
        <c:ser>
          <c:idx val="2"/>
          <c:order val="2"/>
          <c:tx>
            <c:strRef>
              <c:f>chirurgia!$E$53</c:f>
              <c:strCache>
                <c:ptCount val="1"/>
                <c:pt idx="0">
                  <c:v>2021</c:v>
                </c:pt>
              </c:strCache>
            </c:strRef>
          </c:tx>
          <c:invertIfNegative val="0"/>
          <c:dLbls>
            <c:spPr>
              <a:noFill/>
              <a:ln>
                <a:noFill/>
              </a:ln>
              <a:effectLst/>
            </c:spPr>
            <c:txPr>
              <a:bodyPr wrap="square" lIns="38100" tIns="19050" rIns="38100" bIns="19050" anchor="ctr">
                <a:spAutoFit/>
              </a:bodyPr>
              <a:lstStyle/>
              <a:p>
                <a:pPr>
                  <a:defRPr sz="850"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chirurgia!$B$54:$B$61</c:f>
              <c:strCache>
                <c:ptCount val="8"/>
                <c:pt idx="0">
                  <c:v>NsP Čadca</c:v>
                </c:pt>
                <c:pt idx="1">
                  <c:v>FNsP Žilina</c:v>
                </c:pt>
                <c:pt idx="2">
                  <c:v>UNM Martin</c:v>
                </c:pt>
                <c:pt idx="3">
                  <c:v>NsP Trstená</c:v>
                </c:pt>
                <c:pt idx="4">
                  <c:v>NsP Považská Bystrica</c:v>
                </c:pt>
                <c:pt idx="5">
                  <c:v>NsP Dolný Kubín</c:v>
                </c:pt>
                <c:pt idx="6">
                  <c:v>NsP Liptovský Mikuláš</c:v>
                </c:pt>
                <c:pt idx="7">
                  <c:v>ÚVN Ružomberok</c:v>
                </c:pt>
              </c:strCache>
            </c:strRef>
          </c:cat>
          <c:val>
            <c:numRef>
              <c:f>chirurgia!$E$54:$E$61</c:f>
              <c:numCache>
                <c:formatCode>0.00</c:formatCode>
                <c:ptCount val="8"/>
                <c:pt idx="0">
                  <c:v>1.1299999999999999</c:v>
                </c:pt>
                <c:pt idx="1">
                  <c:v>1.63</c:v>
                </c:pt>
                <c:pt idx="2">
                  <c:v>2.2247791164658639</c:v>
                </c:pt>
                <c:pt idx="3">
                  <c:v>1.06</c:v>
                </c:pt>
                <c:pt idx="4">
                  <c:v>1.1586802295253</c:v>
                </c:pt>
                <c:pt idx="5">
                  <c:v>1.2</c:v>
                </c:pt>
                <c:pt idx="6">
                  <c:v>1.02</c:v>
                </c:pt>
                <c:pt idx="7">
                  <c:v>1.272936576889661</c:v>
                </c:pt>
              </c:numCache>
            </c:numRef>
          </c:val>
          <c:extLst>
            <c:ext xmlns:c16="http://schemas.microsoft.com/office/drawing/2014/chart" uri="{C3380CC4-5D6E-409C-BE32-E72D297353CC}">
              <c16:uniqueId val="{00000002-28D0-4A96-8252-CED22702D98A}"/>
            </c:ext>
          </c:extLst>
        </c:ser>
        <c:dLbls>
          <c:showLegendKey val="0"/>
          <c:showVal val="0"/>
          <c:showCatName val="0"/>
          <c:showSerName val="0"/>
          <c:showPercent val="0"/>
          <c:showBubbleSize val="0"/>
        </c:dLbls>
        <c:gapWidth val="75"/>
        <c:overlap val="-25"/>
        <c:axId val="341597016"/>
        <c:axId val="341597408"/>
      </c:barChart>
      <c:catAx>
        <c:axId val="341597016"/>
        <c:scaling>
          <c:orientation val="minMax"/>
        </c:scaling>
        <c:delete val="0"/>
        <c:axPos val="b"/>
        <c:numFmt formatCode="General" sourceLinked="1"/>
        <c:majorTickMark val="none"/>
        <c:minorTickMark val="none"/>
        <c:tickLblPos val="nextTo"/>
        <c:crossAx val="341597408"/>
        <c:crosses val="autoZero"/>
        <c:auto val="1"/>
        <c:lblAlgn val="ctr"/>
        <c:lblOffset val="100"/>
        <c:noMultiLvlLbl val="0"/>
      </c:catAx>
      <c:valAx>
        <c:axId val="341597408"/>
        <c:scaling>
          <c:orientation val="minMax"/>
        </c:scaling>
        <c:delete val="0"/>
        <c:axPos val="l"/>
        <c:numFmt formatCode="General" sourceLinked="1"/>
        <c:majorTickMark val="none"/>
        <c:minorTickMark val="none"/>
        <c:tickLblPos val="nextTo"/>
        <c:spPr>
          <a:ln w="6350">
            <a:noFill/>
          </a:ln>
        </c:spPr>
        <c:crossAx val="34159701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300">
                <a:solidFill>
                  <a:schemeClr val="tx1">
                    <a:lumMod val="75000"/>
                    <a:lumOff val="25000"/>
                  </a:schemeClr>
                </a:solidFill>
                <a:latin typeface="Century Gothic" panose="020B0502020202020204" pitchFamily="34" charset="0"/>
              </a:rPr>
              <a:t>eCMI úrazová chirurgia 2019-2021</a:t>
            </a:r>
          </a:p>
        </c:rich>
      </c:tx>
      <c:overlay val="0"/>
    </c:title>
    <c:autoTitleDeleted val="0"/>
    <c:plotArea>
      <c:layout/>
      <c:barChart>
        <c:barDir val="col"/>
        <c:grouping val="clustered"/>
        <c:varyColors val="0"/>
        <c:ser>
          <c:idx val="0"/>
          <c:order val="0"/>
          <c:tx>
            <c:strRef>
              <c:f>[FNZA_Odbornosti_16012023.xlsx]trauma!$C$23</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[FNZA_Odbornosti_16012023.xlsx]trauma!$B$24:$B$28</c:f>
              <c:strCache>
                <c:ptCount val="5"/>
                <c:pt idx="0">
                  <c:v>NsP Čadca</c:v>
                </c:pt>
                <c:pt idx="1">
                  <c:v>FNsP Žilina</c:v>
                </c:pt>
                <c:pt idx="2">
                  <c:v>UNM Martin</c:v>
                </c:pt>
                <c:pt idx="3">
                  <c:v>NsP Liptovský Mikuláš</c:v>
                </c:pt>
                <c:pt idx="4">
                  <c:v>ÚVN Ružomberok</c:v>
                </c:pt>
              </c:strCache>
            </c:strRef>
          </c:cat>
          <c:val>
            <c:numRef>
              <c:f>[FNZA_Odbornosti_16012023.xlsx]trauma!$C$24:$C$28</c:f>
              <c:numCache>
                <c:formatCode>General</c:formatCode>
                <c:ptCount val="5"/>
                <c:pt idx="0">
                  <c:v>1.07</c:v>
                </c:pt>
                <c:pt idx="1">
                  <c:v>1.28</c:v>
                </c:pt>
                <c:pt idx="2">
                  <c:v>1.55</c:v>
                </c:pt>
                <c:pt idx="3">
                  <c:v>1.01</c:v>
                </c:pt>
                <c:pt idx="4">
                  <c:v>1.08</c:v>
                </c:pt>
              </c:numCache>
            </c:numRef>
          </c:val>
          <c:extLst>
            <c:ext xmlns:c16="http://schemas.microsoft.com/office/drawing/2014/chart" uri="{C3380CC4-5D6E-409C-BE32-E72D297353CC}">
              <c16:uniqueId val="{00000000-F546-4090-A3B8-0A82F938808E}"/>
            </c:ext>
          </c:extLst>
        </c:ser>
        <c:ser>
          <c:idx val="1"/>
          <c:order val="1"/>
          <c:tx>
            <c:strRef>
              <c:f>[FNZA_Odbornosti_16012023.xlsx]trauma!$D$23</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[FNZA_Odbornosti_16012023.xlsx]trauma!$B$24:$B$28</c:f>
              <c:strCache>
                <c:ptCount val="5"/>
                <c:pt idx="0">
                  <c:v>NsP Čadca</c:v>
                </c:pt>
                <c:pt idx="1">
                  <c:v>FNsP Žilina</c:v>
                </c:pt>
                <c:pt idx="2">
                  <c:v>UNM Martin</c:v>
                </c:pt>
                <c:pt idx="3">
                  <c:v>NsP Liptovský Mikuláš</c:v>
                </c:pt>
                <c:pt idx="4">
                  <c:v>ÚVN Ružomberok</c:v>
                </c:pt>
              </c:strCache>
            </c:strRef>
          </c:cat>
          <c:val>
            <c:numRef>
              <c:f>[FNZA_Odbornosti_16012023.xlsx]trauma!$D$24:$D$28</c:f>
              <c:numCache>
                <c:formatCode>General</c:formatCode>
                <c:ptCount val="5"/>
                <c:pt idx="0">
                  <c:v>1.1200000000000001</c:v>
                </c:pt>
                <c:pt idx="1">
                  <c:v>1.49</c:v>
                </c:pt>
                <c:pt idx="2">
                  <c:v>1.57</c:v>
                </c:pt>
                <c:pt idx="3">
                  <c:v>1</c:v>
                </c:pt>
                <c:pt idx="4">
                  <c:v>1.18</c:v>
                </c:pt>
              </c:numCache>
            </c:numRef>
          </c:val>
          <c:extLst>
            <c:ext xmlns:c16="http://schemas.microsoft.com/office/drawing/2014/chart" uri="{C3380CC4-5D6E-409C-BE32-E72D297353CC}">
              <c16:uniqueId val="{00000001-F546-4090-A3B8-0A82F938808E}"/>
            </c:ext>
          </c:extLst>
        </c:ser>
        <c:ser>
          <c:idx val="2"/>
          <c:order val="2"/>
          <c:tx>
            <c:strRef>
              <c:f>[FNZA_Odbornosti_16012023.xlsx]trauma!$E$23</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[FNZA_Odbornosti_16012023.xlsx]trauma!$B$24:$B$28</c:f>
              <c:strCache>
                <c:ptCount val="5"/>
                <c:pt idx="0">
                  <c:v>NsP Čadca</c:v>
                </c:pt>
                <c:pt idx="1">
                  <c:v>FNsP Žilina</c:v>
                </c:pt>
                <c:pt idx="2">
                  <c:v>UNM Martin</c:v>
                </c:pt>
                <c:pt idx="3">
                  <c:v>NsP Liptovský Mikuláš</c:v>
                </c:pt>
                <c:pt idx="4">
                  <c:v>ÚVN Ružomberok</c:v>
                </c:pt>
              </c:strCache>
            </c:strRef>
          </c:cat>
          <c:val>
            <c:numRef>
              <c:f>[FNZA_Odbornosti_16012023.xlsx]trauma!$E$24:$E$28</c:f>
              <c:numCache>
                <c:formatCode>0.00</c:formatCode>
                <c:ptCount val="5"/>
                <c:pt idx="0">
                  <c:v>1.18</c:v>
                </c:pt>
                <c:pt idx="1">
                  <c:v>1.4718745387453875</c:v>
                </c:pt>
                <c:pt idx="2">
                  <c:v>1.76</c:v>
                </c:pt>
                <c:pt idx="3">
                  <c:v>0.99</c:v>
                </c:pt>
                <c:pt idx="4">
                  <c:v>1.25</c:v>
                </c:pt>
              </c:numCache>
            </c:numRef>
          </c:val>
          <c:extLst>
            <c:ext xmlns:c16="http://schemas.microsoft.com/office/drawing/2014/chart" uri="{C3380CC4-5D6E-409C-BE32-E72D297353CC}">
              <c16:uniqueId val="{00000002-F546-4090-A3B8-0A82F938808E}"/>
            </c:ext>
          </c:extLst>
        </c:ser>
        <c:dLbls>
          <c:showLegendKey val="0"/>
          <c:showVal val="0"/>
          <c:showCatName val="0"/>
          <c:showSerName val="0"/>
          <c:showPercent val="0"/>
          <c:showBubbleSize val="0"/>
        </c:dLbls>
        <c:gapWidth val="75"/>
        <c:overlap val="-25"/>
        <c:axId val="341602896"/>
        <c:axId val="341603680"/>
      </c:barChart>
      <c:catAx>
        <c:axId val="341602896"/>
        <c:scaling>
          <c:orientation val="minMax"/>
        </c:scaling>
        <c:delete val="0"/>
        <c:axPos val="b"/>
        <c:numFmt formatCode="General" sourceLinked="0"/>
        <c:majorTickMark val="none"/>
        <c:minorTickMark val="none"/>
        <c:tickLblPos val="nextTo"/>
        <c:crossAx val="341603680"/>
        <c:crosses val="autoZero"/>
        <c:auto val="1"/>
        <c:lblAlgn val="ctr"/>
        <c:lblOffset val="100"/>
        <c:noMultiLvlLbl val="0"/>
      </c:catAx>
      <c:valAx>
        <c:axId val="341603680"/>
        <c:scaling>
          <c:orientation val="minMax"/>
        </c:scaling>
        <c:delete val="0"/>
        <c:axPos val="l"/>
        <c:numFmt formatCode="General" sourceLinked="1"/>
        <c:majorTickMark val="none"/>
        <c:minorTickMark val="none"/>
        <c:tickLblPos val="nextTo"/>
        <c:spPr>
          <a:ln w="6350">
            <a:noFill/>
          </a:ln>
        </c:spPr>
        <c:crossAx val="3416028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300">
                <a:solidFill>
                  <a:schemeClr val="tx1">
                    <a:lumMod val="65000"/>
                    <a:lumOff val="35000"/>
                  </a:schemeClr>
                </a:solidFill>
                <a:latin typeface="Century Gothic" panose="020B0502020202020204" pitchFamily="34" charset="0"/>
              </a:rPr>
              <a:t>eCMI</a:t>
            </a:r>
            <a:r>
              <a:rPr lang="sk-SK" sz="1300" baseline="0">
                <a:solidFill>
                  <a:schemeClr val="tx1">
                    <a:lumMod val="65000"/>
                    <a:lumOff val="35000"/>
                  </a:schemeClr>
                </a:solidFill>
                <a:latin typeface="Century Gothic" panose="020B0502020202020204" pitchFamily="34" charset="0"/>
              </a:rPr>
              <a:t> GPO 2019-2021</a:t>
            </a:r>
            <a:endParaRPr lang="sk-SK" sz="1300">
              <a:solidFill>
                <a:schemeClr val="tx1">
                  <a:lumMod val="65000"/>
                  <a:lumOff val="35000"/>
                </a:schemeClr>
              </a:solidFill>
              <a:latin typeface="Century Gothic" panose="020B0502020202020204" pitchFamily="34" charset="0"/>
            </a:endParaRPr>
          </a:p>
        </c:rich>
      </c:tx>
      <c:overlay val="0"/>
    </c:title>
    <c:autoTitleDeleted val="0"/>
    <c:plotArea>
      <c:layout/>
      <c:barChart>
        <c:barDir val="col"/>
        <c:grouping val="clustered"/>
        <c:varyColors val="0"/>
        <c:ser>
          <c:idx val="0"/>
          <c:order val="0"/>
          <c:tx>
            <c:strRef>
              <c:f>gynek!$E$38</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gynek!$D$39:$D$46</c:f>
              <c:strCache>
                <c:ptCount val="8"/>
                <c:pt idx="0">
                  <c:v>FnSP Čadca</c:v>
                </c:pt>
                <c:pt idx="1">
                  <c:v>FNsP Žilina</c:v>
                </c:pt>
                <c:pt idx="2">
                  <c:v>UN Martin</c:v>
                </c:pt>
                <c:pt idx="3">
                  <c:v>NsP Trstená</c:v>
                </c:pt>
                <c:pt idx="4">
                  <c:v>NsP Považská Bystrica</c:v>
                </c:pt>
                <c:pt idx="5">
                  <c:v>NsP Dolný Kubín</c:v>
                </c:pt>
                <c:pt idx="6">
                  <c:v>FNsP Liptovský Mikuláš</c:v>
                </c:pt>
                <c:pt idx="7">
                  <c:v>UVN Ružomberok</c:v>
                </c:pt>
              </c:strCache>
            </c:strRef>
          </c:cat>
          <c:val>
            <c:numRef>
              <c:f>gynek!$E$39:$E$46</c:f>
              <c:numCache>
                <c:formatCode>0.00</c:formatCode>
                <c:ptCount val="8"/>
                <c:pt idx="0">
                  <c:v>0.73</c:v>
                </c:pt>
                <c:pt idx="1">
                  <c:v>0.68</c:v>
                </c:pt>
                <c:pt idx="2">
                  <c:v>0.94</c:v>
                </c:pt>
                <c:pt idx="3">
                  <c:v>0.75</c:v>
                </c:pt>
                <c:pt idx="4">
                  <c:v>0.71</c:v>
                </c:pt>
                <c:pt idx="5">
                  <c:v>0.75</c:v>
                </c:pt>
                <c:pt idx="6">
                  <c:v>0.79</c:v>
                </c:pt>
                <c:pt idx="7">
                  <c:v>0.77</c:v>
                </c:pt>
              </c:numCache>
            </c:numRef>
          </c:val>
          <c:extLst>
            <c:ext xmlns:c16="http://schemas.microsoft.com/office/drawing/2014/chart" uri="{C3380CC4-5D6E-409C-BE32-E72D297353CC}">
              <c16:uniqueId val="{00000000-0F05-40A7-83EE-EBC003F87A53}"/>
            </c:ext>
          </c:extLst>
        </c:ser>
        <c:ser>
          <c:idx val="1"/>
          <c:order val="1"/>
          <c:tx>
            <c:strRef>
              <c:f>gynek!$F$38</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gynek!$D$39:$D$46</c:f>
              <c:strCache>
                <c:ptCount val="8"/>
                <c:pt idx="0">
                  <c:v>FnSP Čadca</c:v>
                </c:pt>
                <c:pt idx="1">
                  <c:v>FNsP Žilina</c:v>
                </c:pt>
                <c:pt idx="2">
                  <c:v>UN Martin</c:v>
                </c:pt>
                <c:pt idx="3">
                  <c:v>NsP Trstená</c:v>
                </c:pt>
                <c:pt idx="4">
                  <c:v>NsP Považská Bystrica</c:v>
                </c:pt>
                <c:pt idx="5">
                  <c:v>NsP Dolný Kubín</c:v>
                </c:pt>
                <c:pt idx="6">
                  <c:v>FNsP Liptovský Mikuláš</c:v>
                </c:pt>
                <c:pt idx="7">
                  <c:v>UVN Ružomberok</c:v>
                </c:pt>
              </c:strCache>
            </c:strRef>
          </c:cat>
          <c:val>
            <c:numRef>
              <c:f>gynek!$F$39:$F$46</c:f>
              <c:numCache>
                <c:formatCode>0.00</c:formatCode>
                <c:ptCount val="8"/>
                <c:pt idx="0">
                  <c:v>0.83</c:v>
                </c:pt>
                <c:pt idx="1">
                  <c:v>0.72</c:v>
                </c:pt>
                <c:pt idx="2">
                  <c:v>0.85</c:v>
                </c:pt>
                <c:pt idx="3">
                  <c:v>0.74</c:v>
                </c:pt>
                <c:pt idx="4">
                  <c:v>0.73</c:v>
                </c:pt>
                <c:pt idx="5">
                  <c:v>0.74</c:v>
                </c:pt>
                <c:pt idx="6">
                  <c:v>0.8</c:v>
                </c:pt>
                <c:pt idx="7">
                  <c:v>0.76</c:v>
                </c:pt>
              </c:numCache>
            </c:numRef>
          </c:val>
          <c:extLst>
            <c:ext xmlns:c16="http://schemas.microsoft.com/office/drawing/2014/chart" uri="{C3380CC4-5D6E-409C-BE32-E72D297353CC}">
              <c16:uniqueId val="{00000001-0F05-40A7-83EE-EBC003F87A53}"/>
            </c:ext>
          </c:extLst>
        </c:ser>
        <c:ser>
          <c:idx val="2"/>
          <c:order val="2"/>
          <c:tx>
            <c:strRef>
              <c:f>gynek!$G$38</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gynek!$D$39:$D$46</c:f>
              <c:strCache>
                <c:ptCount val="8"/>
                <c:pt idx="0">
                  <c:v>FnSP Čadca</c:v>
                </c:pt>
                <c:pt idx="1">
                  <c:v>FNsP Žilina</c:v>
                </c:pt>
                <c:pt idx="2">
                  <c:v>UN Martin</c:v>
                </c:pt>
                <c:pt idx="3">
                  <c:v>NsP Trstená</c:v>
                </c:pt>
                <c:pt idx="4">
                  <c:v>NsP Považská Bystrica</c:v>
                </c:pt>
                <c:pt idx="5">
                  <c:v>NsP Dolný Kubín</c:v>
                </c:pt>
                <c:pt idx="6">
                  <c:v>FNsP Liptovský Mikuláš</c:v>
                </c:pt>
                <c:pt idx="7">
                  <c:v>UVN Ružomberok</c:v>
                </c:pt>
              </c:strCache>
            </c:strRef>
          </c:cat>
          <c:val>
            <c:numRef>
              <c:f>gynek!$G$39:$G$46</c:f>
              <c:numCache>
                <c:formatCode>0.00</c:formatCode>
                <c:ptCount val="8"/>
                <c:pt idx="0">
                  <c:v>0.86</c:v>
                </c:pt>
                <c:pt idx="1">
                  <c:v>0.72</c:v>
                </c:pt>
                <c:pt idx="2">
                  <c:v>0.9042553191489362</c:v>
                </c:pt>
                <c:pt idx="3">
                  <c:v>0.79</c:v>
                </c:pt>
                <c:pt idx="4">
                  <c:v>0.74</c:v>
                </c:pt>
                <c:pt idx="5">
                  <c:v>0.72387730792138183</c:v>
                </c:pt>
                <c:pt idx="6">
                  <c:v>0.76</c:v>
                </c:pt>
                <c:pt idx="7">
                  <c:v>0.79</c:v>
                </c:pt>
              </c:numCache>
            </c:numRef>
          </c:val>
          <c:extLst>
            <c:ext xmlns:c16="http://schemas.microsoft.com/office/drawing/2014/chart" uri="{C3380CC4-5D6E-409C-BE32-E72D297353CC}">
              <c16:uniqueId val="{00000002-0F05-40A7-83EE-EBC003F87A53}"/>
            </c:ext>
          </c:extLst>
        </c:ser>
        <c:dLbls>
          <c:showLegendKey val="0"/>
          <c:showVal val="0"/>
          <c:showCatName val="0"/>
          <c:showSerName val="0"/>
          <c:showPercent val="0"/>
          <c:showBubbleSize val="0"/>
        </c:dLbls>
        <c:gapWidth val="75"/>
        <c:overlap val="-25"/>
        <c:axId val="204461952"/>
        <c:axId val="204463488"/>
      </c:barChart>
      <c:catAx>
        <c:axId val="204461952"/>
        <c:scaling>
          <c:orientation val="minMax"/>
        </c:scaling>
        <c:delete val="0"/>
        <c:axPos val="b"/>
        <c:numFmt formatCode="General" sourceLinked="0"/>
        <c:majorTickMark val="none"/>
        <c:minorTickMark val="none"/>
        <c:tickLblPos val="nextTo"/>
        <c:crossAx val="204463488"/>
        <c:crosses val="autoZero"/>
        <c:auto val="1"/>
        <c:lblAlgn val="ctr"/>
        <c:lblOffset val="100"/>
        <c:noMultiLvlLbl val="0"/>
      </c:catAx>
      <c:valAx>
        <c:axId val="204463488"/>
        <c:scaling>
          <c:orientation val="minMax"/>
        </c:scaling>
        <c:delete val="0"/>
        <c:axPos val="l"/>
        <c:numFmt formatCode="0.00" sourceLinked="1"/>
        <c:majorTickMark val="none"/>
        <c:minorTickMark val="none"/>
        <c:tickLblPos val="nextTo"/>
        <c:spPr>
          <a:ln w="6350">
            <a:noFill/>
          </a:ln>
        </c:spPr>
        <c:crossAx val="2044619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k-SK" sz="1300">
                <a:solidFill>
                  <a:schemeClr val="tx1">
                    <a:lumMod val="75000"/>
                    <a:lumOff val="25000"/>
                  </a:schemeClr>
                </a:solidFill>
                <a:latin typeface="Century Gothic" panose="020B0502020202020204" pitchFamily="34" charset="0"/>
              </a:rPr>
              <a:t>eCMI 2019-2021 vnútorné lekárstvo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barChart>
        <c:barDir val="col"/>
        <c:grouping val="clustered"/>
        <c:varyColors val="0"/>
        <c:ser>
          <c:idx val="0"/>
          <c:order val="0"/>
          <c:tx>
            <c:strRef>
              <c:f>interná!$H$2</c:f>
              <c:strCache>
                <c:ptCount val="1"/>
                <c:pt idx="0">
                  <c:v>2019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interná!$G$3:$G$10</c:f>
              <c:strCache>
                <c:ptCount val="8"/>
                <c:pt idx="0">
                  <c:v>FnSP Čadca</c:v>
                </c:pt>
                <c:pt idx="1">
                  <c:v>FNsP Žilina</c:v>
                </c:pt>
                <c:pt idx="2">
                  <c:v>UN Martin</c:v>
                </c:pt>
                <c:pt idx="3">
                  <c:v>NsP Trstená</c:v>
                </c:pt>
                <c:pt idx="4">
                  <c:v>NsP Považská Bystrica</c:v>
                </c:pt>
                <c:pt idx="5">
                  <c:v>NsP Dolný Kubín</c:v>
                </c:pt>
                <c:pt idx="6">
                  <c:v>FNsP Liptovský Mikuláš</c:v>
                </c:pt>
                <c:pt idx="7">
                  <c:v>UVN Ružomberok</c:v>
                </c:pt>
              </c:strCache>
            </c:strRef>
          </c:cat>
          <c:val>
            <c:numRef>
              <c:f>interná!$H$3:$H$10</c:f>
              <c:numCache>
                <c:formatCode>General</c:formatCode>
                <c:ptCount val="8"/>
                <c:pt idx="0">
                  <c:v>0.89</c:v>
                </c:pt>
                <c:pt idx="1">
                  <c:v>0.99</c:v>
                </c:pt>
                <c:pt idx="2">
                  <c:v>1.05</c:v>
                </c:pt>
                <c:pt idx="3">
                  <c:v>0.84</c:v>
                </c:pt>
                <c:pt idx="4">
                  <c:v>0.87</c:v>
                </c:pt>
                <c:pt idx="5">
                  <c:v>0.89</c:v>
                </c:pt>
                <c:pt idx="6">
                  <c:v>0.91</c:v>
                </c:pt>
                <c:pt idx="7">
                  <c:v>0.88</c:v>
                </c:pt>
              </c:numCache>
            </c:numRef>
          </c:val>
          <c:extLst>
            <c:ext xmlns:c16="http://schemas.microsoft.com/office/drawing/2014/chart" uri="{C3380CC4-5D6E-409C-BE32-E72D297353CC}">
              <c16:uniqueId val="{00000000-4855-4859-B2BC-001763B279BB}"/>
            </c:ext>
          </c:extLst>
        </c:ser>
        <c:ser>
          <c:idx val="1"/>
          <c:order val="1"/>
          <c:tx>
            <c:strRef>
              <c:f>interná!$I$2</c:f>
              <c:strCache>
                <c:ptCount val="1"/>
                <c:pt idx="0">
                  <c:v>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interná!$G$3:$G$10</c:f>
              <c:strCache>
                <c:ptCount val="8"/>
                <c:pt idx="0">
                  <c:v>FnSP Čadca</c:v>
                </c:pt>
                <c:pt idx="1">
                  <c:v>FNsP Žilina</c:v>
                </c:pt>
                <c:pt idx="2">
                  <c:v>UN Martin</c:v>
                </c:pt>
                <c:pt idx="3">
                  <c:v>NsP Trstená</c:v>
                </c:pt>
                <c:pt idx="4">
                  <c:v>NsP Považská Bystrica</c:v>
                </c:pt>
                <c:pt idx="5">
                  <c:v>NsP Dolný Kubín</c:v>
                </c:pt>
                <c:pt idx="6">
                  <c:v>FNsP Liptovský Mikuláš</c:v>
                </c:pt>
                <c:pt idx="7">
                  <c:v>UVN Ružomberok</c:v>
                </c:pt>
              </c:strCache>
            </c:strRef>
          </c:cat>
          <c:val>
            <c:numRef>
              <c:f>interná!$I$3:$I$10</c:f>
              <c:numCache>
                <c:formatCode>General</c:formatCode>
                <c:ptCount val="8"/>
                <c:pt idx="0">
                  <c:v>0.97</c:v>
                </c:pt>
                <c:pt idx="1">
                  <c:v>1.03</c:v>
                </c:pt>
                <c:pt idx="2">
                  <c:v>1.22</c:v>
                </c:pt>
                <c:pt idx="3">
                  <c:v>0.93</c:v>
                </c:pt>
                <c:pt idx="4">
                  <c:v>0.94</c:v>
                </c:pt>
                <c:pt idx="5">
                  <c:v>0.9</c:v>
                </c:pt>
                <c:pt idx="6">
                  <c:v>0.95</c:v>
                </c:pt>
                <c:pt idx="7">
                  <c:v>0.89</c:v>
                </c:pt>
              </c:numCache>
            </c:numRef>
          </c:val>
          <c:extLst>
            <c:ext xmlns:c16="http://schemas.microsoft.com/office/drawing/2014/chart" uri="{C3380CC4-5D6E-409C-BE32-E72D297353CC}">
              <c16:uniqueId val="{00000001-4855-4859-B2BC-001763B279BB}"/>
            </c:ext>
          </c:extLst>
        </c:ser>
        <c:ser>
          <c:idx val="2"/>
          <c:order val="2"/>
          <c:tx>
            <c:strRef>
              <c:f>interná!$J$2</c:f>
              <c:strCache>
                <c:ptCount val="1"/>
                <c:pt idx="0">
                  <c:v>2021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interná!$G$3:$G$10</c:f>
              <c:strCache>
                <c:ptCount val="8"/>
                <c:pt idx="0">
                  <c:v>FnSP Čadca</c:v>
                </c:pt>
                <c:pt idx="1">
                  <c:v>FNsP Žilina</c:v>
                </c:pt>
                <c:pt idx="2">
                  <c:v>UN Martin</c:v>
                </c:pt>
                <c:pt idx="3">
                  <c:v>NsP Trstená</c:v>
                </c:pt>
                <c:pt idx="4">
                  <c:v>NsP Považská Bystrica</c:v>
                </c:pt>
                <c:pt idx="5">
                  <c:v>NsP Dolný Kubín</c:v>
                </c:pt>
                <c:pt idx="6">
                  <c:v>FNsP Liptovský Mikuláš</c:v>
                </c:pt>
                <c:pt idx="7">
                  <c:v>UVN Ružomberok</c:v>
                </c:pt>
              </c:strCache>
            </c:strRef>
          </c:cat>
          <c:val>
            <c:numRef>
              <c:f>interná!$J$3:$J$10</c:f>
              <c:numCache>
                <c:formatCode>General</c:formatCode>
                <c:ptCount val="8"/>
                <c:pt idx="0">
                  <c:v>1.02</c:v>
                </c:pt>
                <c:pt idx="1">
                  <c:v>1.2</c:v>
                </c:pt>
                <c:pt idx="2">
                  <c:v>1.1399999999999999</c:v>
                </c:pt>
                <c:pt idx="3">
                  <c:v>0.95</c:v>
                </c:pt>
                <c:pt idx="4">
                  <c:v>0.96</c:v>
                </c:pt>
                <c:pt idx="5">
                  <c:v>0.98</c:v>
                </c:pt>
                <c:pt idx="6">
                  <c:v>1.01</c:v>
                </c:pt>
                <c:pt idx="7">
                  <c:v>1.05</c:v>
                </c:pt>
              </c:numCache>
            </c:numRef>
          </c:val>
          <c:extLst>
            <c:ext xmlns:c16="http://schemas.microsoft.com/office/drawing/2014/chart" uri="{C3380CC4-5D6E-409C-BE32-E72D297353CC}">
              <c16:uniqueId val="{00000002-4855-4859-B2BC-001763B279BB}"/>
            </c:ext>
          </c:extLst>
        </c:ser>
        <c:dLbls>
          <c:showLegendKey val="0"/>
          <c:showVal val="0"/>
          <c:showCatName val="0"/>
          <c:showSerName val="0"/>
          <c:showPercent val="0"/>
          <c:showBubbleSize val="0"/>
        </c:dLbls>
        <c:gapWidth val="100"/>
        <c:overlap val="-24"/>
        <c:axId val="587084320"/>
        <c:axId val="587085040"/>
      </c:barChart>
      <c:catAx>
        <c:axId val="5870843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587085040"/>
        <c:crosses val="autoZero"/>
        <c:auto val="1"/>
        <c:lblAlgn val="ctr"/>
        <c:lblOffset val="100"/>
        <c:noMultiLvlLbl val="0"/>
      </c:catAx>
      <c:valAx>
        <c:axId val="587085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58708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k-SK" sz="1300" b="1" i="0" u="none" strike="noStrike" baseline="0">
                <a:solidFill>
                  <a:schemeClr val="tx1">
                    <a:lumMod val="75000"/>
                    <a:lumOff val="25000"/>
                  </a:schemeClr>
                </a:solidFill>
                <a:effectLst/>
                <a:latin typeface="Century Gothic" panose="020B0502020202020204" pitchFamily="34" charset="0"/>
              </a:rPr>
              <a:t>eCMI 2019-2021 ortopédia </a:t>
            </a:r>
            <a:endParaRPr lang="sk-SK" sz="1300">
              <a:solidFill>
                <a:schemeClr val="tx1">
                  <a:lumMod val="75000"/>
                  <a:lumOff val="25000"/>
                </a:schemeClr>
              </a:solidFill>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barChart>
        <c:barDir val="col"/>
        <c:grouping val="clustered"/>
        <c:varyColors val="0"/>
        <c:ser>
          <c:idx val="0"/>
          <c:order val="0"/>
          <c:tx>
            <c:strRef>
              <c:f>ortopédia!$H$15</c:f>
              <c:strCache>
                <c:ptCount val="1"/>
                <c:pt idx="0">
                  <c:v>2019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ortopédia!$G$16:$G$20</c:f>
              <c:strCache>
                <c:ptCount val="5"/>
                <c:pt idx="0">
                  <c:v>FNsP Žilina</c:v>
                </c:pt>
                <c:pt idx="1">
                  <c:v>UN Martin</c:v>
                </c:pt>
                <c:pt idx="2">
                  <c:v>NsP Považská Bystrica</c:v>
                </c:pt>
                <c:pt idx="3">
                  <c:v>NsP Dolný Kubín</c:v>
                </c:pt>
                <c:pt idx="4">
                  <c:v>UVN Ružomberok</c:v>
                </c:pt>
              </c:strCache>
            </c:strRef>
          </c:cat>
          <c:val>
            <c:numRef>
              <c:f>ortopédia!$H$16:$H$20</c:f>
              <c:numCache>
                <c:formatCode>General</c:formatCode>
                <c:ptCount val="5"/>
                <c:pt idx="0">
                  <c:v>2.44</c:v>
                </c:pt>
                <c:pt idx="1">
                  <c:v>2.67</c:v>
                </c:pt>
                <c:pt idx="2">
                  <c:v>1.2</c:v>
                </c:pt>
                <c:pt idx="3">
                  <c:v>1.22</c:v>
                </c:pt>
                <c:pt idx="4">
                  <c:v>1.7</c:v>
                </c:pt>
              </c:numCache>
            </c:numRef>
          </c:val>
          <c:extLst>
            <c:ext xmlns:c16="http://schemas.microsoft.com/office/drawing/2014/chart" uri="{C3380CC4-5D6E-409C-BE32-E72D297353CC}">
              <c16:uniqueId val="{00000000-8376-4EB5-9A39-5EEBD7E742EE}"/>
            </c:ext>
          </c:extLst>
        </c:ser>
        <c:ser>
          <c:idx val="1"/>
          <c:order val="1"/>
          <c:tx>
            <c:strRef>
              <c:f>ortopédia!$I$15</c:f>
              <c:strCache>
                <c:ptCount val="1"/>
                <c:pt idx="0">
                  <c:v>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ortopédia!$G$16:$G$20</c:f>
              <c:strCache>
                <c:ptCount val="5"/>
                <c:pt idx="0">
                  <c:v>FNsP Žilina</c:v>
                </c:pt>
                <c:pt idx="1">
                  <c:v>UN Martin</c:v>
                </c:pt>
                <c:pt idx="2">
                  <c:v>NsP Považská Bystrica</c:v>
                </c:pt>
                <c:pt idx="3">
                  <c:v>NsP Dolný Kubín</c:v>
                </c:pt>
                <c:pt idx="4">
                  <c:v>UVN Ružomberok</c:v>
                </c:pt>
              </c:strCache>
            </c:strRef>
          </c:cat>
          <c:val>
            <c:numRef>
              <c:f>ortopédia!$I$16:$I$20</c:f>
              <c:numCache>
                <c:formatCode>General</c:formatCode>
                <c:ptCount val="5"/>
                <c:pt idx="0">
                  <c:v>2.78</c:v>
                </c:pt>
                <c:pt idx="1">
                  <c:v>2.68</c:v>
                </c:pt>
                <c:pt idx="2">
                  <c:v>1.38</c:v>
                </c:pt>
                <c:pt idx="3">
                  <c:v>1.19</c:v>
                </c:pt>
                <c:pt idx="4">
                  <c:v>1.77</c:v>
                </c:pt>
              </c:numCache>
            </c:numRef>
          </c:val>
          <c:extLst>
            <c:ext xmlns:c16="http://schemas.microsoft.com/office/drawing/2014/chart" uri="{C3380CC4-5D6E-409C-BE32-E72D297353CC}">
              <c16:uniqueId val="{00000001-8376-4EB5-9A39-5EEBD7E742EE}"/>
            </c:ext>
          </c:extLst>
        </c:ser>
        <c:ser>
          <c:idx val="2"/>
          <c:order val="2"/>
          <c:tx>
            <c:strRef>
              <c:f>ortopédia!$J$15</c:f>
              <c:strCache>
                <c:ptCount val="1"/>
                <c:pt idx="0">
                  <c:v>2021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ortopédia!$G$16:$G$20</c:f>
              <c:strCache>
                <c:ptCount val="5"/>
                <c:pt idx="0">
                  <c:v>FNsP Žilina</c:v>
                </c:pt>
                <c:pt idx="1">
                  <c:v>UN Martin</c:v>
                </c:pt>
                <c:pt idx="2">
                  <c:v>NsP Považská Bystrica</c:v>
                </c:pt>
                <c:pt idx="3">
                  <c:v>NsP Dolný Kubín</c:v>
                </c:pt>
                <c:pt idx="4">
                  <c:v>UVN Ružomberok</c:v>
                </c:pt>
              </c:strCache>
            </c:strRef>
          </c:cat>
          <c:val>
            <c:numRef>
              <c:f>ortopédia!$J$16:$J$20</c:f>
              <c:numCache>
                <c:formatCode>General</c:formatCode>
                <c:ptCount val="5"/>
                <c:pt idx="0" formatCode="0.00">
                  <c:v>2.2004564315352702</c:v>
                </c:pt>
                <c:pt idx="1">
                  <c:v>2.56</c:v>
                </c:pt>
                <c:pt idx="2">
                  <c:v>1.38</c:v>
                </c:pt>
                <c:pt idx="3">
                  <c:v>1.1200000000000001</c:v>
                </c:pt>
                <c:pt idx="4">
                  <c:v>1.96</c:v>
                </c:pt>
              </c:numCache>
            </c:numRef>
          </c:val>
          <c:extLst>
            <c:ext xmlns:c16="http://schemas.microsoft.com/office/drawing/2014/chart" uri="{C3380CC4-5D6E-409C-BE32-E72D297353CC}">
              <c16:uniqueId val="{00000002-8376-4EB5-9A39-5EEBD7E742EE}"/>
            </c:ext>
          </c:extLst>
        </c:ser>
        <c:dLbls>
          <c:showLegendKey val="0"/>
          <c:showVal val="0"/>
          <c:showCatName val="0"/>
          <c:showSerName val="0"/>
          <c:showPercent val="0"/>
          <c:showBubbleSize val="0"/>
        </c:dLbls>
        <c:gapWidth val="100"/>
        <c:overlap val="-24"/>
        <c:axId val="587075680"/>
        <c:axId val="587081800"/>
      </c:barChart>
      <c:catAx>
        <c:axId val="5870756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587081800"/>
        <c:crosses val="autoZero"/>
        <c:auto val="1"/>
        <c:lblAlgn val="ctr"/>
        <c:lblOffset val="100"/>
        <c:noMultiLvlLbl val="0"/>
      </c:catAx>
      <c:valAx>
        <c:axId val="5870818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58707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300">
                <a:solidFill>
                  <a:schemeClr val="tx1">
                    <a:lumMod val="75000"/>
                    <a:lumOff val="25000"/>
                  </a:schemeClr>
                </a:solidFill>
                <a:latin typeface="Century Gothic" panose="020B0502020202020204" pitchFamily="34" charset="0"/>
              </a:rPr>
              <a:t>eCMI neurochirurgia 2019-2021</a:t>
            </a:r>
          </a:p>
        </c:rich>
      </c:tx>
      <c:overlay val="0"/>
    </c:title>
    <c:autoTitleDeleted val="0"/>
    <c:plotArea>
      <c:layout/>
      <c:barChart>
        <c:barDir val="col"/>
        <c:grouping val="clustered"/>
        <c:varyColors val="0"/>
        <c:ser>
          <c:idx val="0"/>
          <c:order val="0"/>
          <c:tx>
            <c:strRef>
              <c:f>[FNZA_Odbornosti_16012023.xlsx]NCH!$C$16</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[FNZA_Odbornosti_16012023.xlsx]NCH!$B$17:$B$19</c:f>
              <c:strCache>
                <c:ptCount val="3"/>
                <c:pt idx="0">
                  <c:v>FNsP Žilina</c:v>
                </c:pt>
                <c:pt idx="1">
                  <c:v>UNM Martin</c:v>
                </c:pt>
                <c:pt idx="2">
                  <c:v>ÚVN Ružomberok</c:v>
                </c:pt>
              </c:strCache>
            </c:strRef>
          </c:cat>
          <c:val>
            <c:numRef>
              <c:f>[FNZA_Odbornosti_16012023.xlsx]NCH!$C$17:$C$19</c:f>
              <c:numCache>
                <c:formatCode>General</c:formatCode>
                <c:ptCount val="3"/>
                <c:pt idx="0">
                  <c:v>1.96</c:v>
                </c:pt>
                <c:pt idx="1">
                  <c:v>2.29</c:v>
                </c:pt>
                <c:pt idx="2">
                  <c:v>2.57</c:v>
                </c:pt>
              </c:numCache>
            </c:numRef>
          </c:val>
          <c:extLst>
            <c:ext xmlns:c16="http://schemas.microsoft.com/office/drawing/2014/chart" uri="{C3380CC4-5D6E-409C-BE32-E72D297353CC}">
              <c16:uniqueId val="{00000000-1641-45D9-BF60-5C45A9FEB0A1}"/>
            </c:ext>
          </c:extLst>
        </c:ser>
        <c:ser>
          <c:idx val="1"/>
          <c:order val="1"/>
          <c:tx>
            <c:strRef>
              <c:f>[FNZA_Odbornosti_16012023.xlsx]NCH!$D$16</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[FNZA_Odbornosti_16012023.xlsx]NCH!$B$17:$B$19</c:f>
              <c:strCache>
                <c:ptCount val="3"/>
                <c:pt idx="0">
                  <c:v>FNsP Žilina</c:v>
                </c:pt>
                <c:pt idx="1">
                  <c:v>UNM Martin</c:v>
                </c:pt>
                <c:pt idx="2">
                  <c:v>ÚVN Ružomberok</c:v>
                </c:pt>
              </c:strCache>
            </c:strRef>
          </c:cat>
          <c:val>
            <c:numRef>
              <c:f>[FNZA_Odbornosti_16012023.xlsx]NCH!$D$17:$D$19</c:f>
              <c:numCache>
                <c:formatCode>General</c:formatCode>
                <c:ptCount val="3"/>
                <c:pt idx="0">
                  <c:v>2.4</c:v>
                </c:pt>
                <c:pt idx="1">
                  <c:v>2.5499999999999998</c:v>
                </c:pt>
                <c:pt idx="2">
                  <c:v>2.44</c:v>
                </c:pt>
              </c:numCache>
            </c:numRef>
          </c:val>
          <c:extLst>
            <c:ext xmlns:c16="http://schemas.microsoft.com/office/drawing/2014/chart" uri="{C3380CC4-5D6E-409C-BE32-E72D297353CC}">
              <c16:uniqueId val="{00000001-1641-45D9-BF60-5C45A9FEB0A1}"/>
            </c:ext>
          </c:extLst>
        </c:ser>
        <c:ser>
          <c:idx val="2"/>
          <c:order val="2"/>
          <c:tx>
            <c:strRef>
              <c:f>[FNZA_Odbornosti_16012023.xlsx]NCH!$E$16</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[FNZA_Odbornosti_16012023.xlsx]NCH!$B$17:$B$19</c:f>
              <c:strCache>
                <c:ptCount val="3"/>
                <c:pt idx="0">
                  <c:v>FNsP Žilina</c:v>
                </c:pt>
                <c:pt idx="1">
                  <c:v>UNM Martin</c:v>
                </c:pt>
                <c:pt idx="2">
                  <c:v>ÚVN Ružomberok</c:v>
                </c:pt>
              </c:strCache>
            </c:strRef>
          </c:cat>
          <c:val>
            <c:numRef>
              <c:f>[FNZA_Odbornosti_16012023.xlsx]NCH!$E$17:$E$19</c:f>
              <c:numCache>
                <c:formatCode>General</c:formatCode>
                <c:ptCount val="3"/>
                <c:pt idx="0">
                  <c:v>2.67</c:v>
                </c:pt>
                <c:pt idx="1">
                  <c:v>2.84</c:v>
                </c:pt>
                <c:pt idx="2">
                  <c:v>2.35</c:v>
                </c:pt>
              </c:numCache>
            </c:numRef>
          </c:val>
          <c:extLst>
            <c:ext xmlns:c16="http://schemas.microsoft.com/office/drawing/2014/chart" uri="{C3380CC4-5D6E-409C-BE32-E72D297353CC}">
              <c16:uniqueId val="{00000002-1641-45D9-BF60-5C45A9FEB0A1}"/>
            </c:ext>
          </c:extLst>
        </c:ser>
        <c:dLbls>
          <c:showLegendKey val="0"/>
          <c:showVal val="0"/>
          <c:showCatName val="0"/>
          <c:showSerName val="0"/>
          <c:showPercent val="0"/>
          <c:showBubbleSize val="0"/>
        </c:dLbls>
        <c:gapWidth val="75"/>
        <c:overlap val="-25"/>
        <c:axId val="341600152"/>
        <c:axId val="341600936"/>
      </c:barChart>
      <c:catAx>
        <c:axId val="341600152"/>
        <c:scaling>
          <c:orientation val="minMax"/>
        </c:scaling>
        <c:delete val="0"/>
        <c:axPos val="b"/>
        <c:numFmt formatCode="General" sourceLinked="1"/>
        <c:majorTickMark val="none"/>
        <c:minorTickMark val="none"/>
        <c:tickLblPos val="nextTo"/>
        <c:crossAx val="341600936"/>
        <c:crosses val="autoZero"/>
        <c:auto val="1"/>
        <c:lblAlgn val="ctr"/>
        <c:lblOffset val="100"/>
        <c:noMultiLvlLbl val="0"/>
      </c:catAx>
      <c:valAx>
        <c:axId val="341600936"/>
        <c:scaling>
          <c:orientation val="minMax"/>
        </c:scaling>
        <c:delete val="0"/>
        <c:axPos val="l"/>
        <c:numFmt formatCode="General" sourceLinked="1"/>
        <c:majorTickMark val="none"/>
        <c:minorTickMark val="none"/>
        <c:tickLblPos val="nextTo"/>
        <c:spPr>
          <a:ln w="6350">
            <a:noFill/>
          </a:ln>
        </c:spPr>
        <c:crossAx val="3416001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Počet</a:t>
            </a:r>
            <a:r>
              <a:rPr lang="sk-SK" sz="1300" b="1" baseline="0">
                <a:latin typeface="Century Gothic" panose="020B0502020202020204" pitchFamily="34" charset="0"/>
              </a:rPr>
              <a:t> návštev v ambulanciách celkom</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spPr>
            <a:solidFill>
              <a:schemeClr val="accent1"/>
            </a:solidFill>
            <a:ln>
              <a:noFill/>
            </a:ln>
            <a:effectLst/>
          </c:spPr>
          <c:invertIfNegative val="0"/>
          <c:cat>
            <c:numRef>
              <c:f>AMB!$C$45:$O$45</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AMB!$C$46:$O$46</c:f>
              <c:numCache>
                <c:formatCode>#,##0</c:formatCode>
                <c:ptCount val="13"/>
                <c:pt idx="0">
                  <c:v>237313</c:v>
                </c:pt>
                <c:pt idx="1">
                  <c:v>241133</c:v>
                </c:pt>
                <c:pt idx="2">
                  <c:v>238825</c:v>
                </c:pt>
                <c:pt idx="3">
                  <c:v>238782</c:v>
                </c:pt>
                <c:pt idx="4">
                  <c:v>251293</c:v>
                </c:pt>
                <c:pt idx="5">
                  <c:v>256371</c:v>
                </c:pt>
                <c:pt idx="6">
                  <c:v>262808</c:v>
                </c:pt>
                <c:pt idx="7">
                  <c:v>277872</c:v>
                </c:pt>
                <c:pt idx="8">
                  <c:v>298967</c:v>
                </c:pt>
                <c:pt idx="9">
                  <c:v>305379</c:v>
                </c:pt>
                <c:pt idx="10">
                  <c:v>259961</c:v>
                </c:pt>
                <c:pt idx="11">
                  <c:v>396747</c:v>
                </c:pt>
                <c:pt idx="12">
                  <c:v>324151</c:v>
                </c:pt>
              </c:numCache>
            </c:numRef>
          </c:val>
          <c:extLst>
            <c:ext xmlns:c16="http://schemas.microsoft.com/office/drawing/2014/chart" uri="{C3380CC4-5D6E-409C-BE32-E72D297353CC}">
              <c16:uniqueId val="{00000000-66E1-4558-8ABB-71EDD94DFE67}"/>
            </c:ext>
          </c:extLst>
        </c:ser>
        <c:dLbls>
          <c:showLegendKey val="0"/>
          <c:showVal val="0"/>
          <c:showCatName val="0"/>
          <c:showSerName val="0"/>
          <c:showPercent val="0"/>
          <c:showBubbleSize val="0"/>
        </c:dLbls>
        <c:gapWidth val="219"/>
        <c:overlap val="-27"/>
        <c:axId val="409945648"/>
        <c:axId val="409945976"/>
      </c:barChart>
      <c:catAx>
        <c:axId val="40994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09945976"/>
        <c:crosses val="autoZero"/>
        <c:auto val="1"/>
        <c:lblAlgn val="ctr"/>
        <c:lblOffset val="100"/>
        <c:noMultiLvlLbl val="0"/>
      </c:catAx>
      <c:valAx>
        <c:axId val="409945976"/>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09945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i="0" u="none" strike="noStrike" baseline="0">
                <a:solidFill>
                  <a:schemeClr val="tx1">
                    <a:lumMod val="75000"/>
                    <a:lumOff val="25000"/>
                  </a:schemeClr>
                </a:solidFill>
                <a:effectLst/>
                <a:latin typeface="Century Gothic" panose="020B0502020202020204" pitchFamily="34" charset="0"/>
              </a:rPr>
              <a:t>eCMI 2019-2021  urológia</a:t>
            </a:r>
            <a:endParaRPr lang="sk-SK" sz="1300" b="1">
              <a:solidFill>
                <a:schemeClr val="tx1">
                  <a:lumMod val="75000"/>
                  <a:lumOff val="25000"/>
                </a:schemeClr>
              </a:solidFill>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urológia!$H$4</c:f>
              <c:strCache>
                <c:ptCount val="1"/>
                <c:pt idx="0">
                  <c:v>FNsP Žilina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urológia!$I$3:$K$3</c:f>
              <c:numCache>
                <c:formatCode>General</c:formatCode>
                <c:ptCount val="3"/>
                <c:pt idx="0">
                  <c:v>2019</c:v>
                </c:pt>
                <c:pt idx="1">
                  <c:v>2020</c:v>
                </c:pt>
                <c:pt idx="2">
                  <c:v>2021</c:v>
                </c:pt>
              </c:numCache>
            </c:numRef>
          </c:cat>
          <c:val>
            <c:numRef>
              <c:f>urológia!$I$4:$K$4</c:f>
              <c:numCache>
                <c:formatCode>General</c:formatCode>
                <c:ptCount val="3"/>
                <c:pt idx="0">
                  <c:v>1.06</c:v>
                </c:pt>
                <c:pt idx="1">
                  <c:v>1.1000000000000001</c:v>
                </c:pt>
                <c:pt idx="2" formatCode="0.00">
                  <c:v>1.0692797006548176</c:v>
                </c:pt>
              </c:numCache>
            </c:numRef>
          </c:val>
          <c:extLst>
            <c:ext xmlns:c16="http://schemas.microsoft.com/office/drawing/2014/chart" uri="{C3380CC4-5D6E-409C-BE32-E72D297353CC}">
              <c16:uniqueId val="{00000000-184C-40BA-99B9-E7CD75D254AE}"/>
            </c:ext>
          </c:extLst>
        </c:ser>
        <c:ser>
          <c:idx val="1"/>
          <c:order val="1"/>
          <c:tx>
            <c:strRef>
              <c:f>urológia!$H$5</c:f>
              <c:strCache>
                <c:ptCount val="1"/>
                <c:pt idx="0">
                  <c:v>UN Martin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urológia!$I$3:$K$3</c:f>
              <c:numCache>
                <c:formatCode>General</c:formatCode>
                <c:ptCount val="3"/>
                <c:pt idx="0">
                  <c:v>2019</c:v>
                </c:pt>
                <c:pt idx="1">
                  <c:v>2020</c:v>
                </c:pt>
                <c:pt idx="2">
                  <c:v>2021</c:v>
                </c:pt>
              </c:numCache>
            </c:numRef>
          </c:cat>
          <c:val>
            <c:numRef>
              <c:f>urológia!$I$5:$K$5</c:f>
              <c:numCache>
                <c:formatCode>General</c:formatCode>
                <c:ptCount val="3"/>
                <c:pt idx="0">
                  <c:v>1.1299999999999999</c:v>
                </c:pt>
                <c:pt idx="1">
                  <c:v>1.01</c:v>
                </c:pt>
                <c:pt idx="2" formatCode="0.00">
                  <c:v>1.0402123356926187</c:v>
                </c:pt>
              </c:numCache>
            </c:numRef>
          </c:val>
          <c:extLst>
            <c:ext xmlns:c16="http://schemas.microsoft.com/office/drawing/2014/chart" uri="{C3380CC4-5D6E-409C-BE32-E72D297353CC}">
              <c16:uniqueId val="{00000001-184C-40BA-99B9-E7CD75D254AE}"/>
            </c:ext>
          </c:extLst>
        </c:ser>
        <c:dLbls>
          <c:dLblPos val="outEnd"/>
          <c:showLegendKey val="0"/>
          <c:showVal val="1"/>
          <c:showCatName val="0"/>
          <c:showSerName val="0"/>
          <c:showPercent val="0"/>
          <c:showBubbleSize val="0"/>
        </c:dLbls>
        <c:gapWidth val="219"/>
        <c:overlap val="-27"/>
        <c:axId val="587078200"/>
        <c:axId val="587077840"/>
      </c:barChart>
      <c:catAx>
        <c:axId val="587078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87077840"/>
        <c:crosses val="autoZero"/>
        <c:auto val="1"/>
        <c:lblAlgn val="ctr"/>
        <c:lblOffset val="100"/>
        <c:noMultiLvlLbl val="0"/>
      </c:catAx>
      <c:valAx>
        <c:axId val="587077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87078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Najzažaženejšie</a:t>
            </a:r>
            <a:r>
              <a:rPr lang="sk-SK" sz="1300" b="1" baseline="0">
                <a:latin typeface="Century Gothic" panose="020B0502020202020204" pitchFamily="34" charset="0"/>
              </a:rPr>
              <a:t> ambulancie- chirurgické</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AMB!$A$51:$B$51</c:f>
              <c:strCache>
                <c:ptCount val="2"/>
                <c:pt idx="0">
                  <c:v>chirurgia</c:v>
                </c:pt>
                <c:pt idx="1">
                  <c:v>010 </c:v>
                </c:pt>
              </c:strCache>
            </c:strRef>
          </c:tx>
          <c:spPr>
            <a:ln w="28575" cap="rnd">
              <a:solidFill>
                <a:schemeClr val="accent1"/>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AMB!$C$51:$O$51</c:f>
              <c:numCache>
                <c:formatCode>#,##0</c:formatCode>
                <c:ptCount val="13"/>
                <c:pt idx="0">
                  <c:v>5613</c:v>
                </c:pt>
                <c:pt idx="1">
                  <c:v>6817</c:v>
                </c:pt>
                <c:pt idx="2">
                  <c:v>6519</c:v>
                </c:pt>
                <c:pt idx="3">
                  <c:v>7252</c:v>
                </c:pt>
                <c:pt idx="4">
                  <c:v>7938</c:v>
                </c:pt>
                <c:pt idx="5">
                  <c:v>7412</c:v>
                </c:pt>
                <c:pt idx="6">
                  <c:v>7726</c:v>
                </c:pt>
                <c:pt idx="7">
                  <c:v>10532</c:v>
                </c:pt>
                <c:pt idx="8">
                  <c:v>12227</c:v>
                </c:pt>
                <c:pt idx="9">
                  <c:v>10354</c:v>
                </c:pt>
                <c:pt idx="10">
                  <c:v>7940</c:v>
                </c:pt>
                <c:pt idx="11">
                  <c:v>7320</c:v>
                </c:pt>
                <c:pt idx="12">
                  <c:v>7833</c:v>
                </c:pt>
              </c:numCache>
            </c:numRef>
          </c:val>
          <c:smooth val="0"/>
          <c:extLst>
            <c:ext xmlns:c16="http://schemas.microsoft.com/office/drawing/2014/chart" uri="{C3380CC4-5D6E-409C-BE32-E72D297353CC}">
              <c16:uniqueId val="{00000000-CEDF-46DF-BB43-3B3513D1826D}"/>
            </c:ext>
          </c:extLst>
        </c:ser>
        <c:ser>
          <c:idx val="1"/>
          <c:order val="1"/>
          <c:tx>
            <c:strRef>
              <c:f>AMB!$A$52:$B$52</c:f>
              <c:strCache>
                <c:ptCount val="2"/>
                <c:pt idx="0">
                  <c:v>ortopédia</c:v>
                </c:pt>
                <c:pt idx="1">
                  <c:v>011 </c:v>
                </c:pt>
              </c:strCache>
            </c:strRef>
          </c:tx>
          <c:spPr>
            <a:ln w="28575" cap="rnd">
              <a:solidFill>
                <a:schemeClr val="accent2"/>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AMB!$C$52:$O$52</c:f>
              <c:numCache>
                <c:formatCode>#,##0</c:formatCode>
                <c:ptCount val="13"/>
                <c:pt idx="0">
                  <c:v>12101</c:v>
                </c:pt>
                <c:pt idx="1">
                  <c:v>12136</c:v>
                </c:pt>
                <c:pt idx="2">
                  <c:v>12204</c:v>
                </c:pt>
                <c:pt idx="3">
                  <c:v>12194</c:v>
                </c:pt>
                <c:pt idx="4">
                  <c:v>13070</c:v>
                </c:pt>
                <c:pt idx="5">
                  <c:v>14054</c:v>
                </c:pt>
                <c:pt idx="6">
                  <c:v>15045</c:v>
                </c:pt>
                <c:pt idx="7">
                  <c:v>15607</c:v>
                </c:pt>
                <c:pt idx="8">
                  <c:v>14896</c:v>
                </c:pt>
                <c:pt idx="9">
                  <c:v>13486</c:v>
                </c:pt>
                <c:pt idx="10">
                  <c:v>10650</c:v>
                </c:pt>
                <c:pt idx="11">
                  <c:v>12021</c:v>
                </c:pt>
                <c:pt idx="12">
                  <c:v>14250</c:v>
                </c:pt>
              </c:numCache>
            </c:numRef>
          </c:val>
          <c:smooth val="0"/>
          <c:extLst>
            <c:ext xmlns:c16="http://schemas.microsoft.com/office/drawing/2014/chart" uri="{C3380CC4-5D6E-409C-BE32-E72D297353CC}">
              <c16:uniqueId val="{00000001-CEDF-46DF-BB43-3B3513D1826D}"/>
            </c:ext>
          </c:extLst>
        </c:ser>
        <c:ser>
          <c:idx val="2"/>
          <c:order val="2"/>
          <c:tx>
            <c:strRef>
              <c:f>AMB!$A$53:$B$53</c:f>
              <c:strCache>
                <c:ptCount val="2"/>
                <c:pt idx="0">
                  <c:v>urológia</c:v>
                </c:pt>
                <c:pt idx="1">
                  <c:v>012 </c:v>
                </c:pt>
              </c:strCache>
            </c:strRef>
          </c:tx>
          <c:spPr>
            <a:ln w="28575" cap="rnd">
              <a:solidFill>
                <a:schemeClr val="accent3"/>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AMB!$C$53:$O$53</c:f>
              <c:numCache>
                <c:formatCode>#,##0</c:formatCode>
                <c:ptCount val="13"/>
                <c:pt idx="0">
                  <c:v>6471</c:v>
                </c:pt>
                <c:pt idx="1">
                  <c:v>5914</c:v>
                </c:pt>
                <c:pt idx="2">
                  <c:v>5331</c:v>
                </c:pt>
                <c:pt idx="3">
                  <c:v>5554</c:v>
                </c:pt>
                <c:pt idx="4">
                  <c:v>5743</c:v>
                </c:pt>
                <c:pt idx="5">
                  <c:v>6157</c:v>
                </c:pt>
                <c:pt idx="6">
                  <c:v>6608</c:v>
                </c:pt>
                <c:pt idx="7">
                  <c:v>7204</c:v>
                </c:pt>
                <c:pt idx="8">
                  <c:v>7301</c:v>
                </c:pt>
                <c:pt idx="9">
                  <c:v>7052</c:v>
                </c:pt>
                <c:pt idx="10">
                  <c:v>6196</c:v>
                </c:pt>
                <c:pt idx="11">
                  <c:v>4939</c:v>
                </c:pt>
                <c:pt idx="12">
                  <c:v>5549</c:v>
                </c:pt>
              </c:numCache>
            </c:numRef>
          </c:val>
          <c:smooth val="0"/>
          <c:extLst>
            <c:ext xmlns:c16="http://schemas.microsoft.com/office/drawing/2014/chart" uri="{C3380CC4-5D6E-409C-BE32-E72D297353CC}">
              <c16:uniqueId val="{00000002-CEDF-46DF-BB43-3B3513D1826D}"/>
            </c:ext>
          </c:extLst>
        </c:ser>
        <c:ser>
          <c:idx val="3"/>
          <c:order val="3"/>
          <c:tx>
            <c:strRef>
              <c:f>AMB!$A$54:$B$54</c:f>
              <c:strCache>
                <c:ptCount val="2"/>
                <c:pt idx="0">
                  <c:v>úrazová chirurgia</c:v>
                </c:pt>
                <c:pt idx="1">
                  <c:v>013 </c:v>
                </c:pt>
              </c:strCache>
            </c:strRef>
          </c:tx>
          <c:spPr>
            <a:ln w="28575" cap="rnd">
              <a:solidFill>
                <a:schemeClr val="accent4"/>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AMB!$C$54:$O$54</c:f>
              <c:numCache>
                <c:formatCode>#,##0</c:formatCode>
                <c:ptCount val="13"/>
                <c:pt idx="0">
                  <c:v>4035</c:v>
                </c:pt>
                <c:pt idx="1">
                  <c:v>5489</c:v>
                </c:pt>
                <c:pt idx="2">
                  <c:v>6532</c:v>
                </c:pt>
                <c:pt idx="3">
                  <c:v>7633</c:v>
                </c:pt>
                <c:pt idx="4">
                  <c:v>7452</c:v>
                </c:pt>
                <c:pt idx="5">
                  <c:v>7925</c:v>
                </c:pt>
                <c:pt idx="6">
                  <c:v>7783</c:v>
                </c:pt>
                <c:pt idx="7">
                  <c:v>8582</c:v>
                </c:pt>
                <c:pt idx="8">
                  <c:v>7348</c:v>
                </c:pt>
                <c:pt idx="9">
                  <c:v>8123</c:v>
                </c:pt>
                <c:pt idx="10">
                  <c:v>7736</c:v>
                </c:pt>
                <c:pt idx="11">
                  <c:v>7923</c:v>
                </c:pt>
                <c:pt idx="12">
                  <c:v>9873</c:v>
                </c:pt>
              </c:numCache>
            </c:numRef>
          </c:val>
          <c:smooth val="0"/>
          <c:extLst>
            <c:ext xmlns:c16="http://schemas.microsoft.com/office/drawing/2014/chart" uri="{C3380CC4-5D6E-409C-BE32-E72D297353CC}">
              <c16:uniqueId val="{00000003-CEDF-46DF-BB43-3B3513D1826D}"/>
            </c:ext>
          </c:extLst>
        </c:ser>
        <c:ser>
          <c:idx val="4"/>
          <c:order val="4"/>
          <c:tx>
            <c:strRef>
              <c:f>AMB!$A$55:$B$55</c:f>
              <c:strCache>
                <c:ptCount val="2"/>
                <c:pt idx="0">
                  <c:v>neurochirurgia</c:v>
                </c:pt>
                <c:pt idx="1">
                  <c:v>037 </c:v>
                </c:pt>
              </c:strCache>
            </c:strRef>
          </c:tx>
          <c:spPr>
            <a:ln w="28575" cap="rnd">
              <a:solidFill>
                <a:schemeClr val="accent5"/>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AMB!$C$55:$O$55</c:f>
              <c:numCache>
                <c:formatCode>#,##0</c:formatCode>
                <c:ptCount val="13"/>
                <c:pt idx="0">
                  <c:v>5671</c:v>
                </c:pt>
                <c:pt idx="1">
                  <c:v>5331</c:v>
                </c:pt>
                <c:pt idx="2">
                  <c:v>5892</c:v>
                </c:pt>
                <c:pt idx="3">
                  <c:v>6167</c:v>
                </c:pt>
                <c:pt idx="4">
                  <c:v>6280</c:v>
                </c:pt>
                <c:pt idx="5">
                  <c:v>6400</c:v>
                </c:pt>
                <c:pt idx="6">
                  <c:v>6739</c:v>
                </c:pt>
                <c:pt idx="7">
                  <c:v>7093</c:v>
                </c:pt>
                <c:pt idx="8">
                  <c:v>5966</c:v>
                </c:pt>
                <c:pt idx="9">
                  <c:v>5442</c:v>
                </c:pt>
                <c:pt idx="10">
                  <c:v>4705</c:v>
                </c:pt>
                <c:pt idx="11">
                  <c:v>5180</c:v>
                </c:pt>
                <c:pt idx="12">
                  <c:v>6105</c:v>
                </c:pt>
              </c:numCache>
            </c:numRef>
          </c:val>
          <c:smooth val="0"/>
          <c:extLst>
            <c:ext xmlns:c16="http://schemas.microsoft.com/office/drawing/2014/chart" uri="{C3380CC4-5D6E-409C-BE32-E72D297353CC}">
              <c16:uniqueId val="{00000004-CEDF-46DF-BB43-3B3513D1826D}"/>
            </c:ext>
          </c:extLst>
        </c:ser>
        <c:ser>
          <c:idx val="5"/>
          <c:order val="5"/>
          <c:tx>
            <c:strRef>
              <c:f>AMB!$A$56:$B$56</c:f>
              <c:strCache>
                <c:ptCount val="2"/>
                <c:pt idx="0">
                  <c:v>cievna chirurgia</c:v>
                </c:pt>
                <c:pt idx="1">
                  <c:v>068 </c:v>
                </c:pt>
              </c:strCache>
            </c:strRef>
          </c:tx>
          <c:spPr>
            <a:ln w="28575" cap="rnd">
              <a:solidFill>
                <a:schemeClr val="accent6"/>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AMB!$C$56:$O$56</c:f>
              <c:numCache>
                <c:formatCode>#,##0</c:formatCode>
                <c:ptCount val="13"/>
                <c:pt idx="0">
                  <c:v>2661</c:v>
                </c:pt>
                <c:pt idx="1">
                  <c:v>1895</c:v>
                </c:pt>
                <c:pt idx="2">
                  <c:v>0</c:v>
                </c:pt>
                <c:pt idx="3">
                  <c:v>0</c:v>
                </c:pt>
                <c:pt idx="4">
                  <c:v>237</c:v>
                </c:pt>
                <c:pt idx="5">
                  <c:v>579</c:v>
                </c:pt>
                <c:pt idx="6">
                  <c:v>956</c:v>
                </c:pt>
                <c:pt idx="7">
                  <c:v>1204</c:v>
                </c:pt>
                <c:pt idx="8">
                  <c:v>2226</c:v>
                </c:pt>
                <c:pt idx="9">
                  <c:v>3360</c:v>
                </c:pt>
                <c:pt idx="10">
                  <c:v>2832</c:v>
                </c:pt>
                <c:pt idx="11">
                  <c:v>3421</c:v>
                </c:pt>
                <c:pt idx="12">
                  <c:v>4745</c:v>
                </c:pt>
              </c:numCache>
            </c:numRef>
          </c:val>
          <c:smooth val="0"/>
          <c:extLst>
            <c:ext xmlns:c16="http://schemas.microsoft.com/office/drawing/2014/chart" uri="{C3380CC4-5D6E-409C-BE32-E72D297353CC}">
              <c16:uniqueId val="{00000005-CEDF-46DF-BB43-3B3513D1826D}"/>
            </c:ext>
          </c:extLst>
        </c:ser>
        <c:dLbls>
          <c:showLegendKey val="0"/>
          <c:showVal val="0"/>
          <c:showCatName val="0"/>
          <c:showSerName val="0"/>
          <c:showPercent val="0"/>
          <c:showBubbleSize val="0"/>
        </c:dLbls>
        <c:smooth val="0"/>
        <c:axId val="529199776"/>
        <c:axId val="529200104"/>
      </c:lineChart>
      <c:catAx>
        <c:axId val="52919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29200104"/>
        <c:crosses val="autoZero"/>
        <c:auto val="1"/>
        <c:lblAlgn val="ctr"/>
        <c:lblOffset val="100"/>
        <c:noMultiLvlLbl val="0"/>
      </c:catAx>
      <c:valAx>
        <c:axId val="52920010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2919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Najzaťateniejšie</a:t>
            </a:r>
            <a:r>
              <a:rPr lang="sk-SK" sz="1300" b="1" baseline="0">
                <a:latin typeface="Century Gothic" panose="020B0502020202020204" pitchFamily="34" charset="0"/>
              </a:rPr>
              <a:t> ambulancie ONKO/NEU/PSYCH</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AMB!$A$57:$B$57</c:f>
              <c:strCache>
                <c:ptCount val="2"/>
                <c:pt idx="0">
                  <c:v>onkológia v chirurgii</c:v>
                </c:pt>
                <c:pt idx="1">
                  <c:v>319 </c:v>
                </c:pt>
              </c:strCache>
            </c:strRef>
          </c:tx>
          <c:spPr>
            <a:ln w="28575" cap="rnd">
              <a:solidFill>
                <a:schemeClr val="accent1"/>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AMB!$C$57:$O$57</c:f>
              <c:numCache>
                <c:formatCode>#,##0</c:formatCode>
                <c:ptCount val="13"/>
                <c:pt idx="0">
                  <c:v>2129</c:v>
                </c:pt>
                <c:pt idx="1">
                  <c:v>2001</c:v>
                </c:pt>
                <c:pt idx="2">
                  <c:v>1862</c:v>
                </c:pt>
                <c:pt idx="3">
                  <c:v>2034</c:v>
                </c:pt>
                <c:pt idx="4">
                  <c:v>2050</c:v>
                </c:pt>
                <c:pt idx="5">
                  <c:v>2251</c:v>
                </c:pt>
                <c:pt idx="6">
                  <c:v>2418</c:v>
                </c:pt>
                <c:pt idx="7">
                  <c:v>2481</c:v>
                </c:pt>
                <c:pt idx="8">
                  <c:v>2676</c:v>
                </c:pt>
                <c:pt idx="9">
                  <c:v>2993</c:v>
                </c:pt>
                <c:pt idx="10">
                  <c:v>3014</c:v>
                </c:pt>
                <c:pt idx="11">
                  <c:v>3318</c:v>
                </c:pt>
                <c:pt idx="12">
                  <c:v>3737</c:v>
                </c:pt>
              </c:numCache>
            </c:numRef>
          </c:val>
          <c:smooth val="0"/>
          <c:extLst>
            <c:ext xmlns:c16="http://schemas.microsoft.com/office/drawing/2014/chart" uri="{C3380CC4-5D6E-409C-BE32-E72D297353CC}">
              <c16:uniqueId val="{00000000-F11C-4AEB-BF85-A9DCD973F99B}"/>
            </c:ext>
          </c:extLst>
        </c:ser>
        <c:ser>
          <c:idx val="1"/>
          <c:order val="1"/>
          <c:tx>
            <c:strRef>
              <c:f>AMB!$A$58:$B$58</c:f>
              <c:strCache>
                <c:ptCount val="2"/>
                <c:pt idx="0">
                  <c:v>onkológia v urológii</c:v>
                </c:pt>
                <c:pt idx="1">
                  <c:v>322 </c:v>
                </c:pt>
              </c:strCache>
            </c:strRef>
          </c:tx>
          <c:spPr>
            <a:ln w="28575" cap="rnd">
              <a:solidFill>
                <a:schemeClr val="accent2"/>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AMB!$C$58:$O$58</c:f>
              <c:numCache>
                <c:formatCode>#,##0</c:formatCode>
                <c:ptCount val="13"/>
                <c:pt idx="0">
                  <c:v>0</c:v>
                </c:pt>
                <c:pt idx="1">
                  <c:v>936</c:v>
                </c:pt>
                <c:pt idx="2">
                  <c:v>1634</c:v>
                </c:pt>
                <c:pt idx="3">
                  <c:v>1736</c:v>
                </c:pt>
                <c:pt idx="4">
                  <c:v>1939</c:v>
                </c:pt>
                <c:pt idx="5">
                  <c:v>2089</c:v>
                </c:pt>
                <c:pt idx="6">
                  <c:v>2511</c:v>
                </c:pt>
                <c:pt idx="7">
                  <c:v>3043</c:v>
                </c:pt>
                <c:pt idx="8">
                  <c:v>3447</c:v>
                </c:pt>
                <c:pt idx="9">
                  <c:v>4277</c:v>
                </c:pt>
                <c:pt idx="10">
                  <c:v>4854</c:v>
                </c:pt>
                <c:pt idx="11">
                  <c:v>5046</c:v>
                </c:pt>
                <c:pt idx="12">
                  <c:v>5527</c:v>
                </c:pt>
              </c:numCache>
            </c:numRef>
          </c:val>
          <c:smooth val="0"/>
          <c:extLst>
            <c:ext xmlns:c16="http://schemas.microsoft.com/office/drawing/2014/chart" uri="{C3380CC4-5D6E-409C-BE32-E72D297353CC}">
              <c16:uniqueId val="{00000001-F11C-4AEB-BF85-A9DCD973F99B}"/>
            </c:ext>
          </c:extLst>
        </c:ser>
        <c:ser>
          <c:idx val="2"/>
          <c:order val="2"/>
          <c:tx>
            <c:strRef>
              <c:f>AMB!$A$59:$B$59</c:f>
              <c:strCache>
                <c:ptCount val="2"/>
                <c:pt idx="0">
                  <c:v>radiačná onkológia</c:v>
                </c:pt>
                <c:pt idx="1">
                  <c:v>043 </c:v>
                </c:pt>
              </c:strCache>
            </c:strRef>
          </c:tx>
          <c:spPr>
            <a:ln w="28575" cap="rnd">
              <a:solidFill>
                <a:schemeClr val="accent3"/>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AMB!$C$59:$O$59</c:f>
              <c:numCache>
                <c:formatCode>#,##0</c:formatCode>
                <c:ptCount val="13"/>
                <c:pt idx="0">
                  <c:v>5197</c:v>
                </c:pt>
                <c:pt idx="1">
                  <c:v>6536</c:v>
                </c:pt>
                <c:pt idx="2">
                  <c:v>7126</c:v>
                </c:pt>
                <c:pt idx="3">
                  <c:v>7269</c:v>
                </c:pt>
                <c:pt idx="4">
                  <c:v>6875</c:v>
                </c:pt>
                <c:pt idx="5">
                  <c:v>7308</c:v>
                </c:pt>
                <c:pt idx="6">
                  <c:v>7792</c:v>
                </c:pt>
                <c:pt idx="7">
                  <c:v>10180</c:v>
                </c:pt>
                <c:pt idx="8">
                  <c:v>12003</c:v>
                </c:pt>
                <c:pt idx="9">
                  <c:v>13631</c:v>
                </c:pt>
                <c:pt idx="10">
                  <c:v>9634</c:v>
                </c:pt>
                <c:pt idx="11">
                  <c:v>11855</c:v>
                </c:pt>
                <c:pt idx="12">
                  <c:v>14426</c:v>
                </c:pt>
              </c:numCache>
            </c:numRef>
          </c:val>
          <c:smooth val="0"/>
          <c:extLst>
            <c:ext xmlns:c16="http://schemas.microsoft.com/office/drawing/2014/chart" uri="{C3380CC4-5D6E-409C-BE32-E72D297353CC}">
              <c16:uniqueId val="{00000002-F11C-4AEB-BF85-A9DCD973F99B}"/>
            </c:ext>
          </c:extLst>
        </c:ser>
        <c:ser>
          <c:idx val="3"/>
          <c:order val="3"/>
          <c:tx>
            <c:strRef>
              <c:f>AMB!$A$60:$B$60</c:f>
              <c:strCache>
                <c:ptCount val="2"/>
                <c:pt idx="0">
                  <c:v>neurológia</c:v>
                </c:pt>
                <c:pt idx="1">
                  <c:v>004 </c:v>
                </c:pt>
              </c:strCache>
            </c:strRef>
          </c:tx>
          <c:spPr>
            <a:ln w="28575" cap="rnd">
              <a:solidFill>
                <a:schemeClr val="accent4"/>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AMB!$C$60:$O$60</c:f>
              <c:numCache>
                <c:formatCode>#,##0</c:formatCode>
                <c:ptCount val="13"/>
                <c:pt idx="0">
                  <c:v>4717</c:v>
                </c:pt>
                <c:pt idx="1">
                  <c:v>4529</c:v>
                </c:pt>
                <c:pt idx="2">
                  <c:v>5500</c:v>
                </c:pt>
                <c:pt idx="3">
                  <c:v>5925</c:v>
                </c:pt>
                <c:pt idx="4">
                  <c:v>6085</c:v>
                </c:pt>
                <c:pt idx="5">
                  <c:v>6327</c:v>
                </c:pt>
                <c:pt idx="6">
                  <c:v>5881</c:v>
                </c:pt>
                <c:pt idx="7">
                  <c:v>6408</c:v>
                </c:pt>
                <c:pt idx="8">
                  <c:v>9106</c:v>
                </c:pt>
                <c:pt idx="9">
                  <c:v>9001</c:v>
                </c:pt>
                <c:pt idx="10">
                  <c:v>7430</c:v>
                </c:pt>
                <c:pt idx="11">
                  <c:v>7980</c:v>
                </c:pt>
                <c:pt idx="12">
                  <c:v>9375</c:v>
                </c:pt>
              </c:numCache>
            </c:numRef>
          </c:val>
          <c:smooth val="0"/>
          <c:extLst>
            <c:ext xmlns:c16="http://schemas.microsoft.com/office/drawing/2014/chart" uri="{C3380CC4-5D6E-409C-BE32-E72D297353CC}">
              <c16:uniqueId val="{00000003-F11C-4AEB-BF85-A9DCD973F99B}"/>
            </c:ext>
          </c:extLst>
        </c:ser>
        <c:ser>
          <c:idx val="4"/>
          <c:order val="4"/>
          <c:tx>
            <c:strRef>
              <c:f>AMB!$A$61:$B$61</c:f>
              <c:strCache>
                <c:ptCount val="2"/>
                <c:pt idx="0">
                  <c:v>psychiatria</c:v>
                </c:pt>
                <c:pt idx="1">
                  <c:v>005 </c:v>
                </c:pt>
              </c:strCache>
            </c:strRef>
          </c:tx>
          <c:spPr>
            <a:ln w="28575" cap="rnd">
              <a:solidFill>
                <a:schemeClr val="accent5"/>
              </a:solidFill>
              <a:round/>
            </a:ln>
            <a:effectLst/>
          </c:spPr>
          <c:marker>
            <c:symbol val="none"/>
          </c:marker>
          <c:cat>
            <c:numRef>
              <c:f>AMB!$C$50:$O$50</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AMB!$C$61:$O$61</c:f>
              <c:numCache>
                <c:formatCode>#,##0</c:formatCode>
                <c:ptCount val="13"/>
                <c:pt idx="0">
                  <c:v>3818</c:v>
                </c:pt>
                <c:pt idx="1">
                  <c:v>2555</c:v>
                </c:pt>
                <c:pt idx="2">
                  <c:v>2904</c:v>
                </c:pt>
                <c:pt idx="3">
                  <c:v>3428</c:v>
                </c:pt>
                <c:pt idx="4">
                  <c:v>4089</c:v>
                </c:pt>
                <c:pt idx="5">
                  <c:v>4871</c:v>
                </c:pt>
                <c:pt idx="6">
                  <c:v>5353</c:v>
                </c:pt>
                <c:pt idx="7">
                  <c:v>6343</c:v>
                </c:pt>
                <c:pt idx="8">
                  <c:v>6797</c:v>
                </c:pt>
                <c:pt idx="9">
                  <c:v>6755</c:v>
                </c:pt>
                <c:pt idx="10">
                  <c:v>5937</c:v>
                </c:pt>
                <c:pt idx="11">
                  <c:v>6385</c:v>
                </c:pt>
                <c:pt idx="12">
                  <c:v>6081</c:v>
                </c:pt>
              </c:numCache>
            </c:numRef>
          </c:val>
          <c:smooth val="0"/>
          <c:extLst>
            <c:ext xmlns:c16="http://schemas.microsoft.com/office/drawing/2014/chart" uri="{C3380CC4-5D6E-409C-BE32-E72D297353CC}">
              <c16:uniqueId val="{00000004-F11C-4AEB-BF85-A9DCD973F99B}"/>
            </c:ext>
          </c:extLst>
        </c:ser>
        <c:dLbls>
          <c:showLegendKey val="0"/>
          <c:showVal val="0"/>
          <c:showCatName val="0"/>
          <c:showSerName val="0"/>
          <c:showPercent val="0"/>
          <c:showBubbleSize val="0"/>
        </c:dLbls>
        <c:smooth val="0"/>
        <c:axId val="534643912"/>
        <c:axId val="534641944"/>
      </c:lineChart>
      <c:catAx>
        <c:axId val="53464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34641944"/>
        <c:crosses val="autoZero"/>
        <c:auto val="1"/>
        <c:lblAlgn val="ctr"/>
        <c:lblOffset val="100"/>
        <c:noMultiLvlLbl val="0"/>
      </c:catAx>
      <c:valAx>
        <c:axId val="53464194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34643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Ambulantné</a:t>
            </a:r>
            <a:r>
              <a:rPr lang="sk-SK" sz="1300" b="1" baseline="0">
                <a:latin typeface="Century Gothic" panose="020B0502020202020204" pitchFamily="34" charset="0"/>
              </a:rPr>
              <a:t> ošetrenia v rámci ÚPS</a:t>
            </a:r>
            <a:endParaRPr lang="en-US"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stacked"/>
        <c:varyColors val="0"/>
        <c:ser>
          <c:idx val="0"/>
          <c:order val="0"/>
          <c:tx>
            <c:strRef>
              <c:f>UPS!$A$39:$B$39</c:f>
              <c:strCache>
                <c:ptCount val="2"/>
              </c:strCache>
            </c:strRef>
          </c:tx>
          <c:spPr>
            <a:solidFill>
              <a:schemeClr val="accent1"/>
            </a:solidFill>
            <a:ln>
              <a:noFill/>
            </a:ln>
            <a:effectLst/>
          </c:spPr>
          <c:invertIfNegative val="0"/>
          <c:cat>
            <c:numRef>
              <c:f>UPS!$C$38:$O$38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UPS!$C$39:$O$39</c:f>
              <c:numCache>
                <c:formatCode>#,##0</c:formatCode>
                <c:ptCount val="13"/>
                <c:pt idx="0">
                  <c:v>36816</c:v>
                </c:pt>
                <c:pt idx="1">
                  <c:v>36890</c:v>
                </c:pt>
                <c:pt idx="2">
                  <c:v>42326</c:v>
                </c:pt>
                <c:pt idx="3">
                  <c:v>45059</c:v>
                </c:pt>
                <c:pt idx="4">
                  <c:v>47735</c:v>
                </c:pt>
                <c:pt idx="5">
                  <c:v>48486</c:v>
                </c:pt>
                <c:pt idx="6">
                  <c:v>49322</c:v>
                </c:pt>
                <c:pt idx="7">
                  <c:v>50064</c:v>
                </c:pt>
                <c:pt idx="8">
                  <c:v>52148</c:v>
                </c:pt>
                <c:pt idx="9">
                  <c:v>54614</c:v>
                </c:pt>
                <c:pt idx="10">
                  <c:v>44670</c:v>
                </c:pt>
                <c:pt idx="11">
                  <c:v>47208</c:v>
                </c:pt>
                <c:pt idx="12">
                  <c:v>56126</c:v>
                </c:pt>
              </c:numCache>
            </c:numRef>
          </c:val>
          <c:extLst>
            <c:ext xmlns:c16="http://schemas.microsoft.com/office/drawing/2014/chart" uri="{C3380CC4-5D6E-409C-BE32-E72D297353CC}">
              <c16:uniqueId val="{00000000-07C3-462E-A744-9568F0159F00}"/>
            </c:ext>
          </c:extLst>
        </c:ser>
        <c:ser>
          <c:idx val="1"/>
          <c:order val="1"/>
          <c:tx>
            <c:strRef>
              <c:f>UPS!$A$40:$B$40</c:f>
              <c:strCache>
                <c:ptCount val="2"/>
                <c:pt idx="0">
                  <c:v>APS dospelí</c:v>
                </c:pt>
              </c:strCache>
            </c:strRef>
          </c:tx>
          <c:spPr>
            <a:solidFill>
              <a:schemeClr val="accent2"/>
            </a:solidFill>
            <a:ln>
              <a:noFill/>
            </a:ln>
            <a:effectLst/>
          </c:spPr>
          <c:invertIfNegative val="0"/>
          <c:cat>
            <c:numRef>
              <c:f>UPS!$C$38:$O$38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UPS!$C$40:$O$40</c:f>
              <c:numCache>
                <c:formatCode>#,##0</c:formatCode>
                <c:ptCount val="13"/>
                <c:pt idx="0">
                  <c:v>0</c:v>
                </c:pt>
                <c:pt idx="1">
                  <c:v>0</c:v>
                </c:pt>
                <c:pt idx="2">
                  <c:v>0</c:v>
                </c:pt>
                <c:pt idx="3">
                  <c:v>0</c:v>
                </c:pt>
                <c:pt idx="4">
                  <c:v>0</c:v>
                </c:pt>
                <c:pt idx="5">
                  <c:v>0</c:v>
                </c:pt>
                <c:pt idx="6">
                  <c:v>0</c:v>
                </c:pt>
                <c:pt idx="7">
                  <c:v>0</c:v>
                </c:pt>
                <c:pt idx="8">
                  <c:v>6987</c:v>
                </c:pt>
                <c:pt idx="9" formatCode="General">
                  <c:v>14597</c:v>
                </c:pt>
                <c:pt idx="10" formatCode="General">
                  <c:v>10475</c:v>
                </c:pt>
                <c:pt idx="11">
                  <c:v>10233</c:v>
                </c:pt>
                <c:pt idx="12">
                  <c:v>13899</c:v>
                </c:pt>
              </c:numCache>
            </c:numRef>
          </c:val>
          <c:extLst>
            <c:ext xmlns:c16="http://schemas.microsoft.com/office/drawing/2014/chart" uri="{C3380CC4-5D6E-409C-BE32-E72D297353CC}">
              <c16:uniqueId val="{00000001-07C3-462E-A744-9568F0159F00}"/>
            </c:ext>
          </c:extLst>
        </c:ser>
        <c:ser>
          <c:idx val="2"/>
          <c:order val="2"/>
          <c:tx>
            <c:strRef>
              <c:f>UPS!$A$41:$B$41</c:f>
              <c:strCache>
                <c:ptCount val="2"/>
                <c:pt idx="0">
                  <c:v>APS deti</c:v>
                </c:pt>
              </c:strCache>
            </c:strRef>
          </c:tx>
          <c:spPr>
            <a:solidFill>
              <a:schemeClr val="accent3"/>
            </a:solidFill>
            <a:ln>
              <a:noFill/>
            </a:ln>
            <a:effectLst/>
          </c:spPr>
          <c:invertIfNegative val="0"/>
          <c:cat>
            <c:numRef>
              <c:f>UPS!$C$38:$O$38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UPS!$C$41:$O$41</c:f>
              <c:numCache>
                <c:formatCode>#,##0</c:formatCode>
                <c:ptCount val="13"/>
                <c:pt idx="0">
                  <c:v>0</c:v>
                </c:pt>
                <c:pt idx="1">
                  <c:v>0</c:v>
                </c:pt>
                <c:pt idx="2">
                  <c:v>0</c:v>
                </c:pt>
                <c:pt idx="3">
                  <c:v>0</c:v>
                </c:pt>
                <c:pt idx="4">
                  <c:v>0</c:v>
                </c:pt>
                <c:pt idx="5">
                  <c:v>0</c:v>
                </c:pt>
                <c:pt idx="6">
                  <c:v>0</c:v>
                </c:pt>
                <c:pt idx="7">
                  <c:v>0</c:v>
                </c:pt>
                <c:pt idx="8">
                  <c:v>5339</c:v>
                </c:pt>
                <c:pt idx="9" formatCode="General">
                  <c:v>10771</c:v>
                </c:pt>
                <c:pt idx="10" formatCode="General">
                  <c:v>5576</c:v>
                </c:pt>
                <c:pt idx="11">
                  <c:v>6012</c:v>
                </c:pt>
                <c:pt idx="12">
                  <c:v>11088</c:v>
                </c:pt>
              </c:numCache>
            </c:numRef>
          </c:val>
          <c:extLst>
            <c:ext xmlns:c16="http://schemas.microsoft.com/office/drawing/2014/chart" uri="{C3380CC4-5D6E-409C-BE32-E72D297353CC}">
              <c16:uniqueId val="{00000002-07C3-462E-A744-9568F0159F00}"/>
            </c:ext>
          </c:extLst>
        </c:ser>
        <c:dLbls>
          <c:showLegendKey val="0"/>
          <c:showVal val="0"/>
          <c:showCatName val="0"/>
          <c:showSerName val="0"/>
          <c:showPercent val="0"/>
          <c:showBubbleSize val="0"/>
        </c:dLbls>
        <c:gapWidth val="150"/>
        <c:overlap val="100"/>
        <c:axId val="569209944"/>
        <c:axId val="569210272"/>
      </c:barChart>
      <c:catAx>
        <c:axId val="56920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69210272"/>
        <c:crosses val="autoZero"/>
        <c:auto val="1"/>
        <c:lblAlgn val="ctr"/>
        <c:lblOffset val="100"/>
        <c:noMultiLvlLbl val="0"/>
      </c:catAx>
      <c:valAx>
        <c:axId val="56921027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6920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sz="1300" b="1">
                <a:latin typeface="Century Gothic" panose="020B0502020202020204" pitchFamily="34" charset="0"/>
              </a:rPr>
              <a:t>Vývoj počtu hospitalizovaných </a:t>
            </a: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'počet hosp'!$A$39</c:f>
              <c:strCache>
                <c:ptCount val="1"/>
                <c:pt idx="0">
                  <c:v>Vývoj počtu hospitalizovaných 2010/2020</c:v>
                </c:pt>
              </c:strCache>
            </c:strRef>
          </c:tx>
          <c:spPr>
            <a:ln w="28575" cap="rnd">
              <a:solidFill>
                <a:schemeClr val="accent1"/>
              </a:solidFill>
              <a:round/>
            </a:ln>
            <a:effectLst/>
          </c:spPr>
          <c:marker>
            <c:symbol val="none"/>
          </c:marker>
          <c:cat>
            <c:numRef>
              <c:f>'počet hosp'!$B$38:$N$38</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'počet hosp'!$B$39:$N$39</c:f>
              <c:numCache>
                <c:formatCode>General</c:formatCode>
                <c:ptCount val="13"/>
                <c:pt idx="0">
                  <c:v>31329.5</c:v>
                </c:pt>
                <c:pt idx="1">
                  <c:v>30504.5</c:v>
                </c:pt>
                <c:pt idx="2">
                  <c:v>28938</c:v>
                </c:pt>
                <c:pt idx="3">
                  <c:v>29381</c:v>
                </c:pt>
                <c:pt idx="4">
                  <c:v>29038</c:v>
                </c:pt>
                <c:pt idx="5">
                  <c:v>28291</c:v>
                </c:pt>
                <c:pt idx="6">
                  <c:v>28732.5</c:v>
                </c:pt>
                <c:pt idx="7">
                  <c:v>30476.5</c:v>
                </c:pt>
                <c:pt idx="8">
                  <c:v>30512</c:v>
                </c:pt>
                <c:pt idx="9">
                  <c:v>31241.5</c:v>
                </c:pt>
                <c:pt idx="10">
                  <c:v>32147.5</c:v>
                </c:pt>
                <c:pt idx="11">
                  <c:v>32252.5</c:v>
                </c:pt>
                <c:pt idx="12">
                  <c:v>37126.5</c:v>
                </c:pt>
              </c:numCache>
            </c:numRef>
          </c:val>
          <c:smooth val="0"/>
          <c:extLst>
            <c:ext xmlns:c16="http://schemas.microsoft.com/office/drawing/2014/chart" uri="{C3380CC4-5D6E-409C-BE32-E72D297353CC}">
              <c16:uniqueId val="{00000000-E78E-43E2-8C3C-0EB5E174DD01}"/>
            </c:ext>
          </c:extLst>
        </c:ser>
        <c:dLbls>
          <c:showLegendKey val="0"/>
          <c:showVal val="0"/>
          <c:showCatName val="0"/>
          <c:showSerName val="0"/>
          <c:showPercent val="0"/>
          <c:showBubbleSize val="0"/>
        </c:dLbls>
        <c:smooth val="0"/>
        <c:axId val="582921680"/>
        <c:axId val="582917088"/>
      </c:lineChart>
      <c:catAx>
        <c:axId val="58292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k-SK"/>
          </a:p>
        </c:txPr>
        <c:crossAx val="582917088"/>
        <c:crosses val="autoZero"/>
        <c:auto val="1"/>
        <c:lblAlgn val="ctr"/>
        <c:lblOffset val="100"/>
        <c:noMultiLvlLbl val="0"/>
      </c:catAx>
      <c:valAx>
        <c:axId val="58291708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k-SK"/>
          </a:p>
        </c:txPr>
        <c:crossAx val="58292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Akútne</a:t>
            </a:r>
            <a:r>
              <a:rPr lang="sk-SK" sz="1300" b="1" baseline="0">
                <a:latin typeface="Century Gothic" panose="020B0502020202020204" pitchFamily="34" charset="0"/>
              </a:rPr>
              <a:t> vs. všetky príjmy</a:t>
            </a:r>
            <a:endParaRPr lang="sk-SK" sz="1300" b="1">
              <a:latin typeface="Century Gothic" panose="020B0502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clustered"/>
        <c:varyColors val="0"/>
        <c:ser>
          <c:idx val="0"/>
          <c:order val="0"/>
          <c:tx>
            <c:strRef>
              <c:f>'akútne príjmy'!$A$260</c:f>
              <c:strCache>
                <c:ptCount val="1"/>
                <c:pt idx="0">
                  <c:v>príjmy celkom</c:v>
                </c:pt>
              </c:strCache>
            </c:strRef>
          </c:tx>
          <c:spPr>
            <a:solidFill>
              <a:schemeClr val="accent1"/>
            </a:solidFill>
            <a:ln>
              <a:noFill/>
            </a:ln>
            <a:effectLst/>
          </c:spPr>
          <c:invertIfNegative val="0"/>
          <c:cat>
            <c:strRef>
              <c:f>'akútne príjmy'!$B$259:$N$259</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'akútne príjmy'!$B$260:$N$260</c:f>
              <c:numCache>
                <c:formatCode>General</c:formatCode>
                <c:ptCount val="13"/>
                <c:pt idx="0">
                  <c:v>31329.5</c:v>
                </c:pt>
                <c:pt idx="1">
                  <c:v>30504.5</c:v>
                </c:pt>
                <c:pt idx="2">
                  <c:v>28938</c:v>
                </c:pt>
                <c:pt idx="3">
                  <c:v>29381</c:v>
                </c:pt>
                <c:pt idx="4">
                  <c:v>29038</c:v>
                </c:pt>
                <c:pt idx="5">
                  <c:v>28291</c:v>
                </c:pt>
                <c:pt idx="6">
                  <c:v>28732.5</c:v>
                </c:pt>
                <c:pt idx="7">
                  <c:v>30476.5</c:v>
                </c:pt>
                <c:pt idx="8">
                  <c:v>30512</c:v>
                </c:pt>
                <c:pt idx="9">
                  <c:v>31241.5</c:v>
                </c:pt>
                <c:pt idx="10">
                  <c:v>32147.5</c:v>
                </c:pt>
                <c:pt idx="11">
                  <c:v>32252.5</c:v>
                </c:pt>
                <c:pt idx="12">
                  <c:v>37126.5</c:v>
                </c:pt>
              </c:numCache>
            </c:numRef>
          </c:val>
          <c:extLst>
            <c:ext xmlns:c16="http://schemas.microsoft.com/office/drawing/2014/chart" uri="{C3380CC4-5D6E-409C-BE32-E72D297353CC}">
              <c16:uniqueId val="{00000000-2C27-462D-99FB-4EC6910ECE28}"/>
            </c:ext>
          </c:extLst>
        </c:ser>
        <c:ser>
          <c:idx val="1"/>
          <c:order val="1"/>
          <c:tx>
            <c:strRef>
              <c:f>'akútne príjmy'!$A$261</c:f>
              <c:strCache>
                <c:ptCount val="1"/>
                <c:pt idx="0">
                  <c:v>akútne príjmy</c:v>
                </c:pt>
              </c:strCache>
            </c:strRef>
          </c:tx>
          <c:spPr>
            <a:solidFill>
              <a:schemeClr val="accent2"/>
            </a:solidFill>
            <a:ln>
              <a:noFill/>
            </a:ln>
            <a:effectLst/>
          </c:spPr>
          <c:invertIfNegative val="0"/>
          <c:cat>
            <c:strRef>
              <c:f>'akútne príjmy'!$B$259:$N$259</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'akútne príjmy'!$B$261:$N$261</c:f>
              <c:numCache>
                <c:formatCode>General</c:formatCode>
                <c:ptCount val="13"/>
                <c:pt idx="0">
                  <c:v>7924</c:v>
                </c:pt>
                <c:pt idx="1">
                  <c:v>7227</c:v>
                </c:pt>
                <c:pt idx="2">
                  <c:v>6748</c:v>
                </c:pt>
                <c:pt idx="3">
                  <c:v>7068</c:v>
                </c:pt>
                <c:pt idx="4">
                  <c:v>6531</c:v>
                </c:pt>
                <c:pt idx="5">
                  <c:v>6401</c:v>
                </c:pt>
                <c:pt idx="6">
                  <c:v>6512</c:v>
                </c:pt>
                <c:pt idx="7">
                  <c:v>6844</c:v>
                </c:pt>
                <c:pt idx="8">
                  <c:v>6288</c:v>
                </c:pt>
                <c:pt idx="9">
                  <c:v>7502</c:v>
                </c:pt>
                <c:pt idx="10">
                  <c:v>13098</c:v>
                </c:pt>
                <c:pt idx="11" formatCode="#,##0">
                  <c:v>16519</c:v>
                </c:pt>
                <c:pt idx="12" formatCode="#,##0">
                  <c:v>16431</c:v>
                </c:pt>
              </c:numCache>
            </c:numRef>
          </c:val>
          <c:extLst>
            <c:ext xmlns:c16="http://schemas.microsoft.com/office/drawing/2014/chart" uri="{C3380CC4-5D6E-409C-BE32-E72D297353CC}">
              <c16:uniqueId val="{00000001-2C27-462D-99FB-4EC6910ECE28}"/>
            </c:ext>
          </c:extLst>
        </c:ser>
        <c:dLbls>
          <c:showLegendKey val="0"/>
          <c:showVal val="0"/>
          <c:showCatName val="0"/>
          <c:showSerName val="0"/>
          <c:showPercent val="0"/>
          <c:showBubbleSize val="0"/>
        </c:dLbls>
        <c:gapWidth val="182"/>
        <c:axId val="607902912"/>
        <c:axId val="607903568"/>
      </c:barChart>
      <c:catAx>
        <c:axId val="607902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07903568"/>
        <c:crosses val="autoZero"/>
        <c:auto val="1"/>
        <c:lblAlgn val="ctr"/>
        <c:lblOffset val="100"/>
        <c:noMultiLvlLbl val="0"/>
      </c:catAx>
      <c:valAx>
        <c:axId val="607903568"/>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0790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300" b="1">
                <a:latin typeface="Century Gothic" panose="020B0502020202020204" pitchFamily="34" charset="0"/>
              </a:rPr>
              <a:t>Počet akútnych príjmov - okres Žilina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stacked"/>
        <c:varyColors val="0"/>
        <c:ser>
          <c:idx val="0"/>
          <c:order val="0"/>
          <c:tx>
            <c:strRef>
              <c:f>'akútne príjmy'!$A$253</c:f>
              <c:strCache>
                <c:ptCount val="1"/>
                <c:pt idx="0">
                  <c:v>mimo prac.dobu</c:v>
                </c:pt>
              </c:strCache>
            </c:strRef>
          </c:tx>
          <c:spPr>
            <a:solidFill>
              <a:schemeClr val="accent1"/>
            </a:solidFill>
            <a:ln>
              <a:noFill/>
            </a:ln>
            <a:effectLst/>
          </c:spPr>
          <c:invertIfNegative val="0"/>
          <c:cat>
            <c:strRef>
              <c:f>'akútne príjmy'!$B$252:$N$252</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'akútne príjmy'!$B$253:$N$253</c:f>
              <c:numCache>
                <c:formatCode>#,##0</c:formatCode>
                <c:ptCount val="13"/>
                <c:pt idx="0">
                  <c:v>476</c:v>
                </c:pt>
                <c:pt idx="1">
                  <c:v>519</c:v>
                </c:pt>
                <c:pt idx="2">
                  <c:v>414</c:v>
                </c:pt>
                <c:pt idx="3">
                  <c:v>623</c:v>
                </c:pt>
                <c:pt idx="4">
                  <c:v>1192</c:v>
                </c:pt>
                <c:pt idx="5">
                  <c:v>1079</c:v>
                </c:pt>
                <c:pt idx="6">
                  <c:v>985</c:v>
                </c:pt>
                <c:pt idx="7">
                  <c:v>954</c:v>
                </c:pt>
                <c:pt idx="8">
                  <c:v>833</c:v>
                </c:pt>
                <c:pt idx="9">
                  <c:v>1077</c:v>
                </c:pt>
                <c:pt idx="10">
                  <c:v>4618</c:v>
                </c:pt>
                <c:pt idx="11">
                  <c:v>3198</c:v>
                </c:pt>
                <c:pt idx="12">
                  <c:v>3260</c:v>
                </c:pt>
              </c:numCache>
            </c:numRef>
          </c:val>
          <c:extLst>
            <c:ext xmlns:c16="http://schemas.microsoft.com/office/drawing/2014/chart" uri="{C3380CC4-5D6E-409C-BE32-E72D297353CC}">
              <c16:uniqueId val="{00000000-9634-45D1-8AA5-C9939F9F5D15}"/>
            </c:ext>
          </c:extLst>
        </c:ser>
        <c:ser>
          <c:idx val="1"/>
          <c:order val="1"/>
          <c:tx>
            <c:strRef>
              <c:f>'akútne príjmy'!$A$254</c:f>
              <c:strCache>
                <c:ptCount val="1"/>
                <c:pt idx="0">
                  <c:v>v prac.dobe</c:v>
                </c:pt>
              </c:strCache>
            </c:strRef>
          </c:tx>
          <c:spPr>
            <a:solidFill>
              <a:schemeClr val="accent2"/>
            </a:solidFill>
            <a:ln>
              <a:noFill/>
            </a:ln>
            <a:effectLst/>
          </c:spPr>
          <c:invertIfNegative val="0"/>
          <c:cat>
            <c:strRef>
              <c:f>'akútne príjmy'!$B$252:$N$252</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'akútne príjmy'!$B$254:$N$254</c:f>
              <c:numCache>
                <c:formatCode>#,##0</c:formatCode>
                <c:ptCount val="13"/>
                <c:pt idx="0">
                  <c:v>3791</c:v>
                </c:pt>
                <c:pt idx="1">
                  <c:v>3526</c:v>
                </c:pt>
                <c:pt idx="2">
                  <c:v>3070</c:v>
                </c:pt>
                <c:pt idx="3">
                  <c:v>2989</c:v>
                </c:pt>
                <c:pt idx="4">
                  <c:v>2323</c:v>
                </c:pt>
                <c:pt idx="5">
                  <c:v>2330</c:v>
                </c:pt>
                <c:pt idx="6">
                  <c:v>2550</c:v>
                </c:pt>
                <c:pt idx="7">
                  <c:v>2740</c:v>
                </c:pt>
                <c:pt idx="8">
                  <c:v>2590</c:v>
                </c:pt>
                <c:pt idx="9">
                  <c:v>3276</c:v>
                </c:pt>
                <c:pt idx="10">
                  <c:v>4722</c:v>
                </c:pt>
                <c:pt idx="11">
                  <c:v>8604</c:v>
                </c:pt>
                <c:pt idx="12">
                  <c:v>8407</c:v>
                </c:pt>
              </c:numCache>
            </c:numRef>
          </c:val>
          <c:extLst>
            <c:ext xmlns:c16="http://schemas.microsoft.com/office/drawing/2014/chart" uri="{C3380CC4-5D6E-409C-BE32-E72D297353CC}">
              <c16:uniqueId val="{00000001-9634-45D1-8AA5-C9939F9F5D15}"/>
            </c:ext>
          </c:extLst>
        </c:ser>
        <c:dLbls>
          <c:showLegendKey val="0"/>
          <c:showVal val="0"/>
          <c:showCatName val="0"/>
          <c:showSerName val="0"/>
          <c:showPercent val="0"/>
          <c:showBubbleSize val="0"/>
        </c:dLbls>
        <c:gapWidth val="150"/>
        <c:overlap val="100"/>
        <c:axId val="575792800"/>
        <c:axId val="575793456"/>
      </c:barChart>
      <c:catAx>
        <c:axId val="57579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75793456"/>
        <c:crosses val="autoZero"/>
        <c:auto val="1"/>
        <c:lblAlgn val="ctr"/>
        <c:lblOffset val="100"/>
        <c:noMultiLvlLbl val="0"/>
      </c:catAx>
      <c:valAx>
        <c:axId val="575793456"/>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7579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67AAD-7B5A-438E-84F3-C8F39741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33994</Words>
  <Characters>193772</Characters>
  <DocSecurity>0</DocSecurity>
  <Lines>1614</Lines>
  <Paragraphs>454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2023-09-04T07:33:00Z</cp:lastPrinted>
  <dcterms:created xsi:type="dcterms:W3CDTF">2023-09-06T09:06:00Z</dcterms:created>
  <dcterms:modified xsi:type="dcterms:W3CDTF">2023-09-13T11:29:00Z</dcterms:modified>
</cp:coreProperties>
</file>